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7BE0" w14:textId="4E07831F" w:rsidR="00D5069D" w:rsidRPr="004538DF" w:rsidRDefault="00D5069D" w:rsidP="004538DF">
      <w:pPr>
        <w:pStyle w:val="Heading1"/>
      </w:pPr>
      <w:r w:rsidRPr="004538DF">
        <w:t xml:space="preserve">CERF Theory of Change </w:t>
      </w:r>
    </w:p>
    <w:p w14:paraId="113E2B9C" w14:textId="77777777" w:rsidR="00D5069D" w:rsidRPr="0043325E" w:rsidRDefault="00D5069D" w:rsidP="00D5069D">
      <w:pPr>
        <w:contextualSpacing/>
        <w:jc w:val="center"/>
        <w:rPr>
          <w:rFonts w:asciiTheme="minorHAnsi" w:eastAsia="source sans regular" w:hAnsiTheme="minorHAnsi" w:cstheme="minorHAnsi"/>
          <w:sz w:val="24"/>
          <w:szCs w:val="24"/>
        </w:rPr>
      </w:pPr>
    </w:p>
    <w:p w14:paraId="58ED10A8" w14:textId="2AC824B0" w:rsidR="0003744A" w:rsidRPr="0043325E" w:rsidRDefault="3FE28527" w:rsidP="00D5069D">
      <w:pPr>
        <w:contextualSpacing/>
        <w:rPr>
          <w:rFonts w:asciiTheme="minorHAnsi" w:eastAsia="source sans regular" w:hAnsiTheme="minorHAnsi" w:cstheme="minorHAnsi"/>
          <w:sz w:val="24"/>
          <w:szCs w:val="24"/>
        </w:rPr>
      </w:pPr>
      <w:r w:rsidRPr="0043325E">
        <w:rPr>
          <w:rFonts w:asciiTheme="minorHAnsi" w:eastAsia="source sans regular" w:hAnsiTheme="minorHAnsi" w:cstheme="minorHAnsi"/>
          <w:sz w:val="24"/>
          <w:szCs w:val="24"/>
        </w:rPr>
        <w:t xml:space="preserve">The second phase of the CERF program will provide implementation grants on a rolling and competitive basis to fund proposals </w:t>
      </w:r>
      <w:r w:rsidR="00080A3E" w:rsidRPr="0043325E">
        <w:rPr>
          <w:rFonts w:asciiTheme="minorHAnsi" w:eastAsia="source sans regular" w:hAnsiTheme="minorHAnsi" w:cstheme="minorHAnsi"/>
          <w:sz w:val="24"/>
          <w:szCs w:val="24"/>
        </w:rPr>
        <w:t xml:space="preserve">aligned with regional roadmaps </w:t>
      </w:r>
      <w:r w:rsidRPr="0043325E">
        <w:rPr>
          <w:rFonts w:asciiTheme="minorHAnsi" w:eastAsia="source sans regular" w:hAnsiTheme="minorHAnsi" w:cstheme="minorHAnsi"/>
          <w:sz w:val="24"/>
          <w:szCs w:val="24"/>
        </w:rPr>
        <w:t xml:space="preserve">established in Phase 1.  Projects should aim to transform their regional </w:t>
      </w:r>
      <w:r w:rsidR="000A17C2" w:rsidRPr="0043325E">
        <w:rPr>
          <w:rFonts w:asciiTheme="minorHAnsi" w:eastAsia="source sans regular" w:hAnsiTheme="minorHAnsi" w:cstheme="minorHAnsi"/>
          <w:sz w:val="24"/>
          <w:szCs w:val="24"/>
        </w:rPr>
        <w:t xml:space="preserve">economy through groups of </w:t>
      </w:r>
      <w:r w:rsidRPr="0043325E">
        <w:rPr>
          <w:rFonts w:asciiTheme="minorHAnsi" w:eastAsia="source sans regular" w:hAnsiTheme="minorHAnsi" w:cstheme="minorHAnsi"/>
          <w:sz w:val="24"/>
          <w:szCs w:val="24"/>
        </w:rPr>
        <w:t>complementary and aligned projects organized under a unified vision to support socially and environmentally responsible industry growth across the region. A separate SFP for Phase 2 will be released with more detail on project criteria.</w:t>
      </w:r>
      <w:r w:rsidR="00E02E1B" w:rsidRPr="0043325E">
        <w:rPr>
          <w:rFonts w:asciiTheme="minorHAnsi" w:eastAsia="source sans regular" w:hAnsiTheme="minorHAnsi" w:cstheme="minorHAnsi"/>
          <w:sz w:val="24"/>
          <w:szCs w:val="24"/>
        </w:rPr>
        <w:t xml:space="preserve"> The Theory of Change of CERF is outlined below:</w:t>
      </w:r>
    </w:p>
    <w:p w14:paraId="6F3D2505" w14:textId="699ECC83" w:rsidR="00672D9A" w:rsidRPr="00672D9A" w:rsidRDefault="00087E67" w:rsidP="00672D9A">
      <w:pPr>
        <w:tabs>
          <w:tab w:val="left" w:pos="7655"/>
        </w:tabs>
      </w:pPr>
      <w:r>
        <w:rPr>
          <w:noProof/>
        </w:rPr>
        <mc:AlternateContent>
          <mc:Choice Requires="wps">
            <w:drawing>
              <wp:inline distT="0" distB="0" distL="0" distR="0" wp14:anchorId="3BCDAC79" wp14:editId="0BB76553">
                <wp:extent cx="1234440" cy="4480560"/>
                <wp:effectExtent l="0" t="0" r="381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07D9E" w14:textId="75ED5198" w:rsidR="006C3E69" w:rsidRDefault="006C3E69" w:rsidP="006C3E69">
                            <w:pPr>
                              <w:pStyle w:val="TextboxHead"/>
                            </w:pPr>
                            <w:r>
                              <w:t>Inputs</w:t>
                            </w:r>
                          </w:p>
                          <w:p w14:paraId="2C601E3E" w14:textId="321C97CA" w:rsidR="006C3E69" w:rsidRDefault="006C3E69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spacing w:before="240"/>
                              <w:ind w:left="180" w:hanging="180"/>
                              <w:jc w:val="left"/>
                            </w:pPr>
                            <w:r>
                              <w:t>$5 M to establish HRTC</w:t>
                            </w:r>
                          </w:p>
                          <w:p w14:paraId="0DF7E492" w14:textId="619BA26D" w:rsidR="006C3E69" w:rsidRDefault="006C3E69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Technical assistance from the State</w:t>
                            </w:r>
                          </w:p>
                          <w:p w14:paraId="2AB30BD6" w14:textId="53FAD22E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Existing planning efforts or development processes in the region</w:t>
                            </w:r>
                          </w:p>
                          <w:p w14:paraId="585E124A" w14:textId="75A89C8B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Input from regional stakeholders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labor, community groups, local governments, business groups, etc.)</w:t>
                            </w:r>
                          </w:p>
                          <w:p w14:paraId="7A8CFC6C" w14:textId="77777777" w:rsidR="006C3E69" w:rsidRDefault="006C3E69" w:rsidP="006C3E69">
                            <w:pPr>
                              <w:pStyle w:val="TextboxList"/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CDAC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97.2pt;height:3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" fillcolor="white [3201]" stroked="f" strokeweight=".5pt">
                <v:textbox>
                  <w:txbxContent>
                    <w:p w14:paraId="2F407D9E" w14:textId="75ED5198" w:rsidR="006C3E69" w:rsidRDefault="006C3E69" w:rsidP="006C3E69">
                      <w:pPr>
                        <w:pStyle w:val="TextboxHead"/>
                      </w:pPr>
                      <w:r>
                        <w:t>Inputs</w:t>
                      </w:r>
                    </w:p>
                    <w:p w14:paraId="2C601E3E" w14:textId="321C97CA" w:rsidR="006C3E69" w:rsidRDefault="006C3E69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spacing w:before="240"/>
                        <w:ind w:left="180" w:hanging="180"/>
                        <w:jc w:val="left"/>
                      </w:pPr>
                      <w:r>
                        <w:t>$5 M to establish HRTC</w:t>
                      </w:r>
                    </w:p>
                    <w:p w14:paraId="0DF7E492" w14:textId="619BA26D" w:rsidR="006C3E69" w:rsidRDefault="006C3E69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Technical assistance from the State</w:t>
                      </w:r>
                    </w:p>
                    <w:p w14:paraId="2AB30BD6" w14:textId="53FAD22E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Existing planning efforts or development processes in the region</w:t>
                      </w:r>
                    </w:p>
                    <w:p w14:paraId="585E124A" w14:textId="75A89C8B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Input from regional stakeholders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labor, community groups, local governments, business groups, etc.)</w:t>
                      </w:r>
                    </w:p>
                    <w:p w14:paraId="7A8CFC6C" w14:textId="77777777" w:rsidR="006C3E69" w:rsidRDefault="006C3E69" w:rsidP="006C3E69">
                      <w:pPr>
                        <w:pStyle w:val="TextboxList"/>
                        <w:spacing w:before="2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EC035F1" wp14:editId="21C5343B">
                <wp:extent cx="1234440" cy="4480560"/>
                <wp:effectExtent l="0" t="0" r="381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2E8BE" w14:textId="0EBD0D19" w:rsidR="000115BE" w:rsidRDefault="000115BE" w:rsidP="000115BE">
                            <w:pPr>
                              <w:pStyle w:val="TextboxHead"/>
                            </w:pPr>
                            <w:r>
                              <w:t>Activities</w:t>
                            </w:r>
                          </w:p>
                          <w:p w14:paraId="05AC27D1" w14:textId="54088CB5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spacing w:before="240"/>
                              <w:ind w:left="180" w:hanging="180"/>
                              <w:jc w:val="left"/>
                            </w:pPr>
                            <w:r>
                              <w:t>Community outreach</w:t>
                            </w:r>
                          </w:p>
                          <w:p w14:paraId="670ACD6D" w14:textId="77767E28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HRTC meetings</w:t>
                            </w:r>
                          </w:p>
                          <w:p w14:paraId="17D2ABC9" w14:textId="57AB5B27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Research</w:t>
                            </w:r>
                          </w:p>
                          <w:p w14:paraId="2902C8B4" w14:textId="097AB4AB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Regional plan and strategy development</w:t>
                            </w:r>
                          </w:p>
                          <w:p w14:paraId="4371C3F6" w14:textId="2E0F3647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Reporting to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035F1" id="Text Box 2" o:spid="_x0000_s1027" type="#_x0000_t202" style="width:97.2pt;height:3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" fillcolor="white [3201]" stroked="f" strokeweight=".5pt">
                <v:textbox>
                  <w:txbxContent>
                    <w:p w14:paraId="7BB2E8BE" w14:textId="0EBD0D19" w:rsidR="000115BE" w:rsidRDefault="000115BE" w:rsidP="000115BE">
                      <w:pPr>
                        <w:pStyle w:val="TextboxHead"/>
                      </w:pPr>
                      <w:r>
                        <w:t>Activities</w:t>
                      </w:r>
                    </w:p>
                    <w:p w14:paraId="05AC27D1" w14:textId="54088CB5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spacing w:before="240"/>
                        <w:ind w:left="180" w:hanging="180"/>
                        <w:jc w:val="left"/>
                      </w:pPr>
                      <w:r>
                        <w:t>Community outreach</w:t>
                      </w:r>
                    </w:p>
                    <w:p w14:paraId="670ACD6D" w14:textId="77767E28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HRTC meetings</w:t>
                      </w:r>
                    </w:p>
                    <w:p w14:paraId="17D2ABC9" w14:textId="57AB5B27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Research</w:t>
                      </w:r>
                    </w:p>
                    <w:p w14:paraId="2902C8B4" w14:textId="097AB4AB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Regional plan and strategy development</w:t>
                      </w:r>
                    </w:p>
                    <w:p w14:paraId="4371C3F6" w14:textId="2E0F3647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Reporting to State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CBED1DB" wp14:editId="63E01ED6">
                <wp:extent cx="1234440" cy="4480560"/>
                <wp:effectExtent l="0" t="0" r="381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0A68B" w14:textId="1E0DDAA1" w:rsidR="000115BE" w:rsidRDefault="000115BE" w:rsidP="000115BE">
                            <w:pPr>
                              <w:pStyle w:val="TextboxHead"/>
                            </w:pPr>
                            <w:r>
                              <w:t>Outputs</w:t>
                            </w:r>
                          </w:p>
                          <w:p w14:paraId="4F2E9F5D" w14:textId="41E70DD9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spacing w:before="240"/>
                              <w:ind w:left="180" w:hanging="180"/>
                              <w:jc w:val="left"/>
                            </w:pPr>
                            <w:r>
                              <w:t>Inclusive governance and planning structures</w:t>
                            </w:r>
                          </w:p>
                          <w:p w14:paraId="580B1E6A" w14:textId="0D2DC157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HRTC meetings</w:t>
                            </w:r>
                          </w:p>
                          <w:p w14:paraId="2F5ECFBE" w14:textId="297DF6BA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Regional plans</w:t>
                            </w:r>
                          </w:p>
                          <w:p w14:paraId="606F110A" w14:textId="6B277EBC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Recommendations for Phase 2 investments</w:t>
                            </w:r>
                          </w:p>
                          <w:p w14:paraId="73C062E6" w14:textId="3665ECD4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Region-specific goals or targets</w:t>
                            </w:r>
                          </w:p>
                          <w:p w14:paraId="7F3B5F46" w14:textId="7CB0F69D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Phase 2 investments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ED1DB" id="Text Box 3" o:spid="_x0000_s1028" type="#_x0000_t202" style="width:97.2pt;height:3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" fillcolor="white [3201]" stroked="f" strokeweight=".5pt">
                <v:textbox>
                  <w:txbxContent>
                    <w:p w14:paraId="5CD0A68B" w14:textId="1E0DDAA1" w:rsidR="000115BE" w:rsidRDefault="000115BE" w:rsidP="000115BE">
                      <w:pPr>
                        <w:pStyle w:val="TextboxHead"/>
                      </w:pPr>
                      <w:r>
                        <w:t>Outputs</w:t>
                      </w:r>
                    </w:p>
                    <w:p w14:paraId="4F2E9F5D" w14:textId="41E70DD9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spacing w:before="240"/>
                        <w:ind w:left="180" w:hanging="180"/>
                        <w:jc w:val="left"/>
                      </w:pPr>
                      <w:r>
                        <w:t>Inclusive governance and planning structures</w:t>
                      </w:r>
                    </w:p>
                    <w:p w14:paraId="580B1E6A" w14:textId="0D2DC157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HRTC meetings</w:t>
                      </w:r>
                    </w:p>
                    <w:p w14:paraId="2F5ECFBE" w14:textId="297DF6BA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Regional plans</w:t>
                      </w:r>
                    </w:p>
                    <w:p w14:paraId="606F110A" w14:textId="6B277EBC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Recommendations for Phase 2 investments</w:t>
                      </w:r>
                    </w:p>
                    <w:p w14:paraId="73C062E6" w14:textId="3665ECD4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Region-specific goals or targets</w:t>
                      </w:r>
                    </w:p>
                    <w:p w14:paraId="7F3B5F46" w14:textId="7CB0F69D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Phase 2 investments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EC38953" wp14:editId="649E2215">
                <wp:extent cx="1234440" cy="4480560"/>
                <wp:effectExtent l="0" t="0" r="381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385FB6" w14:textId="2BA2C0A6" w:rsidR="000115BE" w:rsidRDefault="000115BE" w:rsidP="000115BE">
                            <w:pPr>
                              <w:pStyle w:val="TextboxHead"/>
                            </w:pPr>
                            <w:r>
                              <w:t>Outcomes</w:t>
                            </w:r>
                          </w:p>
                          <w:p w14:paraId="20183AB1" w14:textId="559274FE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spacing w:before="240"/>
                              <w:ind w:left="180" w:hanging="180"/>
                              <w:jc w:val="left"/>
                            </w:pPr>
                            <w:r>
                              <w:t>Development of social infrastructure for inclusive regional planning processes</w:t>
                            </w:r>
                          </w:p>
                          <w:p w14:paraId="3E11A4A1" w14:textId="0789ED95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Increased access to economic development and planning processes</w:t>
                            </w:r>
                          </w:p>
                          <w:p w14:paraId="516C1E5B" w14:textId="0D31D1F2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Measurable criteria for improvement in planning process</w:t>
                            </w:r>
                          </w:p>
                          <w:p w14:paraId="4B4FE3CA" w14:textId="4F7E05BD" w:rsidR="000115BE" w:rsidRDefault="00087E67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Measurable</w:t>
                            </w:r>
                            <w:r w:rsidR="000115BE">
                              <w:t xml:space="preserve"> progress for region-specific goals and targets</w:t>
                            </w:r>
                          </w:p>
                          <w:p w14:paraId="6830B09B" w14:textId="4B24199C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Increased connectivity to related programs and funding sources</w:t>
                            </w:r>
                          </w:p>
                          <w:p w14:paraId="42F7537B" w14:textId="30B77B08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>Phase 2 investment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38953" id="Text Box 4" o:spid="_x0000_s1029" type="#_x0000_t202" style="width:97.2pt;height:3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" fillcolor="white [3201]" stroked="f" strokeweight=".5pt">
                <v:textbox>
                  <w:txbxContent>
                    <w:p w14:paraId="6D385FB6" w14:textId="2BA2C0A6" w:rsidR="000115BE" w:rsidRDefault="000115BE" w:rsidP="000115BE">
                      <w:pPr>
                        <w:pStyle w:val="TextboxHead"/>
                      </w:pPr>
                      <w:r>
                        <w:t>Outcomes</w:t>
                      </w:r>
                    </w:p>
                    <w:p w14:paraId="20183AB1" w14:textId="559274FE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spacing w:before="240"/>
                        <w:ind w:left="180" w:hanging="180"/>
                        <w:jc w:val="left"/>
                      </w:pPr>
                      <w:r>
                        <w:t>Development of social infrastructure for inclusive regional planning processes</w:t>
                      </w:r>
                    </w:p>
                    <w:p w14:paraId="3E11A4A1" w14:textId="0789ED95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Increased access to economic development and planning processes</w:t>
                      </w:r>
                    </w:p>
                    <w:p w14:paraId="516C1E5B" w14:textId="0D31D1F2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Measurable criteria for improvement in planning process</w:t>
                      </w:r>
                    </w:p>
                    <w:p w14:paraId="4B4FE3CA" w14:textId="4F7E05BD" w:rsidR="000115BE" w:rsidRDefault="00087E67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Measurable</w:t>
                      </w:r>
                      <w:r w:rsidR="000115BE">
                        <w:t xml:space="preserve"> progress for region-specific goals and targets</w:t>
                      </w:r>
                    </w:p>
                    <w:p w14:paraId="6830B09B" w14:textId="4B24199C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Increased connectivity to related programs and funding sources</w:t>
                      </w:r>
                    </w:p>
                    <w:p w14:paraId="42F7537B" w14:textId="30B77B08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>Phase 2 investment outcomes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F4978A1" wp14:editId="3E585796">
                <wp:extent cx="1234440" cy="4480560"/>
                <wp:effectExtent l="0" t="0" r="381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0FF16" w14:textId="0DABB14A" w:rsidR="000115BE" w:rsidRDefault="000115BE" w:rsidP="000115BE">
                            <w:pPr>
                              <w:pStyle w:val="TextboxHead"/>
                            </w:pPr>
                            <w:r>
                              <w:t>Impacts &amp; Vision</w:t>
                            </w:r>
                          </w:p>
                          <w:p w14:paraId="3B26271D" w14:textId="521FBA7F" w:rsidR="000115BE" w:rsidRDefault="000115BE" w:rsidP="00087E67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spacing w:before="240"/>
                              <w:ind w:left="180" w:hanging="180"/>
                              <w:jc w:val="left"/>
                            </w:pPr>
                            <w:r>
                              <w:t>Impacts: measurable improvement in plans to increase economic resiliency, job quality and access, and investments in disinvested communities and sustainable industries</w:t>
                            </w:r>
                          </w:p>
                          <w:p w14:paraId="26427F11" w14:textId="3C284211" w:rsidR="000115BE" w:rsidRDefault="000115BE" w:rsidP="000115BE">
                            <w:pPr>
                              <w:pStyle w:val="TextboxList"/>
                              <w:numPr>
                                <w:ilvl w:val="0"/>
                                <w:numId w:val="19"/>
                              </w:numPr>
                              <w:ind w:left="180" w:hanging="180"/>
                              <w:jc w:val="left"/>
                            </w:pPr>
                            <w:r>
                              <w:t xml:space="preserve">Vision: to </w:t>
                            </w:r>
                            <w:r w:rsidR="00087E67">
                              <w:t>build an equitable and sustainable economy across California’s diverse regions and foster long-term economic resilience in the overall transition to a carbon-neutral economy</w:t>
                            </w:r>
                          </w:p>
                          <w:p w14:paraId="41B7670A" w14:textId="77777777" w:rsidR="000115BE" w:rsidRDefault="000115BE" w:rsidP="000115BE">
                            <w:pPr>
                              <w:pStyle w:val="TextboxList"/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978A1" id="Text Box 5" o:spid="_x0000_s1030" type="#_x0000_t202" style="width:97.2pt;height:3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" fillcolor="white [3201]" stroked="f" strokeweight=".5pt">
                <v:textbox>
                  <w:txbxContent>
                    <w:p w14:paraId="1080FF16" w14:textId="0DABB14A" w:rsidR="000115BE" w:rsidRDefault="000115BE" w:rsidP="000115BE">
                      <w:pPr>
                        <w:pStyle w:val="TextboxHead"/>
                      </w:pPr>
                      <w:r>
                        <w:t>Impacts &amp; Vision</w:t>
                      </w:r>
                    </w:p>
                    <w:p w14:paraId="3B26271D" w14:textId="521FBA7F" w:rsidR="000115BE" w:rsidRDefault="000115BE" w:rsidP="00087E67">
                      <w:pPr>
                        <w:pStyle w:val="TextboxList"/>
                        <w:numPr>
                          <w:ilvl w:val="0"/>
                          <w:numId w:val="19"/>
                        </w:numPr>
                        <w:spacing w:before="240"/>
                        <w:ind w:left="180" w:hanging="180"/>
                        <w:jc w:val="left"/>
                      </w:pPr>
                      <w:r>
                        <w:t>Impacts: measurable improvement in plans to increase economic resiliency, job quality and access, and investments in disinvested communities and sustainable industries</w:t>
                      </w:r>
                    </w:p>
                    <w:p w14:paraId="26427F11" w14:textId="3C284211" w:rsidR="000115BE" w:rsidRDefault="000115BE" w:rsidP="000115BE">
                      <w:pPr>
                        <w:pStyle w:val="TextboxList"/>
                        <w:numPr>
                          <w:ilvl w:val="0"/>
                          <w:numId w:val="19"/>
                        </w:numPr>
                        <w:ind w:left="180" w:hanging="180"/>
                        <w:jc w:val="left"/>
                      </w:pPr>
                      <w:r>
                        <w:t xml:space="preserve">Vision: to </w:t>
                      </w:r>
                      <w:r w:rsidR="00087E67">
                        <w:t>build an equitable and sustainable economy across California’s diverse regions and foster long-term economic resilience in the overall transition to a carbon-neutral economy</w:t>
                      </w:r>
                    </w:p>
                    <w:p w14:paraId="41B7670A" w14:textId="77777777" w:rsidR="000115BE" w:rsidRDefault="000115BE" w:rsidP="000115BE">
                      <w:pPr>
                        <w:pStyle w:val="TextboxList"/>
                        <w:spacing w:before="2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72D9A" w:rsidRPr="00672D9A" w:rsidSect="00087E67">
      <w:headerReference w:type="default" r:id="rId11"/>
      <w:footerReference w:type="default" r:id="rId1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50A7" w14:textId="77777777" w:rsidR="009F4436" w:rsidRDefault="009F4436" w:rsidP="00A84942">
      <w:pPr>
        <w:spacing w:line="240" w:lineRule="auto"/>
      </w:pPr>
      <w:r>
        <w:separator/>
      </w:r>
    </w:p>
  </w:endnote>
  <w:endnote w:type="continuationSeparator" w:id="0">
    <w:p w14:paraId="431D185F" w14:textId="77777777" w:rsidR="009F4436" w:rsidRDefault="009F4436" w:rsidP="00A84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quot;Segoe UI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57D" w14:textId="77777777" w:rsidR="00316767" w:rsidRPr="00316767" w:rsidRDefault="00316767">
    <w:pPr>
      <w:pStyle w:val="Footer"/>
      <w:jc w:val="center"/>
      <w:rPr>
        <w:rFonts w:ascii="Calibri" w:hAnsi="Calibri" w:cs="Calibri"/>
        <w:sz w:val="24"/>
      </w:rPr>
    </w:pPr>
    <w:r w:rsidRPr="00316767">
      <w:rPr>
        <w:rFonts w:ascii="Calibri" w:hAnsi="Calibri" w:cs="Calibri"/>
        <w:sz w:val="24"/>
      </w:rPr>
      <w:t xml:space="preserve">Page </w:t>
    </w:r>
    <w:r w:rsidRPr="00316767">
      <w:rPr>
        <w:rFonts w:ascii="Calibri" w:hAnsi="Calibri" w:cs="Calibri"/>
        <w:sz w:val="24"/>
      </w:rPr>
      <w:fldChar w:fldCharType="begin"/>
    </w:r>
    <w:r w:rsidRPr="00316767">
      <w:rPr>
        <w:rFonts w:ascii="Calibri" w:hAnsi="Calibri" w:cs="Calibri"/>
        <w:sz w:val="24"/>
      </w:rPr>
      <w:instrText xml:space="preserve"> PAGE  \* Arabic  \* MERGEFORMAT </w:instrText>
    </w:r>
    <w:r w:rsidRPr="00316767">
      <w:rPr>
        <w:rFonts w:ascii="Calibri" w:hAnsi="Calibri" w:cs="Calibri"/>
        <w:sz w:val="24"/>
      </w:rPr>
      <w:fldChar w:fldCharType="separate"/>
    </w:r>
    <w:r>
      <w:rPr>
        <w:rFonts w:ascii="Calibri" w:hAnsi="Calibri" w:cs="Calibri"/>
        <w:noProof/>
        <w:sz w:val="24"/>
      </w:rPr>
      <w:t>1</w:t>
    </w:r>
    <w:r w:rsidRPr="00316767">
      <w:rPr>
        <w:rFonts w:ascii="Calibri" w:hAnsi="Calibri" w:cs="Calibri"/>
        <w:sz w:val="24"/>
      </w:rPr>
      <w:fldChar w:fldCharType="end"/>
    </w:r>
    <w:r w:rsidRPr="00316767">
      <w:rPr>
        <w:rFonts w:ascii="Calibri" w:hAnsi="Calibri" w:cs="Calibri"/>
        <w:sz w:val="24"/>
      </w:rPr>
      <w:t xml:space="preserve"> of </w:t>
    </w:r>
    <w:r w:rsidRPr="00316767">
      <w:rPr>
        <w:rFonts w:ascii="Calibri" w:hAnsi="Calibri" w:cs="Calibri"/>
        <w:sz w:val="24"/>
      </w:rPr>
      <w:fldChar w:fldCharType="begin"/>
    </w:r>
    <w:r w:rsidRPr="00316767">
      <w:rPr>
        <w:rFonts w:ascii="Calibri" w:hAnsi="Calibri" w:cs="Calibri"/>
        <w:sz w:val="24"/>
      </w:rPr>
      <w:instrText xml:space="preserve"> NUMPAGES  \* Arabic  \* MERGEFORMAT </w:instrText>
    </w:r>
    <w:r w:rsidRPr="00316767">
      <w:rPr>
        <w:rFonts w:ascii="Calibri" w:hAnsi="Calibri" w:cs="Calibri"/>
        <w:sz w:val="24"/>
      </w:rPr>
      <w:fldChar w:fldCharType="separate"/>
    </w:r>
    <w:r>
      <w:rPr>
        <w:rFonts w:ascii="Calibri" w:hAnsi="Calibri" w:cs="Calibri"/>
        <w:noProof/>
        <w:sz w:val="24"/>
      </w:rPr>
      <w:t>1</w:t>
    </w:r>
    <w:r w:rsidRPr="00316767">
      <w:rPr>
        <w:rFonts w:ascii="Calibri" w:hAnsi="Calibri" w:cs="Calibri"/>
        <w:sz w:val="24"/>
      </w:rPr>
      <w:fldChar w:fldCharType="end"/>
    </w:r>
  </w:p>
  <w:p w14:paraId="40027197" w14:textId="77777777" w:rsidR="00A84942" w:rsidRDefault="00A84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0098" w14:textId="77777777" w:rsidR="009F4436" w:rsidRDefault="009F4436" w:rsidP="00A84942">
      <w:pPr>
        <w:spacing w:line="240" w:lineRule="auto"/>
      </w:pPr>
      <w:r>
        <w:separator/>
      </w:r>
    </w:p>
  </w:footnote>
  <w:footnote w:type="continuationSeparator" w:id="0">
    <w:p w14:paraId="38DAFAD0" w14:textId="77777777" w:rsidR="009F4436" w:rsidRDefault="009F4436" w:rsidP="00A84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6B82" w14:textId="09230A30" w:rsidR="00316767" w:rsidRPr="00316767" w:rsidRDefault="00316767" w:rsidP="00316767">
    <w:pPr>
      <w:pStyle w:val="Header"/>
      <w:jc w:val="right"/>
      <w:rPr>
        <w:rFonts w:asciiTheme="minorHAnsi" w:hAnsiTheme="minorHAnsi" w:cstheme="minorHAnsi"/>
        <w:sz w:val="24"/>
      </w:rPr>
    </w:pPr>
    <w:r w:rsidRPr="00316767">
      <w:rPr>
        <w:rFonts w:asciiTheme="minorHAnsi" w:hAnsiTheme="minorHAnsi" w:cstheme="minorHAnsi"/>
        <w:sz w:val="24"/>
      </w:rPr>
      <w:t>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975"/>
    <w:multiLevelType w:val="hybridMultilevel"/>
    <w:tmpl w:val="FFFFFFFF"/>
    <w:lvl w:ilvl="0" w:tplc="3F6CA66A">
      <w:start w:val="1"/>
      <w:numFmt w:val="bullet"/>
      <w:lvlText w:val="·"/>
      <w:lvlJc w:val="left"/>
      <w:pPr>
        <w:ind w:left="720" w:hanging="360"/>
      </w:pPr>
      <w:rPr>
        <w:rFonts w:ascii="Segoe UI" w:hAnsi="Segoe UI" w:hint="default"/>
      </w:rPr>
    </w:lvl>
    <w:lvl w:ilvl="1" w:tplc="E0ACB26A">
      <w:start w:val="1"/>
      <w:numFmt w:val="bullet"/>
      <w:lvlText w:val="o"/>
      <w:lvlJc w:val="left"/>
      <w:pPr>
        <w:ind w:left="1440" w:hanging="360"/>
      </w:pPr>
      <w:rPr>
        <w:rFonts w:ascii="MS Gothic" w:hAnsi="MS Gothic" w:hint="default"/>
      </w:rPr>
    </w:lvl>
    <w:lvl w:ilvl="2" w:tplc="25DE3632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857C485A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3A2AC610">
      <w:start w:val="1"/>
      <w:numFmt w:val="bullet"/>
      <w:lvlText w:val="o"/>
      <w:lvlJc w:val="left"/>
      <w:pPr>
        <w:ind w:left="3600" w:hanging="360"/>
      </w:pPr>
      <w:rPr>
        <w:rFonts w:ascii="MS Gothic" w:hAnsi="MS Gothic" w:hint="default"/>
      </w:rPr>
    </w:lvl>
    <w:lvl w:ilvl="5" w:tplc="E99A5894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A8707B70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FB2A0970">
      <w:start w:val="1"/>
      <w:numFmt w:val="bullet"/>
      <w:lvlText w:val="o"/>
      <w:lvlJc w:val="left"/>
      <w:pPr>
        <w:ind w:left="5760" w:hanging="360"/>
      </w:pPr>
      <w:rPr>
        <w:rFonts w:ascii="MS Gothic" w:hAnsi="MS Gothic" w:hint="default"/>
      </w:rPr>
    </w:lvl>
    <w:lvl w:ilvl="8" w:tplc="71ECD2CE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1" w15:restartNumberingAfterBreak="0">
    <w:nsid w:val="102E6AB3"/>
    <w:multiLevelType w:val="hybridMultilevel"/>
    <w:tmpl w:val="2026A192"/>
    <w:lvl w:ilvl="0" w:tplc="ECF6237C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9F76D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A8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44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46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C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49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45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4A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975"/>
    <w:multiLevelType w:val="hybridMultilevel"/>
    <w:tmpl w:val="FFFFFFFF"/>
    <w:lvl w:ilvl="0" w:tplc="BBB8FDF0">
      <w:start w:val="1"/>
      <w:numFmt w:val="bullet"/>
      <w:lvlText w:val="·"/>
      <w:lvlJc w:val="left"/>
      <w:pPr>
        <w:ind w:left="720" w:hanging="360"/>
      </w:pPr>
      <w:rPr>
        <w:rFonts w:ascii="Segoe UI" w:hAnsi="Segoe UI" w:hint="default"/>
      </w:rPr>
    </w:lvl>
    <w:lvl w:ilvl="1" w:tplc="9B187898">
      <w:start w:val="1"/>
      <w:numFmt w:val="bullet"/>
      <w:lvlText w:val="o"/>
      <w:lvlJc w:val="left"/>
      <w:pPr>
        <w:ind w:left="1440" w:hanging="360"/>
      </w:pPr>
      <w:rPr>
        <w:rFonts w:ascii="MS Gothic" w:hAnsi="MS Gothic" w:hint="default"/>
      </w:rPr>
    </w:lvl>
    <w:lvl w:ilvl="2" w:tplc="CEF65ABE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9E34C964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A61E5FF6">
      <w:start w:val="1"/>
      <w:numFmt w:val="bullet"/>
      <w:lvlText w:val="o"/>
      <w:lvlJc w:val="left"/>
      <w:pPr>
        <w:ind w:left="3600" w:hanging="360"/>
      </w:pPr>
      <w:rPr>
        <w:rFonts w:ascii="MS Gothic" w:hAnsi="MS Gothic" w:hint="default"/>
      </w:rPr>
    </w:lvl>
    <w:lvl w:ilvl="5" w:tplc="F5F8DBA4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D886462A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1370F810">
      <w:start w:val="1"/>
      <w:numFmt w:val="bullet"/>
      <w:lvlText w:val="o"/>
      <w:lvlJc w:val="left"/>
      <w:pPr>
        <w:ind w:left="5760" w:hanging="360"/>
      </w:pPr>
      <w:rPr>
        <w:rFonts w:ascii="MS Gothic" w:hAnsi="MS Gothic" w:hint="default"/>
      </w:rPr>
    </w:lvl>
    <w:lvl w:ilvl="8" w:tplc="2B3CF576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3" w15:restartNumberingAfterBreak="0">
    <w:nsid w:val="1B5F5441"/>
    <w:multiLevelType w:val="multilevel"/>
    <w:tmpl w:val="0A3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2F3DA9"/>
    <w:multiLevelType w:val="hybridMultilevel"/>
    <w:tmpl w:val="FFFFFFFF"/>
    <w:lvl w:ilvl="0" w:tplc="728AA768">
      <w:start w:val="1"/>
      <w:numFmt w:val="bullet"/>
      <w:lvlText w:val="·"/>
      <w:lvlJc w:val="left"/>
      <w:pPr>
        <w:ind w:left="720" w:hanging="360"/>
      </w:pPr>
      <w:rPr>
        <w:rFonts w:ascii="Segoe UI" w:hAnsi="Segoe UI" w:hint="default"/>
      </w:rPr>
    </w:lvl>
    <w:lvl w:ilvl="1" w:tplc="DD8E16AC">
      <w:start w:val="1"/>
      <w:numFmt w:val="bullet"/>
      <w:lvlText w:val="o"/>
      <w:lvlJc w:val="left"/>
      <w:pPr>
        <w:ind w:left="1440" w:hanging="360"/>
      </w:pPr>
      <w:rPr>
        <w:rFonts w:ascii="MS Gothic" w:hAnsi="MS Gothic" w:hint="default"/>
      </w:rPr>
    </w:lvl>
    <w:lvl w:ilvl="2" w:tplc="2D127A34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C2E428C2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D4B7C4">
      <w:start w:val="1"/>
      <w:numFmt w:val="bullet"/>
      <w:lvlText w:val="o"/>
      <w:lvlJc w:val="left"/>
      <w:pPr>
        <w:ind w:left="3600" w:hanging="360"/>
      </w:pPr>
      <w:rPr>
        <w:rFonts w:ascii="MS Gothic" w:hAnsi="MS Gothic" w:hint="default"/>
      </w:rPr>
    </w:lvl>
    <w:lvl w:ilvl="5" w:tplc="850ECCC2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BECC0A0E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F8AEB368">
      <w:start w:val="1"/>
      <w:numFmt w:val="bullet"/>
      <w:lvlText w:val="o"/>
      <w:lvlJc w:val="left"/>
      <w:pPr>
        <w:ind w:left="5760" w:hanging="360"/>
      </w:pPr>
      <w:rPr>
        <w:rFonts w:ascii="MS Gothic" w:hAnsi="MS Gothic" w:hint="default"/>
      </w:rPr>
    </w:lvl>
    <w:lvl w:ilvl="8" w:tplc="18D05598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5" w15:restartNumberingAfterBreak="0">
    <w:nsid w:val="2600765D"/>
    <w:multiLevelType w:val="multilevel"/>
    <w:tmpl w:val="6288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CA40DF"/>
    <w:multiLevelType w:val="hybridMultilevel"/>
    <w:tmpl w:val="C360DC7A"/>
    <w:lvl w:ilvl="0" w:tplc="E1F4D45C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72720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C4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A0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0F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A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21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60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E4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0276"/>
    <w:multiLevelType w:val="hybridMultilevel"/>
    <w:tmpl w:val="FFFFFFFF"/>
    <w:lvl w:ilvl="0" w:tplc="2D9E6E0A">
      <w:start w:val="1"/>
      <w:numFmt w:val="bullet"/>
      <w:lvlText w:val="·"/>
      <w:lvlJc w:val="left"/>
      <w:pPr>
        <w:ind w:left="720" w:hanging="360"/>
      </w:pPr>
      <w:rPr>
        <w:rFonts w:ascii="Segoe UI" w:hAnsi="Segoe UI" w:hint="default"/>
      </w:rPr>
    </w:lvl>
    <w:lvl w:ilvl="1" w:tplc="0890F1F0">
      <w:start w:val="1"/>
      <w:numFmt w:val="bullet"/>
      <w:lvlText w:val="o"/>
      <w:lvlJc w:val="left"/>
      <w:pPr>
        <w:ind w:left="1440" w:hanging="360"/>
      </w:pPr>
      <w:rPr>
        <w:rFonts w:ascii="MS Gothic" w:hAnsi="MS Gothic" w:hint="default"/>
      </w:rPr>
    </w:lvl>
    <w:lvl w:ilvl="2" w:tplc="4C9EC2DE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3E0A851C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1B18E01E">
      <w:start w:val="1"/>
      <w:numFmt w:val="bullet"/>
      <w:lvlText w:val="o"/>
      <w:lvlJc w:val="left"/>
      <w:pPr>
        <w:ind w:left="3600" w:hanging="360"/>
      </w:pPr>
      <w:rPr>
        <w:rFonts w:ascii="MS Gothic" w:hAnsi="MS Gothic" w:hint="default"/>
      </w:rPr>
    </w:lvl>
    <w:lvl w:ilvl="5" w:tplc="8C9A6940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4F76E52E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C5B07C26">
      <w:start w:val="1"/>
      <w:numFmt w:val="bullet"/>
      <w:lvlText w:val="o"/>
      <w:lvlJc w:val="left"/>
      <w:pPr>
        <w:ind w:left="5760" w:hanging="360"/>
      </w:pPr>
      <w:rPr>
        <w:rFonts w:ascii="MS Gothic" w:hAnsi="MS Gothic" w:hint="default"/>
      </w:rPr>
    </w:lvl>
    <w:lvl w:ilvl="8" w:tplc="442CC08C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8" w15:restartNumberingAfterBreak="0">
    <w:nsid w:val="30D76B9F"/>
    <w:multiLevelType w:val="hybridMultilevel"/>
    <w:tmpl w:val="FFFFFFFF"/>
    <w:lvl w:ilvl="0" w:tplc="0E08AB66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08B8F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A8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64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00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03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66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E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05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D4EE1"/>
    <w:multiLevelType w:val="hybridMultilevel"/>
    <w:tmpl w:val="B7246260"/>
    <w:lvl w:ilvl="0" w:tplc="5FD4B578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3056D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62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EE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64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8E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C1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09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CD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84B4E"/>
    <w:multiLevelType w:val="hybridMultilevel"/>
    <w:tmpl w:val="FFFFFFFF"/>
    <w:lvl w:ilvl="0" w:tplc="78B88856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D3526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CD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60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CD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0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23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26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81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20947"/>
    <w:multiLevelType w:val="hybridMultilevel"/>
    <w:tmpl w:val="1C40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716B6"/>
    <w:multiLevelType w:val="hybridMultilevel"/>
    <w:tmpl w:val="FA18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7643"/>
    <w:multiLevelType w:val="hybridMultilevel"/>
    <w:tmpl w:val="79C04AFC"/>
    <w:lvl w:ilvl="0" w:tplc="2F262ECE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E8442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F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8E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A4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4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6A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0F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16992"/>
    <w:multiLevelType w:val="hybridMultilevel"/>
    <w:tmpl w:val="FFFFFFFF"/>
    <w:lvl w:ilvl="0" w:tplc="98940E0C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22FA5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49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03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C9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40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2B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A8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C9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A1E86"/>
    <w:multiLevelType w:val="hybridMultilevel"/>
    <w:tmpl w:val="81D0B044"/>
    <w:lvl w:ilvl="0" w:tplc="AD92439C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40B60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45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C4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E7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8C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0A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4C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C5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B0006"/>
    <w:multiLevelType w:val="hybridMultilevel"/>
    <w:tmpl w:val="FFFFFFFF"/>
    <w:lvl w:ilvl="0" w:tplc="1F820A92">
      <w:start w:val="1"/>
      <w:numFmt w:val="bullet"/>
      <w:lvlText w:val="·"/>
      <w:lvlJc w:val="left"/>
      <w:pPr>
        <w:ind w:left="720" w:hanging="360"/>
      </w:pPr>
      <w:rPr>
        <w:rFonts w:ascii="Segoe UI" w:hAnsi="Segoe UI" w:hint="default"/>
      </w:rPr>
    </w:lvl>
    <w:lvl w:ilvl="1" w:tplc="D4E6122C">
      <w:start w:val="1"/>
      <w:numFmt w:val="bullet"/>
      <w:lvlText w:val="o"/>
      <w:lvlJc w:val="left"/>
      <w:pPr>
        <w:ind w:left="1440" w:hanging="360"/>
      </w:pPr>
      <w:rPr>
        <w:rFonts w:ascii="MS Gothic" w:hAnsi="MS Gothic" w:hint="default"/>
      </w:rPr>
    </w:lvl>
    <w:lvl w:ilvl="2" w:tplc="675A80E8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B6DEDDD6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E94A405C">
      <w:start w:val="1"/>
      <w:numFmt w:val="bullet"/>
      <w:lvlText w:val="o"/>
      <w:lvlJc w:val="left"/>
      <w:pPr>
        <w:ind w:left="3600" w:hanging="360"/>
      </w:pPr>
      <w:rPr>
        <w:rFonts w:ascii="MS Gothic" w:hAnsi="MS Gothic" w:hint="default"/>
      </w:rPr>
    </w:lvl>
    <w:lvl w:ilvl="5" w:tplc="5AEA3766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96B29928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3F447866">
      <w:start w:val="1"/>
      <w:numFmt w:val="bullet"/>
      <w:lvlText w:val="o"/>
      <w:lvlJc w:val="left"/>
      <w:pPr>
        <w:ind w:left="5760" w:hanging="360"/>
      </w:pPr>
      <w:rPr>
        <w:rFonts w:ascii="MS Gothic" w:hAnsi="MS Gothic" w:hint="default"/>
      </w:rPr>
    </w:lvl>
    <w:lvl w:ilvl="8" w:tplc="774AE70A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17" w15:restartNumberingAfterBreak="0">
    <w:nsid w:val="6ABA3AF3"/>
    <w:multiLevelType w:val="hybridMultilevel"/>
    <w:tmpl w:val="FFFFFFFF"/>
    <w:lvl w:ilvl="0" w:tplc="55C852FE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3BC8C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E9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85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0E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EC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1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A9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06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5118B"/>
    <w:multiLevelType w:val="hybridMultilevel"/>
    <w:tmpl w:val="FFFFFFFF"/>
    <w:lvl w:ilvl="0" w:tplc="6654119A">
      <w:start w:val="1"/>
      <w:numFmt w:val="bullet"/>
      <w:lvlText w:val="·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A612A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E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4F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C8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C7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E3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2B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8C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60E9D"/>
    <w:multiLevelType w:val="hybridMultilevel"/>
    <w:tmpl w:val="773CB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20106">
    <w:abstractNumId w:val="6"/>
  </w:num>
  <w:num w:numId="2" w16cid:durableId="930743522">
    <w:abstractNumId w:val="1"/>
  </w:num>
  <w:num w:numId="3" w16cid:durableId="182209119">
    <w:abstractNumId w:val="15"/>
  </w:num>
  <w:num w:numId="4" w16cid:durableId="719944198">
    <w:abstractNumId w:val="13"/>
  </w:num>
  <w:num w:numId="5" w16cid:durableId="92481738">
    <w:abstractNumId w:val="9"/>
  </w:num>
  <w:num w:numId="6" w16cid:durableId="1184976973">
    <w:abstractNumId w:val="17"/>
  </w:num>
  <w:num w:numId="7" w16cid:durableId="1730609607">
    <w:abstractNumId w:val="14"/>
  </w:num>
  <w:num w:numId="8" w16cid:durableId="1954824635">
    <w:abstractNumId w:val="10"/>
  </w:num>
  <w:num w:numId="9" w16cid:durableId="1838492629">
    <w:abstractNumId w:val="18"/>
  </w:num>
  <w:num w:numId="10" w16cid:durableId="1397044809">
    <w:abstractNumId w:val="8"/>
  </w:num>
  <w:num w:numId="11" w16cid:durableId="368117223">
    <w:abstractNumId w:val="0"/>
  </w:num>
  <w:num w:numId="12" w16cid:durableId="938023019">
    <w:abstractNumId w:val="16"/>
  </w:num>
  <w:num w:numId="13" w16cid:durableId="791746378">
    <w:abstractNumId w:val="2"/>
  </w:num>
  <w:num w:numId="14" w16cid:durableId="765005963">
    <w:abstractNumId w:val="7"/>
  </w:num>
  <w:num w:numId="15" w16cid:durableId="21785683">
    <w:abstractNumId w:val="4"/>
  </w:num>
  <w:num w:numId="16" w16cid:durableId="1157526587">
    <w:abstractNumId w:val="19"/>
  </w:num>
  <w:num w:numId="17" w16cid:durableId="1945265448">
    <w:abstractNumId w:val="5"/>
  </w:num>
  <w:num w:numId="18" w16cid:durableId="754136199">
    <w:abstractNumId w:val="3"/>
  </w:num>
  <w:num w:numId="19" w16cid:durableId="234433449">
    <w:abstractNumId w:val="11"/>
  </w:num>
  <w:num w:numId="20" w16cid:durableId="1351952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jYzMjc0NDUxMTZT0lEKTi0uzszPAykwrgUA/2cj+SwAAAA="/>
  </w:docVars>
  <w:rsids>
    <w:rsidRoot w:val="445CA0D4"/>
    <w:rsid w:val="000115BE"/>
    <w:rsid w:val="0003744A"/>
    <w:rsid w:val="000533EC"/>
    <w:rsid w:val="00080A3E"/>
    <w:rsid w:val="00087E67"/>
    <w:rsid w:val="000A17C2"/>
    <w:rsid w:val="000E0C40"/>
    <w:rsid w:val="000E66C5"/>
    <w:rsid w:val="00125A7C"/>
    <w:rsid w:val="00143BA8"/>
    <w:rsid w:val="0018315A"/>
    <w:rsid w:val="001874D2"/>
    <w:rsid w:val="00226B6E"/>
    <w:rsid w:val="00248EC6"/>
    <w:rsid w:val="00316767"/>
    <w:rsid w:val="003872C6"/>
    <w:rsid w:val="00396FFA"/>
    <w:rsid w:val="0043325E"/>
    <w:rsid w:val="004538DF"/>
    <w:rsid w:val="004715B2"/>
    <w:rsid w:val="005D2467"/>
    <w:rsid w:val="005D44D9"/>
    <w:rsid w:val="00672D9A"/>
    <w:rsid w:val="006A1E7B"/>
    <w:rsid w:val="006B6EF9"/>
    <w:rsid w:val="006C3E69"/>
    <w:rsid w:val="00770572"/>
    <w:rsid w:val="007A08C8"/>
    <w:rsid w:val="007EBC9B"/>
    <w:rsid w:val="007F09AE"/>
    <w:rsid w:val="00875AC0"/>
    <w:rsid w:val="00895809"/>
    <w:rsid w:val="00946054"/>
    <w:rsid w:val="009D588C"/>
    <w:rsid w:val="009F4436"/>
    <w:rsid w:val="00A84942"/>
    <w:rsid w:val="00A908C9"/>
    <w:rsid w:val="00A96E37"/>
    <w:rsid w:val="00AA0F91"/>
    <w:rsid w:val="00B313D0"/>
    <w:rsid w:val="00B36A61"/>
    <w:rsid w:val="00B7002E"/>
    <w:rsid w:val="00C30B39"/>
    <w:rsid w:val="00CF0BC5"/>
    <w:rsid w:val="00D5069D"/>
    <w:rsid w:val="00DB1B76"/>
    <w:rsid w:val="00DC72FE"/>
    <w:rsid w:val="00DD78B0"/>
    <w:rsid w:val="00E02E1B"/>
    <w:rsid w:val="00E05250"/>
    <w:rsid w:val="00E30D89"/>
    <w:rsid w:val="00E57713"/>
    <w:rsid w:val="00E97A89"/>
    <w:rsid w:val="00ED7F68"/>
    <w:rsid w:val="00F30E22"/>
    <w:rsid w:val="00F86059"/>
    <w:rsid w:val="00F92521"/>
    <w:rsid w:val="00F95987"/>
    <w:rsid w:val="00FB3A23"/>
    <w:rsid w:val="00FE5AD3"/>
    <w:rsid w:val="038C2CFA"/>
    <w:rsid w:val="05B403F7"/>
    <w:rsid w:val="0611DA8A"/>
    <w:rsid w:val="07961625"/>
    <w:rsid w:val="12ADF659"/>
    <w:rsid w:val="1414978B"/>
    <w:rsid w:val="1C3E0E22"/>
    <w:rsid w:val="23FFFB33"/>
    <w:rsid w:val="248E16F6"/>
    <w:rsid w:val="25ABB590"/>
    <w:rsid w:val="2D5B00B6"/>
    <w:rsid w:val="2E430627"/>
    <w:rsid w:val="2F07D044"/>
    <w:rsid w:val="30DA8CC4"/>
    <w:rsid w:val="331292DF"/>
    <w:rsid w:val="34749B37"/>
    <w:rsid w:val="3E861CDB"/>
    <w:rsid w:val="3F1122C6"/>
    <w:rsid w:val="3F490879"/>
    <w:rsid w:val="3FCE4B2C"/>
    <w:rsid w:val="3FE28527"/>
    <w:rsid w:val="445CA0D4"/>
    <w:rsid w:val="45E73A6A"/>
    <w:rsid w:val="483A8CA8"/>
    <w:rsid w:val="4CE78550"/>
    <w:rsid w:val="501B0983"/>
    <w:rsid w:val="57153B52"/>
    <w:rsid w:val="573AAAA2"/>
    <w:rsid w:val="59614031"/>
    <w:rsid w:val="5B62EAF2"/>
    <w:rsid w:val="6D290A88"/>
    <w:rsid w:val="7A64ED2B"/>
    <w:rsid w:val="7BC643D9"/>
    <w:rsid w:val="7E04602C"/>
    <w:rsid w:val="7EBAE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A0D4"/>
  <w15:chartTrackingRefBased/>
  <w15:docId w15:val="{6EFED475-77B1-4CA5-A307-E39E961D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6054"/>
    <w:pPr>
      <w:spacing w:after="0" w:line="276" w:lineRule="auto"/>
    </w:pPr>
    <w:rPr>
      <w:rFonts w:ascii="Courier New" w:eastAsia="Courier New" w:hAnsi="Courier New" w:cs="Courier New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8DF"/>
    <w:pPr>
      <w:contextualSpacing/>
      <w:jc w:val="center"/>
      <w:outlineLvl w:val="0"/>
    </w:pPr>
    <w:rPr>
      <w:rFonts w:asciiTheme="minorHAnsi" w:eastAsia="source sans regular" w:hAnsiTheme="minorHAnsi" w:cs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46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054"/>
    <w:rPr>
      <w:rFonts w:ascii="Courier New" w:eastAsia="Courier New" w:hAnsi="Courier New" w:cs="Courier New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94605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38DF"/>
    <w:rPr>
      <w:rFonts w:eastAsia="source sans regular" w:cstheme="minorHAnsi"/>
      <w:sz w:val="24"/>
      <w:szCs w:val="24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E052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character" w:styleId="Hyperlink">
    <w:name w:val="Hyperlink"/>
    <w:basedOn w:val="DefaultParagraphFont"/>
    <w:uiPriority w:val="99"/>
    <w:unhideWhenUsed/>
    <w:rsid w:val="00E052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42"/>
    <w:rPr>
      <w:rFonts w:ascii="Courier New" w:eastAsia="Courier New" w:hAnsi="Courier New" w:cs="Courier New"/>
      <w:lang w:val="en"/>
    </w:rPr>
  </w:style>
  <w:style w:type="paragraph" w:styleId="Footer">
    <w:name w:val="footer"/>
    <w:basedOn w:val="Normal"/>
    <w:link w:val="FooterChar"/>
    <w:uiPriority w:val="99"/>
    <w:unhideWhenUsed/>
    <w:rsid w:val="00A84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42"/>
    <w:rPr>
      <w:rFonts w:ascii="Courier New" w:eastAsia="Courier New" w:hAnsi="Courier New" w:cs="Courier New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713"/>
    <w:rPr>
      <w:rFonts w:ascii="Courier New" w:eastAsia="Courier New" w:hAnsi="Courier New" w:cs="Courier New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9D"/>
    <w:rPr>
      <w:rFonts w:ascii="Segoe UI" w:eastAsia="Courier New" w:hAnsi="Segoe UI" w:cs="Segoe UI"/>
      <w:sz w:val="18"/>
      <w:szCs w:val="18"/>
      <w:lang w:val="en"/>
    </w:rPr>
  </w:style>
  <w:style w:type="paragraph" w:customStyle="1" w:styleId="TextboxHead">
    <w:name w:val="TextboxHead"/>
    <w:basedOn w:val="Normal"/>
    <w:link w:val="TextboxHeadChar"/>
    <w:qFormat/>
    <w:rsid w:val="006C3E69"/>
    <w:pPr>
      <w:shd w:val="clear" w:color="auto" w:fill="000000" w:themeFill="text1"/>
      <w:jc w:val="center"/>
    </w:pPr>
    <w:rPr>
      <w:rFonts w:asciiTheme="minorHAnsi" w:hAnsiTheme="minorHAnsi"/>
      <w:sz w:val="24"/>
    </w:rPr>
  </w:style>
  <w:style w:type="paragraph" w:customStyle="1" w:styleId="TextboxList">
    <w:name w:val="TextboxList"/>
    <w:basedOn w:val="TextboxHead"/>
    <w:link w:val="TextboxListChar"/>
    <w:qFormat/>
    <w:rsid w:val="006C3E69"/>
    <w:pPr>
      <w:shd w:val="clear" w:color="auto" w:fill="E7E6E6" w:themeFill="background2"/>
      <w:spacing w:line="240" w:lineRule="auto"/>
    </w:pPr>
    <w:rPr>
      <w:w w:val="80"/>
      <w:sz w:val="22"/>
    </w:rPr>
  </w:style>
  <w:style w:type="character" w:customStyle="1" w:styleId="TextboxHeadChar">
    <w:name w:val="TextboxHead Char"/>
    <w:basedOn w:val="DefaultParagraphFont"/>
    <w:link w:val="TextboxHead"/>
    <w:rsid w:val="006C3E69"/>
    <w:rPr>
      <w:rFonts w:eastAsia="Courier New" w:cs="Courier New"/>
      <w:sz w:val="24"/>
      <w:shd w:val="clear" w:color="auto" w:fill="000000" w:themeFill="text1"/>
      <w:lang w:val="en"/>
    </w:rPr>
  </w:style>
  <w:style w:type="character" w:customStyle="1" w:styleId="TextboxListChar">
    <w:name w:val="TextboxList Char"/>
    <w:basedOn w:val="TextboxHeadChar"/>
    <w:link w:val="TextboxList"/>
    <w:rsid w:val="006C3E69"/>
    <w:rPr>
      <w:rFonts w:eastAsia="Courier New" w:cs="Courier New"/>
      <w:w w:val="80"/>
      <w:sz w:val="24"/>
      <w:shd w:val="clear" w:color="auto" w:fill="E7E6E6" w:themeFill="background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DC75-0E82-4B59-AB52-96F35F9B7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9D32F8-830B-4E47-B0C7-8682C3EC3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E4DB9-D0FD-4153-B82C-83F66D133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4230B-8E6F-47B0-92B0-7492699C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CERF Theory of Change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CERF Theory of Change</dc:title>
  <dc:subject/>
  <dc:creator>Mary Collins</dc:creator>
  <cp:keywords/>
  <dc:description/>
  <cp:lastModifiedBy>Ochoa, John@EDD</cp:lastModifiedBy>
  <cp:revision>7</cp:revision>
  <dcterms:created xsi:type="dcterms:W3CDTF">2022-05-24T15:23:00Z</dcterms:created>
  <dcterms:modified xsi:type="dcterms:W3CDTF">2023-06-21T22:06:00Z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