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26F34" w14:textId="26E9A213" w:rsidR="00C61260" w:rsidRDefault="00C009EC" w:rsidP="00BC14E3">
      <w:pPr>
        <w:pStyle w:val="Header"/>
      </w:pPr>
      <w:r w:rsidRPr="00C009EC">
        <w:rPr>
          <w:rFonts w:ascii="Calibri" w:eastAsia="Times New Roman" w:hAnsi="Calibri" w:cs="Times New Roman"/>
          <w:noProof/>
          <w:szCs w:val="24"/>
        </w:rPr>
        <w:drawing>
          <wp:inline distT="0" distB="0" distL="0" distR="0" wp14:anchorId="26BEA76E" wp14:editId="347CE3BB">
            <wp:extent cx="1089660" cy="681038"/>
            <wp:effectExtent l="0" t="0" r="0" b="5080"/>
            <wp:docPr id="1750392694" name="Picture 3" descr="Department Logo: Employment Development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92694" name="Picture 3" descr="Department Logo: Employment Development Depart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557" cy="714724"/>
                    </a:xfrm>
                    <a:prstGeom prst="rect">
                      <a:avLst/>
                    </a:prstGeom>
                    <a:noFill/>
                    <a:ln>
                      <a:noFill/>
                    </a:ln>
                  </pic:spPr>
                </pic:pic>
              </a:graphicData>
            </a:graphic>
          </wp:inline>
        </w:drawing>
      </w:r>
    </w:p>
    <w:p w14:paraId="2F40D1E4" w14:textId="6E579C56" w:rsidR="00C61260" w:rsidRPr="00D76615" w:rsidRDefault="00C61260" w:rsidP="00167951">
      <w:pPr>
        <w:pStyle w:val="Heading1"/>
      </w:pPr>
      <w:r w:rsidRPr="00D76615">
        <w:t>F</w:t>
      </w:r>
      <w:r w:rsidR="00CE05FE">
        <w:t>armworkers Advancement Program</w:t>
      </w:r>
    </w:p>
    <w:p w14:paraId="64C0F3EA" w14:textId="16D2EF2F" w:rsidR="00C61260" w:rsidRPr="00D76615" w:rsidRDefault="00C61260" w:rsidP="00167951">
      <w:pPr>
        <w:pStyle w:val="Heading1"/>
      </w:pPr>
      <w:r w:rsidRPr="00D76615">
        <w:t xml:space="preserve">Solicitation for Proposals Program Year </w:t>
      </w:r>
      <w:r w:rsidR="00CE05FE">
        <w:t>2026-27</w:t>
      </w:r>
    </w:p>
    <w:p w14:paraId="7EB0DB3F" w14:textId="5BC8DB6D" w:rsidR="00C61260" w:rsidRPr="00D76615" w:rsidRDefault="00C61260" w:rsidP="00167951">
      <w:pPr>
        <w:pStyle w:val="Heading1"/>
        <w:sectPr w:rsidR="00C61260" w:rsidRPr="00D76615" w:rsidSect="00C009EC">
          <w:headerReference w:type="default" r:id="rId11"/>
          <w:footerReference w:type="default" r:id="rId12"/>
          <w:footerReference w:type="first" r:id="rId13"/>
          <w:pgSz w:w="12240" w:h="15840"/>
          <w:pgMar w:top="1008" w:right="1008" w:bottom="1008" w:left="1008" w:header="720" w:footer="720" w:gutter="0"/>
          <w:cols w:num="2" w:space="144" w:equalWidth="0">
            <w:col w:w="1872" w:space="144"/>
            <w:col w:w="8208"/>
          </w:cols>
          <w:titlePg/>
          <w:docGrid w:linePitch="360"/>
        </w:sectPr>
      </w:pPr>
      <w:r w:rsidRPr="00D76615">
        <w:t>Questions and Answers</w:t>
      </w:r>
    </w:p>
    <w:p w14:paraId="75A9F7C1" w14:textId="77777777" w:rsidR="003A6798" w:rsidRPr="00D76615" w:rsidRDefault="003A6798" w:rsidP="001A2FE1">
      <w:pPr>
        <w:pBdr>
          <w:bottom w:val="single" w:sz="4" w:space="1" w:color="auto"/>
        </w:pBdr>
        <w:rPr>
          <w:rFonts w:ascii="Aptos" w:hAnsi="Aptos"/>
          <w:b/>
          <w:sz w:val="16"/>
          <w:szCs w:val="16"/>
        </w:rPr>
      </w:pPr>
    </w:p>
    <w:p w14:paraId="75A9F7C3" w14:textId="77777777" w:rsidR="00DF7D10" w:rsidRPr="00D76615" w:rsidRDefault="00DF7D10" w:rsidP="00DF7D10">
      <w:pPr>
        <w:spacing w:after="0"/>
        <w:rPr>
          <w:rFonts w:ascii="Aptos" w:hAnsi="Aptos"/>
          <w:b/>
          <w:color w:val="1F4E79" w:themeColor="accent1" w:themeShade="80"/>
          <w:szCs w:val="24"/>
        </w:rPr>
      </w:pPr>
    </w:p>
    <w:p w14:paraId="75A9F7C4" w14:textId="6D11DBF2" w:rsidR="00DF7D10" w:rsidRPr="003F30E3" w:rsidRDefault="00CE05FE" w:rsidP="00DF7D10">
      <w:pPr>
        <w:spacing w:after="0" w:line="240" w:lineRule="auto"/>
        <w:rPr>
          <w:rFonts w:ascii="Aptos" w:hAnsi="Aptos"/>
          <w:b/>
          <w:bCs/>
          <w:szCs w:val="24"/>
        </w:rPr>
      </w:pPr>
      <w:r w:rsidRPr="003F30E3">
        <w:rPr>
          <w:rFonts w:ascii="Aptos" w:hAnsi="Aptos"/>
          <w:b/>
          <w:bCs/>
          <w:szCs w:val="24"/>
        </w:rPr>
        <w:t xml:space="preserve">1. </w:t>
      </w:r>
      <w:r w:rsidR="00DF7D10" w:rsidRPr="003F30E3">
        <w:rPr>
          <w:rFonts w:ascii="Aptos" w:hAnsi="Aptos"/>
          <w:b/>
          <w:bCs/>
          <w:szCs w:val="24"/>
        </w:rPr>
        <w:t xml:space="preserve"> </w:t>
      </w:r>
      <w:r w:rsidRPr="003F30E3">
        <w:rPr>
          <w:rFonts w:ascii="Aptos" w:hAnsi="Aptos"/>
          <w:b/>
          <w:bCs/>
          <w:szCs w:val="24"/>
        </w:rPr>
        <w:t>As with previous releases of this grant, the workforce training and target career sectors are not required to be agricultural or related to agriculture, correct? For example, logistics and transportation, healthcare, IT, and finance are all still legitimate sectors for this grant cycle, correct?</w:t>
      </w:r>
    </w:p>
    <w:p w14:paraId="75A9F7C5" w14:textId="77777777" w:rsidR="00DF7D10" w:rsidRPr="00B8014A" w:rsidRDefault="00DF7D10" w:rsidP="00DF7D10">
      <w:pPr>
        <w:spacing w:after="0" w:line="240" w:lineRule="auto"/>
        <w:rPr>
          <w:rFonts w:ascii="Aptos" w:hAnsi="Aptos"/>
          <w:szCs w:val="24"/>
        </w:rPr>
      </w:pPr>
    </w:p>
    <w:p w14:paraId="75A9F7C7" w14:textId="42EDCF40" w:rsidR="00DF7D10" w:rsidRDefault="00CE05FE" w:rsidP="00DF7D10">
      <w:pPr>
        <w:spacing w:after="0" w:line="240" w:lineRule="auto"/>
        <w:rPr>
          <w:rFonts w:ascii="Aptos" w:hAnsi="Aptos"/>
          <w:szCs w:val="24"/>
        </w:rPr>
      </w:pPr>
      <w:r w:rsidRPr="00CE05FE">
        <w:rPr>
          <w:rFonts w:ascii="Aptos" w:hAnsi="Aptos"/>
          <w:szCs w:val="24"/>
        </w:rPr>
        <w:t xml:space="preserve">Yes. Per the SFP, "This Program Year, the FAP grant will be awarded to projects that focus exclusively on farmworker needs at the regional level by offering essential skills and upskilling training to help farm workers continue working in the agricultural industry or prepare them for employment outside the agricultural sector." </w:t>
      </w:r>
    </w:p>
    <w:p w14:paraId="54882F0C" w14:textId="77777777" w:rsidR="00CE05FE" w:rsidRPr="00B8014A" w:rsidRDefault="00CE05FE" w:rsidP="00DF7D10">
      <w:pPr>
        <w:spacing w:after="0" w:line="240" w:lineRule="auto"/>
        <w:rPr>
          <w:rFonts w:ascii="Aptos" w:hAnsi="Aptos"/>
          <w:szCs w:val="24"/>
        </w:rPr>
      </w:pPr>
    </w:p>
    <w:p w14:paraId="75A9F7C8" w14:textId="2EA3A2FB" w:rsidR="00E62748" w:rsidRPr="003F30E3" w:rsidRDefault="00CE05FE" w:rsidP="00E62748">
      <w:pPr>
        <w:spacing w:after="0" w:line="240" w:lineRule="auto"/>
        <w:rPr>
          <w:rFonts w:ascii="Aptos" w:hAnsi="Aptos"/>
          <w:b/>
          <w:bCs/>
          <w:szCs w:val="24"/>
        </w:rPr>
      </w:pPr>
      <w:r w:rsidRPr="003F30E3">
        <w:rPr>
          <w:rFonts w:ascii="Aptos" w:hAnsi="Aptos"/>
          <w:b/>
          <w:bCs/>
          <w:szCs w:val="24"/>
        </w:rPr>
        <w:t>2.</w:t>
      </w:r>
      <w:r w:rsidR="00E62748" w:rsidRPr="003F30E3">
        <w:rPr>
          <w:rFonts w:ascii="Aptos" w:hAnsi="Aptos"/>
          <w:b/>
          <w:bCs/>
          <w:szCs w:val="24"/>
        </w:rPr>
        <w:t xml:space="preserve"> </w:t>
      </w:r>
      <w:r w:rsidRPr="003F30E3">
        <w:rPr>
          <w:rFonts w:ascii="Aptos" w:hAnsi="Aptos"/>
          <w:b/>
          <w:bCs/>
          <w:szCs w:val="24"/>
        </w:rPr>
        <w:t>Will registered apprenticeship play a role in helping to develop rural career pathways?</w:t>
      </w:r>
    </w:p>
    <w:p w14:paraId="75A9F7C9" w14:textId="77777777" w:rsidR="00E62748" w:rsidRPr="00B8014A" w:rsidRDefault="00E62748" w:rsidP="00E62748">
      <w:pPr>
        <w:spacing w:after="0" w:line="240" w:lineRule="auto"/>
        <w:rPr>
          <w:rFonts w:ascii="Aptos" w:hAnsi="Aptos"/>
          <w:szCs w:val="24"/>
        </w:rPr>
      </w:pPr>
    </w:p>
    <w:p w14:paraId="0508D34B" w14:textId="77777777" w:rsidR="00CE05FE" w:rsidRDefault="00CE05FE" w:rsidP="00CE05FE">
      <w:pPr>
        <w:spacing w:after="0" w:line="240" w:lineRule="auto"/>
        <w:rPr>
          <w:rFonts w:ascii="Aptos" w:hAnsi="Aptos"/>
          <w:iCs/>
          <w:szCs w:val="24"/>
        </w:rPr>
      </w:pPr>
      <w:r w:rsidRPr="002E25AC">
        <w:rPr>
          <w:rFonts w:ascii="Aptos" w:hAnsi="Aptos"/>
          <w:iCs/>
          <w:szCs w:val="24"/>
        </w:rPr>
        <w:t xml:space="preserve">Yes, Registered Apprenticeship Programs (RAP) are linked to careers and are WIOA-allowable activities. </w:t>
      </w:r>
    </w:p>
    <w:p w14:paraId="7EB3DF3F" w14:textId="77777777" w:rsidR="00633C84" w:rsidRPr="002E25AC" w:rsidRDefault="00633C84" w:rsidP="00CE05FE">
      <w:pPr>
        <w:spacing w:after="0" w:line="240" w:lineRule="auto"/>
        <w:rPr>
          <w:rFonts w:ascii="Aptos" w:hAnsi="Aptos"/>
          <w:iCs/>
          <w:szCs w:val="24"/>
        </w:rPr>
      </w:pPr>
    </w:p>
    <w:p w14:paraId="6394585F" w14:textId="77777777" w:rsidR="00CE05FE" w:rsidRPr="002E25AC" w:rsidRDefault="00CE05FE" w:rsidP="00CE05FE">
      <w:pPr>
        <w:spacing w:after="0" w:line="240" w:lineRule="auto"/>
        <w:rPr>
          <w:rFonts w:ascii="Aptos" w:hAnsi="Aptos"/>
          <w:szCs w:val="24"/>
        </w:rPr>
      </w:pPr>
      <w:r w:rsidRPr="002E25AC">
        <w:rPr>
          <w:rFonts w:ascii="Aptos" w:hAnsi="Aptos"/>
          <w:iCs/>
          <w:szCs w:val="24"/>
        </w:rPr>
        <w:t xml:space="preserve">For additional information on allowable activities, see Appendix B of the SFP. For more information on the different types of Work-Based Learning opportunities available under WIOA, see the </w:t>
      </w:r>
      <w:hyperlink r:id="rId14" w:history="1">
        <w:proofErr w:type="spellStart"/>
        <w:r w:rsidRPr="002E25AC">
          <w:rPr>
            <w:rStyle w:val="Hyperlink"/>
            <w:rFonts w:ascii="Aptos" w:hAnsi="Aptos"/>
            <w:szCs w:val="24"/>
          </w:rPr>
          <w:t>WorkforceGPS</w:t>
        </w:r>
        <w:proofErr w:type="spellEnd"/>
        <w:r w:rsidRPr="002E25AC">
          <w:rPr>
            <w:rStyle w:val="Hyperlink"/>
            <w:rFonts w:ascii="Aptos" w:hAnsi="Aptos"/>
            <w:szCs w:val="24"/>
          </w:rPr>
          <w:t xml:space="preserve"> - Work-Based Learning Desk Reference</w:t>
        </w:r>
      </w:hyperlink>
      <w:r w:rsidRPr="002E25AC">
        <w:rPr>
          <w:rFonts w:ascii="Aptos" w:hAnsi="Aptos"/>
          <w:szCs w:val="24"/>
        </w:rPr>
        <w:t>.</w:t>
      </w:r>
    </w:p>
    <w:p w14:paraId="75A9F7CB" w14:textId="77777777" w:rsidR="00E62748" w:rsidRPr="00B8014A" w:rsidRDefault="00E62748" w:rsidP="00E62748">
      <w:pPr>
        <w:spacing w:after="0" w:line="240" w:lineRule="auto"/>
        <w:rPr>
          <w:rFonts w:ascii="Aptos" w:hAnsi="Aptos"/>
          <w:szCs w:val="24"/>
        </w:rPr>
      </w:pPr>
    </w:p>
    <w:p w14:paraId="75A9F7CC" w14:textId="1C6F0AD5" w:rsidR="00E62748" w:rsidRPr="003F30E3" w:rsidRDefault="00CE05FE" w:rsidP="00E62748">
      <w:pPr>
        <w:spacing w:after="0" w:line="240" w:lineRule="auto"/>
        <w:rPr>
          <w:rFonts w:ascii="Aptos" w:hAnsi="Aptos"/>
          <w:b/>
          <w:bCs/>
          <w:szCs w:val="24"/>
        </w:rPr>
      </w:pPr>
      <w:r w:rsidRPr="003F30E3">
        <w:rPr>
          <w:rFonts w:ascii="Aptos" w:hAnsi="Aptos"/>
          <w:b/>
          <w:bCs/>
          <w:szCs w:val="24"/>
        </w:rPr>
        <w:t>3.</w:t>
      </w:r>
      <w:r w:rsidR="00E62748" w:rsidRPr="003F30E3">
        <w:rPr>
          <w:rFonts w:ascii="Aptos" w:hAnsi="Aptos"/>
          <w:b/>
          <w:bCs/>
          <w:szCs w:val="24"/>
        </w:rPr>
        <w:t xml:space="preserve">  </w:t>
      </w:r>
      <w:r w:rsidRPr="003F30E3">
        <w:rPr>
          <w:rFonts w:ascii="Aptos" w:hAnsi="Aptos"/>
          <w:b/>
          <w:bCs/>
          <w:szCs w:val="24"/>
        </w:rPr>
        <w:t>Are there any more available details on the 2027 Statewide Convening on Agricultural Workforce Development?</w:t>
      </w:r>
    </w:p>
    <w:p w14:paraId="75A9F7CD" w14:textId="77777777" w:rsidR="00E62748" w:rsidRPr="00B8014A" w:rsidRDefault="00E62748" w:rsidP="00E62748">
      <w:pPr>
        <w:spacing w:after="0" w:line="240" w:lineRule="auto"/>
        <w:rPr>
          <w:rFonts w:ascii="Aptos" w:hAnsi="Aptos"/>
          <w:szCs w:val="24"/>
        </w:rPr>
      </w:pPr>
    </w:p>
    <w:p w14:paraId="75A9F7CE" w14:textId="0F2BBC7F" w:rsidR="00E62748" w:rsidRPr="00B8014A" w:rsidRDefault="00CE05FE" w:rsidP="00C77556">
      <w:pPr>
        <w:spacing w:after="0" w:line="240" w:lineRule="auto"/>
        <w:rPr>
          <w:rFonts w:ascii="Aptos" w:hAnsi="Aptos"/>
          <w:szCs w:val="24"/>
        </w:rPr>
      </w:pPr>
      <w:r w:rsidRPr="00CE05FE">
        <w:rPr>
          <w:rFonts w:ascii="Aptos" w:hAnsi="Aptos"/>
          <w:szCs w:val="24"/>
        </w:rPr>
        <w:t xml:space="preserve">Details for the 2027 convening have not yet been finalized; however, it is projected to take place in February or March 2027. </w:t>
      </w:r>
    </w:p>
    <w:p w14:paraId="75A9F7CF" w14:textId="77777777" w:rsidR="00E62748" w:rsidRPr="00B8014A" w:rsidRDefault="00E62748" w:rsidP="00E62748">
      <w:pPr>
        <w:spacing w:after="0" w:line="240" w:lineRule="auto"/>
        <w:rPr>
          <w:rFonts w:ascii="Aptos" w:hAnsi="Aptos"/>
          <w:szCs w:val="24"/>
        </w:rPr>
      </w:pPr>
    </w:p>
    <w:p w14:paraId="75A9F7D0" w14:textId="6B201A6F" w:rsidR="00E62748" w:rsidRPr="003F30E3" w:rsidRDefault="00CE05FE" w:rsidP="00E62748">
      <w:pPr>
        <w:spacing w:after="0" w:line="240" w:lineRule="auto"/>
        <w:rPr>
          <w:rFonts w:ascii="Aptos" w:hAnsi="Aptos"/>
          <w:b/>
          <w:bCs/>
          <w:szCs w:val="24"/>
        </w:rPr>
      </w:pPr>
      <w:r w:rsidRPr="003F30E3">
        <w:rPr>
          <w:rFonts w:ascii="Aptos" w:hAnsi="Aptos"/>
          <w:b/>
          <w:bCs/>
          <w:szCs w:val="24"/>
        </w:rPr>
        <w:t>4.</w:t>
      </w:r>
      <w:r w:rsidR="00E62748" w:rsidRPr="003F30E3">
        <w:rPr>
          <w:rFonts w:ascii="Aptos" w:hAnsi="Aptos"/>
          <w:b/>
          <w:bCs/>
          <w:szCs w:val="24"/>
        </w:rPr>
        <w:t xml:space="preserve"> </w:t>
      </w:r>
      <w:r w:rsidRPr="003F30E3">
        <w:rPr>
          <w:rFonts w:ascii="Aptos" w:hAnsi="Aptos"/>
          <w:b/>
          <w:bCs/>
          <w:szCs w:val="24"/>
        </w:rPr>
        <w:t>Do the expertise and capacity to attract individuals into the career pipeline with the opportunity to achieve a livable wage job apply only to the lead applicant or across the partnership team, including any sub-awardee?</w:t>
      </w:r>
    </w:p>
    <w:p w14:paraId="75A9F7D1" w14:textId="77777777" w:rsidR="00E62748" w:rsidRPr="00B8014A" w:rsidRDefault="00E62748" w:rsidP="00E62748">
      <w:pPr>
        <w:spacing w:after="0" w:line="240" w:lineRule="auto"/>
        <w:rPr>
          <w:rFonts w:ascii="Aptos" w:hAnsi="Aptos"/>
          <w:szCs w:val="24"/>
        </w:rPr>
      </w:pPr>
    </w:p>
    <w:p w14:paraId="75A9F7D2" w14:textId="65311B86" w:rsidR="00E62748" w:rsidRPr="00B8014A" w:rsidRDefault="00CE05FE" w:rsidP="00C77556">
      <w:pPr>
        <w:spacing w:after="0" w:line="240" w:lineRule="auto"/>
        <w:rPr>
          <w:rFonts w:ascii="Aptos" w:hAnsi="Aptos"/>
          <w:szCs w:val="24"/>
        </w:rPr>
      </w:pPr>
      <w:r w:rsidRPr="00CE05FE">
        <w:rPr>
          <w:rFonts w:ascii="Aptos" w:hAnsi="Aptos"/>
          <w:szCs w:val="24"/>
        </w:rPr>
        <w:t>While the administrative capacity section is aimed primarily at lead applicants, all partners and sub-awardees must have the administrative capacity to complete all activities outlined in their partnership agreement with the lead agency.</w:t>
      </w:r>
    </w:p>
    <w:p w14:paraId="75A9F7D3" w14:textId="77777777" w:rsidR="00E62748" w:rsidRPr="00B8014A" w:rsidRDefault="00E62748" w:rsidP="00E62748">
      <w:pPr>
        <w:spacing w:after="0" w:line="240" w:lineRule="auto"/>
        <w:rPr>
          <w:rFonts w:ascii="Aptos" w:hAnsi="Aptos"/>
          <w:szCs w:val="24"/>
        </w:rPr>
      </w:pPr>
    </w:p>
    <w:p w14:paraId="75A9F7D4" w14:textId="78E41B28" w:rsidR="00E62748" w:rsidRPr="003F30E3" w:rsidRDefault="00CE05FE" w:rsidP="00E62748">
      <w:pPr>
        <w:spacing w:after="0" w:line="240" w:lineRule="auto"/>
        <w:rPr>
          <w:rFonts w:ascii="Aptos" w:hAnsi="Aptos"/>
          <w:b/>
          <w:bCs/>
          <w:szCs w:val="24"/>
        </w:rPr>
      </w:pPr>
      <w:r w:rsidRPr="003F30E3">
        <w:rPr>
          <w:rFonts w:ascii="Aptos" w:hAnsi="Aptos"/>
          <w:b/>
          <w:bCs/>
          <w:szCs w:val="24"/>
        </w:rPr>
        <w:t>5.</w:t>
      </w:r>
      <w:r w:rsidR="00E62748" w:rsidRPr="003F30E3">
        <w:rPr>
          <w:rFonts w:ascii="Aptos" w:hAnsi="Aptos"/>
          <w:b/>
          <w:bCs/>
          <w:szCs w:val="24"/>
        </w:rPr>
        <w:t xml:space="preserve"> </w:t>
      </w:r>
      <w:r w:rsidRPr="003F30E3">
        <w:rPr>
          <w:rFonts w:ascii="Aptos" w:hAnsi="Aptos"/>
          <w:b/>
          <w:bCs/>
          <w:szCs w:val="24"/>
        </w:rPr>
        <w:t xml:space="preserve">If an organization has less than $1 million in federal grants, does EDD still require a single audit if they receive the FAP award? </w:t>
      </w:r>
    </w:p>
    <w:p w14:paraId="75A9F7D5" w14:textId="77777777" w:rsidR="00E62748" w:rsidRPr="00B8014A" w:rsidRDefault="00E62748" w:rsidP="00E62748">
      <w:pPr>
        <w:spacing w:after="0" w:line="240" w:lineRule="auto"/>
        <w:rPr>
          <w:rFonts w:ascii="Aptos" w:hAnsi="Aptos"/>
          <w:szCs w:val="24"/>
        </w:rPr>
      </w:pPr>
    </w:p>
    <w:p w14:paraId="11088E41" w14:textId="24C0FE45" w:rsidR="00CE05FE" w:rsidRPr="002E25AC" w:rsidRDefault="00CE05FE" w:rsidP="00CE05FE">
      <w:pPr>
        <w:spacing w:after="0" w:line="240" w:lineRule="auto"/>
        <w:rPr>
          <w:rFonts w:ascii="Aptos" w:hAnsi="Aptos"/>
          <w:szCs w:val="24"/>
        </w:rPr>
      </w:pPr>
      <w:r w:rsidRPr="002E25AC">
        <w:rPr>
          <w:rFonts w:ascii="Aptos" w:hAnsi="Aptos"/>
          <w:szCs w:val="24"/>
        </w:rPr>
        <w:t xml:space="preserve">Only a non-federal entity that expends $1,000,000 or more in federal awards during the non-federal entity's fiscal year must have a single audit conducted in accordance with 2 CFR § 200.514, except when it elects to have a program-specific audit conducted in accordance with paragraph (c) or (d) of this section. A non-federal entity that expends less than the single-audit threshold must submit </w:t>
      </w:r>
      <w:r w:rsidRPr="002E25AC">
        <w:rPr>
          <w:rFonts w:ascii="Aptos" w:hAnsi="Aptos"/>
          <w:szCs w:val="24"/>
        </w:rPr>
        <w:lastRenderedPageBreak/>
        <w:t>written certification of its exempt status as outlined in Workforce Services Directives</w:t>
      </w:r>
      <w:r w:rsidR="00322184" w:rsidRPr="00322184">
        <w:rPr>
          <w:rFonts w:ascii="Aptos" w:hAnsi="Aptos"/>
          <w:i/>
          <w:iCs/>
          <w:szCs w:val="24"/>
        </w:rPr>
        <w:t xml:space="preserve"> </w:t>
      </w:r>
      <w:r w:rsidR="00322184" w:rsidRPr="002E25AC">
        <w:rPr>
          <w:rFonts w:ascii="Aptos" w:hAnsi="Aptos"/>
          <w:i/>
          <w:iCs/>
          <w:szCs w:val="24"/>
        </w:rPr>
        <w:t>Audit Requirements</w:t>
      </w:r>
      <w:r w:rsidRPr="002E25AC">
        <w:rPr>
          <w:rFonts w:ascii="Aptos" w:hAnsi="Aptos"/>
          <w:szCs w:val="24"/>
        </w:rPr>
        <w:t xml:space="preserve"> </w:t>
      </w:r>
      <w:r w:rsidR="00322184">
        <w:rPr>
          <w:rFonts w:ascii="Aptos" w:hAnsi="Aptos"/>
          <w:szCs w:val="24"/>
        </w:rPr>
        <w:t>(</w:t>
      </w:r>
      <w:hyperlink r:id="rId15">
        <w:r w:rsidRPr="002E25AC">
          <w:rPr>
            <w:rStyle w:val="Hyperlink"/>
            <w:rFonts w:ascii="Aptos" w:hAnsi="Aptos"/>
            <w:szCs w:val="24"/>
          </w:rPr>
          <w:t>WSD20-03</w:t>
        </w:r>
      </w:hyperlink>
      <w:r w:rsidR="005A2B0D">
        <w:rPr>
          <w:rFonts w:ascii="Aptos" w:hAnsi="Aptos"/>
          <w:szCs w:val="24"/>
        </w:rPr>
        <w:t>).</w:t>
      </w:r>
      <w:r w:rsidRPr="002E25AC">
        <w:rPr>
          <w:rFonts w:ascii="Aptos" w:hAnsi="Aptos"/>
          <w:szCs w:val="24"/>
        </w:rPr>
        <w:t xml:space="preserve"> In addition to a single audit, all FAP awardees may be subject to EDD contract monitoring. Monitoring includes reviewing financial statements, assessing compliance with federal award terms, and evaluating internal controls over compliance, including identifying errors, fraud, and noncompliance.</w:t>
      </w:r>
    </w:p>
    <w:p w14:paraId="75A9F7D7" w14:textId="77777777" w:rsidR="00E62748" w:rsidRPr="00B8014A" w:rsidRDefault="00E62748" w:rsidP="00E62748">
      <w:pPr>
        <w:spacing w:after="0" w:line="240" w:lineRule="auto"/>
        <w:rPr>
          <w:rFonts w:ascii="Aptos" w:hAnsi="Aptos"/>
          <w:szCs w:val="24"/>
        </w:rPr>
      </w:pPr>
    </w:p>
    <w:p w14:paraId="7DA6AFFC" w14:textId="7E3EB2F2" w:rsidR="00CE05FE" w:rsidRPr="000F1782" w:rsidRDefault="00CE05FE" w:rsidP="00CE05FE">
      <w:pPr>
        <w:spacing w:after="0" w:line="240" w:lineRule="auto"/>
        <w:rPr>
          <w:rFonts w:ascii="Aptos" w:hAnsi="Aptos"/>
          <w:b/>
          <w:bCs/>
          <w:szCs w:val="24"/>
        </w:rPr>
      </w:pPr>
      <w:r w:rsidRPr="000F1782">
        <w:rPr>
          <w:rFonts w:ascii="Aptos" w:hAnsi="Aptos"/>
          <w:b/>
          <w:bCs/>
          <w:szCs w:val="24"/>
        </w:rPr>
        <w:t xml:space="preserve">6. </w:t>
      </w:r>
      <w:r w:rsidR="00E427A2" w:rsidRPr="000F1782">
        <w:rPr>
          <w:rFonts w:ascii="Aptos" w:hAnsi="Aptos"/>
          <w:b/>
          <w:bCs/>
          <w:szCs w:val="24"/>
        </w:rPr>
        <w:t>Can an organization be a partner on multiple proposals?</w:t>
      </w:r>
    </w:p>
    <w:p w14:paraId="7EBA6249" w14:textId="77777777" w:rsidR="00CE05FE" w:rsidRPr="00B8014A" w:rsidRDefault="00CE05FE" w:rsidP="00CE05FE">
      <w:pPr>
        <w:spacing w:after="0" w:line="240" w:lineRule="auto"/>
        <w:rPr>
          <w:rFonts w:ascii="Aptos" w:hAnsi="Aptos"/>
          <w:szCs w:val="24"/>
        </w:rPr>
      </w:pPr>
    </w:p>
    <w:p w14:paraId="4F598194" w14:textId="566BECE0" w:rsidR="00CE05FE" w:rsidRPr="00B8014A" w:rsidRDefault="00E427A2" w:rsidP="00CE05FE">
      <w:pPr>
        <w:spacing w:after="0" w:line="240" w:lineRule="auto"/>
        <w:rPr>
          <w:rFonts w:ascii="Aptos" w:hAnsi="Aptos"/>
          <w:szCs w:val="24"/>
        </w:rPr>
      </w:pPr>
      <w:r w:rsidRPr="00E427A2">
        <w:rPr>
          <w:rFonts w:ascii="Aptos" w:hAnsi="Aptos"/>
          <w:szCs w:val="24"/>
        </w:rPr>
        <w:t>Yes, an organization can be a partner on multiple proposals.</w:t>
      </w:r>
    </w:p>
    <w:p w14:paraId="37CCFCBB" w14:textId="77777777" w:rsidR="00CE05FE" w:rsidRPr="00B8014A" w:rsidRDefault="00CE05FE" w:rsidP="00CE05FE">
      <w:pPr>
        <w:spacing w:after="0" w:line="240" w:lineRule="auto"/>
        <w:rPr>
          <w:rFonts w:ascii="Aptos" w:hAnsi="Aptos"/>
          <w:szCs w:val="24"/>
        </w:rPr>
      </w:pPr>
    </w:p>
    <w:p w14:paraId="4E087656" w14:textId="25461F95" w:rsidR="00CE05FE" w:rsidRPr="000F1782" w:rsidRDefault="00CE05FE" w:rsidP="00CE05FE">
      <w:pPr>
        <w:spacing w:after="0" w:line="240" w:lineRule="auto"/>
        <w:rPr>
          <w:rFonts w:ascii="Aptos" w:hAnsi="Aptos"/>
          <w:b/>
          <w:bCs/>
          <w:szCs w:val="24"/>
        </w:rPr>
      </w:pPr>
      <w:r w:rsidRPr="000F1782">
        <w:rPr>
          <w:rFonts w:ascii="Aptos" w:hAnsi="Aptos"/>
          <w:b/>
          <w:bCs/>
          <w:szCs w:val="24"/>
        </w:rPr>
        <w:t xml:space="preserve">7. </w:t>
      </w:r>
      <w:r w:rsidR="00E427A2" w:rsidRPr="000F1782">
        <w:rPr>
          <w:rFonts w:ascii="Aptos" w:hAnsi="Aptos"/>
          <w:b/>
          <w:bCs/>
          <w:szCs w:val="24"/>
        </w:rPr>
        <w:t>Are organizations allowed to be the employer of record and offer on-the-job training (OJT)?</w:t>
      </w:r>
    </w:p>
    <w:p w14:paraId="35B0AA5E" w14:textId="77777777" w:rsidR="00CE05FE" w:rsidRPr="00B8014A" w:rsidRDefault="00CE05FE" w:rsidP="00CE05FE">
      <w:pPr>
        <w:spacing w:after="0" w:line="240" w:lineRule="auto"/>
        <w:rPr>
          <w:rFonts w:ascii="Aptos" w:hAnsi="Aptos"/>
          <w:szCs w:val="24"/>
        </w:rPr>
      </w:pPr>
    </w:p>
    <w:p w14:paraId="5584ABEB" w14:textId="38D9B0E5" w:rsidR="00CE05FE" w:rsidRPr="00B8014A" w:rsidRDefault="000F1782" w:rsidP="00CE05FE">
      <w:pPr>
        <w:spacing w:after="0" w:line="240" w:lineRule="auto"/>
        <w:rPr>
          <w:rFonts w:ascii="Aptos" w:hAnsi="Aptos"/>
          <w:szCs w:val="24"/>
        </w:rPr>
      </w:pPr>
      <w:r w:rsidRPr="000F1782">
        <w:rPr>
          <w:rFonts w:ascii="Aptos" w:hAnsi="Aptos"/>
          <w:szCs w:val="24"/>
        </w:rPr>
        <w:t>Yes, an organization may be the employer of record and offer OJT.</w:t>
      </w:r>
    </w:p>
    <w:p w14:paraId="5DC4330E" w14:textId="77777777" w:rsidR="00CE05FE" w:rsidRPr="00B8014A" w:rsidRDefault="00CE05FE" w:rsidP="00CE05FE">
      <w:pPr>
        <w:spacing w:after="0" w:line="240" w:lineRule="auto"/>
        <w:rPr>
          <w:rFonts w:ascii="Aptos" w:hAnsi="Aptos"/>
          <w:szCs w:val="24"/>
        </w:rPr>
      </w:pPr>
    </w:p>
    <w:p w14:paraId="4AE79460" w14:textId="223282F2" w:rsidR="00CE05FE" w:rsidRPr="000F1782" w:rsidRDefault="00CE05FE" w:rsidP="00CE05FE">
      <w:pPr>
        <w:spacing w:after="0" w:line="240" w:lineRule="auto"/>
        <w:rPr>
          <w:rFonts w:ascii="Aptos" w:hAnsi="Aptos"/>
          <w:b/>
          <w:bCs/>
          <w:szCs w:val="24"/>
        </w:rPr>
      </w:pPr>
      <w:r w:rsidRPr="000F1782">
        <w:rPr>
          <w:rFonts w:ascii="Aptos" w:hAnsi="Aptos"/>
          <w:b/>
          <w:bCs/>
          <w:szCs w:val="24"/>
        </w:rPr>
        <w:t xml:space="preserve">8. </w:t>
      </w:r>
      <w:r w:rsidR="000F1782" w:rsidRPr="000F1782">
        <w:rPr>
          <w:rFonts w:ascii="Aptos" w:hAnsi="Aptos"/>
          <w:b/>
          <w:bCs/>
          <w:szCs w:val="24"/>
        </w:rPr>
        <w:t>Please clarify what the criteria are to increase indirect/admin costs to 15%, and what expenses count under this category?</w:t>
      </w:r>
    </w:p>
    <w:p w14:paraId="3133FD1E" w14:textId="77777777" w:rsidR="00CE05FE" w:rsidRPr="00B8014A" w:rsidRDefault="00CE05FE" w:rsidP="00CE05FE">
      <w:pPr>
        <w:spacing w:after="0" w:line="240" w:lineRule="auto"/>
        <w:rPr>
          <w:rFonts w:ascii="Aptos" w:hAnsi="Aptos"/>
          <w:szCs w:val="24"/>
        </w:rPr>
      </w:pPr>
    </w:p>
    <w:p w14:paraId="06C2F329" w14:textId="77777777" w:rsidR="000F1782" w:rsidRPr="002E25AC" w:rsidRDefault="000F1782" w:rsidP="000F1782">
      <w:pPr>
        <w:spacing w:after="0" w:line="240" w:lineRule="auto"/>
        <w:rPr>
          <w:rFonts w:ascii="Aptos" w:hAnsi="Aptos"/>
          <w:szCs w:val="24"/>
        </w:rPr>
      </w:pPr>
      <w:r w:rsidRPr="002E25AC">
        <w:rPr>
          <w:rFonts w:ascii="Aptos" w:hAnsi="Aptos"/>
          <w:szCs w:val="24"/>
        </w:rPr>
        <w:t>The 10 percent cap applies to all administrative costs, whether direct, indirect, or a combination of the two, and cannot be increased. The 10 percent cap does not apply to any portion of indirect costs that are programmatic costs. You may charge an indirect cost rate over 10 percent if the dollar amount of the administrative portion of indirect costs plus any direct administrative costs remains under 10 percent. Please note that indirect cost rates are not calculated as a percentage of the total award but rather as a percentage of the base identified in your Negotiated Indirect Cost Rate Agreement (NICRA), Cost Allocation Plan (CAP), or 15 percent of Modified Total Direct Costs (MTDC) as defined in 2 CFR 200.68 for those claiming the de minimis rate.</w:t>
      </w:r>
    </w:p>
    <w:p w14:paraId="7FF72AFB" w14:textId="77777777" w:rsidR="000F1782" w:rsidRPr="002E25AC" w:rsidRDefault="000F1782" w:rsidP="000F1782">
      <w:pPr>
        <w:spacing w:after="0" w:line="240" w:lineRule="auto"/>
        <w:rPr>
          <w:rFonts w:ascii="Aptos" w:hAnsi="Aptos"/>
          <w:iCs/>
          <w:szCs w:val="24"/>
        </w:rPr>
      </w:pPr>
    </w:p>
    <w:p w14:paraId="4838DD23" w14:textId="77777777" w:rsidR="000F1782" w:rsidRPr="002E25AC" w:rsidRDefault="000F1782" w:rsidP="000F1782">
      <w:pPr>
        <w:spacing w:after="0" w:line="240" w:lineRule="auto"/>
        <w:rPr>
          <w:rFonts w:ascii="Aptos" w:hAnsi="Aptos"/>
          <w:szCs w:val="24"/>
        </w:rPr>
      </w:pPr>
      <w:r w:rsidRPr="002E25AC">
        <w:rPr>
          <w:rFonts w:ascii="Aptos" w:hAnsi="Aptos"/>
          <w:szCs w:val="24"/>
        </w:rPr>
        <w:t xml:space="preserve">For more information on identifying administrative, program, and direct/indirect costs, see the  </w:t>
      </w:r>
      <w:hyperlink r:id="rId16">
        <w:proofErr w:type="spellStart"/>
        <w:r w:rsidRPr="002E25AC">
          <w:rPr>
            <w:rStyle w:val="Hyperlink"/>
            <w:rFonts w:ascii="Aptos" w:hAnsi="Aptos"/>
            <w:szCs w:val="24"/>
          </w:rPr>
          <w:t>WorkforceGPS</w:t>
        </w:r>
        <w:proofErr w:type="spellEnd"/>
        <w:r w:rsidRPr="002E25AC">
          <w:rPr>
            <w:rStyle w:val="Hyperlink"/>
            <w:rFonts w:ascii="Aptos" w:hAnsi="Aptos"/>
            <w:szCs w:val="24"/>
          </w:rPr>
          <w:t xml:space="preserve"> WIOA Administrative Costs vs. Program Costs</w:t>
        </w:r>
      </w:hyperlink>
      <w:r w:rsidRPr="002E25AC">
        <w:rPr>
          <w:rFonts w:ascii="Aptos" w:hAnsi="Aptos"/>
          <w:szCs w:val="24"/>
        </w:rPr>
        <w:t xml:space="preserve"> resource and refer to Appendix D for the definition of administrative costs.</w:t>
      </w:r>
    </w:p>
    <w:p w14:paraId="4A855CCE" w14:textId="77777777" w:rsidR="00CE05FE" w:rsidRPr="00B8014A" w:rsidRDefault="00CE05FE" w:rsidP="00CE05FE">
      <w:pPr>
        <w:spacing w:after="0" w:line="240" w:lineRule="auto"/>
        <w:rPr>
          <w:rFonts w:ascii="Aptos" w:hAnsi="Aptos"/>
          <w:szCs w:val="24"/>
        </w:rPr>
      </w:pPr>
    </w:p>
    <w:p w14:paraId="79462D70" w14:textId="060DA65C" w:rsidR="00CE05FE" w:rsidRPr="002E16F3" w:rsidRDefault="00CE05FE" w:rsidP="00CE05FE">
      <w:pPr>
        <w:spacing w:after="0" w:line="240" w:lineRule="auto"/>
        <w:rPr>
          <w:rFonts w:ascii="Aptos" w:hAnsi="Aptos"/>
          <w:b/>
          <w:bCs/>
          <w:szCs w:val="24"/>
        </w:rPr>
      </w:pPr>
      <w:r w:rsidRPr="002E16F3">
        <w:rPr>
          <w:rFonts w:ascii="Aptos" w:hAnsi="Aptos"/>
          <w:b/>
          <w:bCs/>
          <w:szCs w:val="24"/>
        </w:rPr>
        <w:t xml:space="preserve">9. </w:t>
      </w:r>
      <w:r w:rsidR="002E16F3" w:rsidRPr="002E16F3">
        <w:rPr>
          <w:rFonts w:ascii="Aptos" w:hAnsi="Aptos"/>
          <w:b/>
          <w:bCs/>
          <w:szCs w:val="24"/>
        </w:rPr>
        <w:t>Would it be more competitive to submit a proposal for a region that was not awarded under any prior rounds of the FAP grant?</w:t>
      </w:r>
    </w:p>
    <w:p w14:paraId="144A2364" w14:textId="77777777" w:rsidR="00CE05FE" w:rsidRPr="00B8014A" w:rsidRDefault="00CE05FE" w:rsidP="00CE05FE">
      <w:pPr>
        <w:spacing w:after="0" w:line="240" w:lineRule="auto"/>
        <w:rPr>
          <w:rFonts w:ascii="Aptos" w:hAnsi="Aptos"/>
          <w:szCs w:val="24"/>
        </w:rPr>
      </w:pPr>
    </w:p>
    <w:p w14:paraId="120320F5" w14:textId="77777777" w:rsidR="002E16F3" w:rsidRPr="002E16F3" w:rsidRDefault="002E16F3" w:rsidP="002E16F3">
      <w:pPr>
        <w:spacing w:after="0" w:line="240" w:lineRule="auto"/>
        <w:rPr>
          <w:rFonts w:ascii="Aptos" w:hAnsi="Aptos"/>
          <w:szCs w:val="24"/>
        </w:rPr>
      </w:pPr>
      <w:r w:rsidRPr="002E16F3">
        <w:rPr>
          <w:rFonts w:ascii="Aptos" w:hAnsi="Aptos"/>
          <w:szCs w:val="24"/>
        </w:rPr>
        <w:t>The counties in each region were identified based on that county's total number of farmworkers or the percentage of a county's population that farmworkers represent, based on the United States Department of Agriculture (USDA) National Agricultural Statistics Service, and will receive bonus points for serving participants in those counties. Applicants can serve participants in any region and/or county if the need for services is supported and outlined in their proposal.</w:t>
      </w:r>
    </w:p>
    <w:p w14:paraId="1D141A4B" w14:textId="77777777" w:rsidR="002E16F3" w:rsidRPr="002E16F3" w:rsidRDefault="002E16F3" w:rsidP="002E16F3">
      <w:pPr>
        <w:spacing w:after="0" w:line="240" w:lineRule="auto"/>
        <w:rPr>
          <w:rFonts w:ascii="Aptos" w:hAnsi="Aptos"/>
          <w:szCs w:val="24"/>
        </w:rPr>
      </w:pPr>
    </w:p>
    <w:p w14:paraId="7B3C76FC" w14:textId="131BDD62" w:rsidR="00CE05FE" w:rsidRPr="00B8014A" w:rsidRDefault="002E16F3" w:rsidP="002E16F3">
      <w:pPr>
        <w:spacing w:after="0" w:line="240" w:lineRule="auto"/>
        <w:rPr>
          <w:rFonts w:ascii="Aptos" w:hAnsi="Aptos"/>
          <w:szCs w:val="24"/>
        </w:rPr>
      </w:pPr>
      <w:r w:rsidRPr="002E16F3">
        <w:rPr>
          <w:rFonts w:ascii="Aptos" w:hAnsi="Aptos"/>
          <w:szCs w:val="24"/>
        </w:rPr>
        <w:t>Refer to Appendix A of the SFP for further information on how bonus points will be calculated</w:t>
      </w:r>
      <w:r>
        <w:rPr>
          <w:rFonts w:ascii="Aptos" w:hAnsi="Aptos"/>
          <w:szCs w:val="24"/>
        </w:rPr>
        <w:t>.</w:t>
      </w:r>
    </w:p>
    <w:p w14:paraId="75A9F7D8" w14:textId="77777777" w:rsidR="00A53A4A" w:rsidRDefault="00A53A4A" w:rsidP="00E62748">
      <w:pPr>
        <w:spacing w:after="0" w:line="240" w:lineRule="auto"/>
        <w:rPr>
          <w:rFonts w:ascii="Aptos" w:hAnsi="Aptos"/>
          <w:i/>
          <w:szCs w:val="24"/>
        </w:rPr>
      </w:pPr>
    </w:p>
    <w:p w14:paraId="1AB13DA8" w14:textId="2EDA78D7" w:rsidR="00CE05FE" w:rsidRPr="002E16F3" w:rsidRDefault="00CE05FE" w:rsidP="00CE05FE">
      <w:pPr>
        <w:spacing w:after="0" w:line="240" w:lineRule="auto"/>
        <w:rPr>
          <w:rFonts w:ascii="Aptos" w:hAnsi="Aptos"/>
          <w:b/>
          <w:bCs/>
          <w:szCs w:val="24"/>
        </w:rPr>
      </w:pPr>
      <w:r w:rsidRPr="002E16F3">
        <w:rPr>
          <w:rFonts w:ascii="Aptos" w:hAnsi="Aptos"/>
          <w:b/>
          <w:bCs/>
          <w:szCs w:val="24"/>
        </w:rPr>
        <w:t xml:space="preserve">10. </w:t>
      </w:r>
      <w:r w:rsidR="002E16F3" w:rsidRPr="002E16F3">
        <w:rPr>
          <w:rFonts w:ascii="Aptos" w:hAnsi="Aptos"/>
          <w:b/>
          <w:bCs/>
          <w:szCs w:val="24"/>
        </w:rPr>
        <w:t>Can EDD clarify if the 20 percent "leveraged resources" essentially means monetary and/or in-kind?</w:t>
      </w:r>
    </w:p>
    <w:p w14:paraId="1C97163F" w14:textId="77777777" w:rsidR="00CE05FE" w:rsidRPr="00B8014A" w:rsidRDefault="00CE05FE" w:rsidP="00CE05FE">
      <w:pPr>
        <w:spacing w:after="0" w:line="240" w:lineRule="auto"/>
        <w:rPr>
          <w:rFonts w:ascii="Aptos" w:hAnsi="Aptos"/>
          <w:szCs w:val="24"/>
        </w:rPr>
      </w:pPr>
    </w:p>
    <w:p w14:paraId="78627C6C" w14:textId="77777777" w:rsidR="002E16F3" w:rsidRPr="002E16F3" w:rsidRDefault="002E16F3" w:rsidP="002E16F3">
      <w:pPr>
        <w:spacing w:after="0" w:line="240" w:lineRule="auto"/>
        <w:rPr>
          <w:rFonts w:ascii="Aptos" w:hAnsi="Aptos"/>
          <w:szCs w:val="24"/>
        </w:rPr>
      </w:pPr>
      <w:r w:rsidRPr="002E16F3">
        <w:rPr>
          <w:rFonts w:ascii="Aptos" w:hAnsi="Aptos"/>
          <w:szCs w:val="24"/>
        </w:rPr>
        <w:t xml:space="preserve">FAP PY 26-27 applicants must leverage resources equivalent to at least 20 percent of their requested grant award amount from other sources. The term "leverage" is not defined in regulation or any related administrative requirements. For EDD-funded programs, the term refers to all </w:t>
      </w:r>
      <w:r w:rsidRPr="002E16F3">
        <w:rPr>
          <w:rFonts w:ascii="Aptos" w:hAnsi="Aptos"/>
          <w:szCs w:val="24"/>
        </w:rPr>
        <w:lastRenderedPageBreak/>
        <w:t>resources the recipient uses to support grant activity and outcomes, regardless of whether those resources meet the matching standards. Applicants can satisfy the leveraged resources requirement for the FAP PY 26-27 grant with a 20% monetary or in-kind contribution, or a combination of both.</w:t>
      </w:r>
    </w:p>
    <w:p w14:paraId="754C299A" w14:textId="77777777" w:rsidR="002E16F3" w:rsidRPr="002E16F3" w:rsidRDefault="002E16F3" w:rsidP="002E16F3">
      <w:pPr>
        <w:spacing w:after="0" w:line="240" w:lineRule="auto"/>
        <w:rPr>
          <w:rFonts w:ascii="Aptos" w:hAnsi="Aptos"/>
          <w:szCs w:val="24"/>
        </w:rPr>
      </w:pPr>
    </w:p>
    <w:p w14:paraId="6B3D3BE9" w14:textId="05E4E838" w:rsidR="00CE05FE" w:rsidRPr="00B8014A" w:rsidRDefault="002E16F3" w:rsidP="002E16F3">
      <w:pPr>
        <w:spacing w:after="0" w:line="240" w:lineRule="auto"/>
        <w:rPr>
          <w:rFonts w:ascii="Aptos" w:hAnsi="Aptos"/>
          <w:szCs w:val="24"/>
        </w:rPr>
      </w:pPr>
      <w:r w:rsidRPr="002E16F3">
        <w:rPr>
          <w:rFonts w:ascii="Aptos" w:hAnsi="Aptos"/>
          <w:szCs w:val="24"/>
        </w:rPr>
        <w:t>Please refer to page 22 of the SFP for more information on leveraged resources.</w:t>
      </w:r>
    </w:p>
    <w:p w14:paraId="27304F5C" w14:textId="77777777" w:rsidR="00CE05FE" w:rsidRPr="00B8014A" w:rsidRDefault="00CE05FE" w:rsidP="00CE05FE">
      <w:pPr>
        <w:spacing w:after="0" w:line="240" w:lineRule="auto"/>
        <w:rPr>
          <w:rFonts w:ascii="Aptos" w:hAnsi="Aptos"/>
          <w:szCs w:val="24"/>
        </w:rPr>
      </w:pPr>
    </w:p>
    <w:p w14:paraId="03613DB0" w14:textId="3A96F147" w:rsidR="00CE05FE" w:rsidRPr="002E16F3" w:rsidRDefault="00CE05FE" w:rsidP="00CE05FE">
      <w:pPr>
        <w:spacing w:after="0" w:line="240" w:lineRule="auto"/>
        <w:rPr>
          <w:rFonts w:ascii="Aptos" w:hAnsi="Aptos"/>
          <w:b/>
          <w:bCs/>
          <w:szCs w:val="24"/>
        </w:rPr>
      </w:pPr>
      <w:r w:rsidRPr="002E16F3">
        <w:rPr>
          <w:rFonts w:ascii="Aptos" w:hAnsi="Aptos"/>
          <w:b/>
          <w:bCs/>
          <w:szCs w:val="24"/>
        </w:rPr>
        <w:t xml:space="preserve">11. </w:t>
      </w:r>
      <w:r w:rsidR="002E16F3" w:rsidRPr="002E16F3">
        <w:rPr>
          <w:rFonts w:ascii="Aptos" w:hAnsi="Aptos"/>
          <w:b/>
          <w:bCs/>
          <w:szCs w:val="24"/>
        </w:rPr>
        <w:t>Are electronic signatures acceptable?</w:t>
      </w:r>
    </w:p>
    <w:p w14:paraId="4488446E" w14:textId="77777777" w:rsidR="00CE05FE" w:rsidRPr="00B8014A" w:rsidRDefault="00CE05FE" w:rsidP="00CE05FE">
      <w:pPr>
        <w:spacing w:after="0" w:line="240" w:lineRule="auto"/>
        <w:rPr>
          <w:rFonts w:ascii="Aptos" w:hAnsi="Aptos"/>
          <w:szCs w:val="24"/>
        </w:rPr>
      </w:pPr>
    </w:p>
    <w:p w14:paraId="3AB61258" w14:textId="5CFFE312" w:rsidR="00CE05FE" w:rsidRPr="00B8014A" w:rsidRDefault="002E16F3" w:rsidP="00CE05FE">
      <w:pPr>
        <w:spacing w:after="0" w:line="240" w:lineRule="auto"/>
        <w:rPr>
          <w:rFonts w:ascii="Aptos" w:hAnsi="Aptos"/>
          <w:szCs w:val="24"/>
        </w:rPr>
      </w:pPr>
      <w:r w:rsidRPr="002E16F3">
        <w:rPr>
          <w:rFonts w:ascii="Aptos" w:hAnsi="Aptos"/>
          <w:szCs w:val="24"/>
        </w:rPr>
        <w:t>Yes, electronic signatures are acceptable.</w:t>
      </w:r>
    </w:p>
    <w:p w14:paraId="75EA8066" w14:textId="77777777" w:rsidR="00CE05FE" w:rsidRPr="00B8014A" w:rsidRDefault="00CE05FE" w:rsidP="00CE05FE">
      <w:pPr>
        <w:spacing w:after="0" w:line="240" w:lineRule="auto"/>
        <w:rPr>
          <w:rFonts w:ascii="Aptos" w:hAnsi="Aptos"/>
          <w:szCs w:val="24"/>
        </w:rPr>
      </w:pPr>
    </w:p>
    <w:p w14:paraId="404CBF5E" w14:textId="757E54B5" w:rsidR="00CE05FE" w:rsidRPr="002E16F3" w:rsidRDefault="00CE05FE" w:rsidP="00CE05FE">
      <w:pPr>
        <w:spacing w:after="0" w:line="240" w:lineRule="auto"/>
        <w:rPr>
          <w:rFonts w:ascii="Aptos" w:hAnsi="Aptos"/>
          <w:b/>
          <w:bCs/>
          <w:szCs w:val="24"/>
        </w:rPr>
      </w:pPr>
      <w:r w:rsidRPr="002E16F3">
        <w:rPr>
          <w:rFonts w:ascii="Aptos" w:hAnsi="Aptos"/>
          <w:b/>
          <w:bCs/>
          <w:szCs w:val="24"/>
        </w:rPr>
        <w:t xml:space="preserve">12. </w:t>
      </w:r>
      <w:r w:rsidR="002E16F3" w:rsidRPr="002E16F3">
        <w:rPr>
          <w:rFonts w:ascii="Aptos" w:hAnsi="Aptos"/>
          <w:b/>
          <w:bCs/>
          <w:szCs w:val="24"/>
        </w:rPr>
        <w:t>Will the webinar PowerPoint be available to attendees?</w:t>
      </w:r>
    </w:p>
    <w:p w14:paraId="5B564BCB" w14:textId="77777777" w:rsidR="00CE05FE" w:rsidRPr="00B8014A" w:rsidRDefault="00CE05FE" w:rsidP="00CE05FE">
      <w:pPr>
        <w:spacing w:after="0" w:line="240" w:lineRule="auto"/>
        <w:rPr>
          <w:rFonts w:ascii="Aptos" w:hAnsi="Aptos"/>
          <w:szCs w:val="24"/>
        </w:rPr>
      </w:pPr>
    </w:p>
    <w:p w14:paraId="493BC904" w14:textId="0CA5CE91" w:rsidR="00CE05FE" w:rsidRDefault="002E16F3" w:rsidP="00CE05FE">
      <w:pPr>
        <w:spacing w:after="0" w:line="240" w:lineRule="auto"/>
        <w:rPr>
          <w:rFonts w:ascii="Aptos" w:hAnsi="Aptos"/>
          <w:szCs w:val="24"/>
        </w:rPr>
      </w:pPr>
      <w:r w:rsidRPr="002E16F3">
        <w:rPr>
          <w:rFonts w:ascii="Aptos" w:hAnsi="Aptos"/>
          <w:szCs w:val="24"/>
        </w:rPr>
        <w:t xml:space="preserve">The FAP PY 26-27 Informational Webinar's PowerPoint slide deck will not be distributed for external use. However, we emailed a webinar summary to all attendees, and this Q&amp;A document is available on the EDD website for reference. </w:t>
      </w:r>
    </w:p>
    <w:p w14:paraId="6C51270E" w14:textId="77777777" w:rsidR="002E16F3" w:rsidRPr="00B8014A" w:rsidRDefault="002E16F3" w:rsidP="00CE05FE">
      <w:pPr>
        <w:spacing w:after="0" w:line="240" w:lineRule="auto"/>
        <w:rPr>
          <w:rFonts w:ascii="Aptos" w:hAnsi="Aptos"/>
          <w:szCs w:val="24"/>
        </w:rPr>
      </w:pPr>
    </w:p>
    <w:p w14:paraId="159B6F14" w14:textId="1FEE2C41" w:rsidR="00CE05FE" w:rsidRPr="002E16F3" w:rsidRDefault="00CE05FE" w:rsidP="00CE05FE">
      <w:pPr>
        <w:spacing w:after="0" w:line="240" w:lineRule="auto"/>
        <w:rPr>
          <w:rFonts w:ascii="Aptos" w:hAnsi="Aptos"/>
          <w:b/>
          <w:bCs/>
          <w:szCs w:val="24"/>
        </w:rPr>
      </w:pPr>
      <w:r w:rsidRPr="002E16F3">
        <w:rPr>
          <w:rFonts w:ascii="Aptos" w:hAnsi="Aptos"/>
          <w:b/>
          <w:bCs/>
          <w:szCs w:val="24"/>
        </w:rPr>
        <w:t xml:space="preserve">13. </w:t>
      </w:r>
      <w:r w:rsidR="002E16F3" w:rsidRPr="002E16F3">
        <w:rPr>
          <w:rFonts w:ascii="Aptos" w:hAnsi="Aptos"/>
          <w:b/>
          <w:bCs/>
          <w:szCs w:val="24"/>
        </w:rPr>
        <w:t>Does a partner need to include both a separate partnership letter and a commitment letter if they are receiving funds? Or can these be combined if they are one entity?</w:t>
      </w:r>
    </w:p>
    <w:p w14:paraId="070116D4" w14:textId="77777777" w:rsidR="00CE05FE" w:rsidRPr="00B8014A" w:rsidRDefault="00CE05FE" w:rsidP="00CE05FE">
      <w:pPr>
        <w:spacing w:after="0" w:line="240" w:lineRule="auto"/>
        <w:rPr>
          <w:rFonts w:ascii="Aptos" w:hAnsi="Aptos"/>
          <w:szCs w:val="24"/>
        </w:rPr>
      </w:pPr>
    </w:p>
    <w:p w14:paraId="4FD57E35" w14:textId="0406AD64" w:rsidR="00CE05FE" w:rsidRPr="00B8014A" w:rsidRDefault="002E16F3" w:rsidP="00CE05FE">
      <w:pPr>
        <w:spacing w:after="0" w:line="240" w:lineRule="auto"/>
        <w:rPr>
          <w:rFonts w:ascii="Aptos" w:hAnsi="Aptos"/>
          <w:szCs w:val="24"/>
        </w:rPr>
      </w:pPr>
      <w:r w:rsidRPr="002E16F3">
        <w:rPr>
          <w:rFonts w:ascii="Aptos" w:hAnsi="Aptos"/>
          <w:szCs w:val="24"/>
        </w:rPr>
        <w:t>A Commitment Letter is required when an applicant cites a financial or in-kind contribution that will make up the leveraged resources requirement. A Partnership Agreement Letter is required from each prospective partner. If a partner organization provides funding and services to the applicant, then both letters are required. Refer to Appendix A in the SFP for more information on submitting Commitment and Partnership Agreement Letters.</w:t>
      </w:r>
    </w:p>
    <w:p w14:paraId="0F03AA84" w14:textId="77777777" w:rsidR="00CE05FE" w:rsidRDefault="00CE05FE" w:rsidP="00E62748">
      <w:pPr>
        <w:spacing w:after="0" w:line="240" w:lineRule="auto"/>
        <w:rPr>
          <w:rFonts w:ascii="Aptos" w:hAnsi="Aptos"/>
          <w:i/>
          <w:szCs w:val="24"/>
        </w:rPr>
      </w:pPr>
    </w:p>
    <w:p w14:paraId="0F7940F3" w14:textId="4B5EF49E" w:rsidR="00CE05FE" w:rsidRPr="002E16F3" w:rsidRDefault="00CE05FE" w:rsidP="00CE05FE">
      <w:pPr>
        <w:spacing w:after="0" w:line="240" w:lineRule="auto"/>
        <w:rPr>
          <w:rFonts w:ascii="Aptos" w:hAnsi="Aptos"/>
          <w:b/>
          <w:bCs/>
          <w:szCs w:val="24"/>
        </w:rPr>
      </w:pPr>
      <w:r w:rsidRPr="002E16F3">
        <w:rPr>
          <w:rFonts w:ascii="Aptos" w:hAnsi="Aptos"/>
          <w:b/>
          <w:bCs/>
          <w:szCs w:val="24"/>
        </w:rPr>
        <w:t xml:space="preserve">14. </w:t>
      </w:r>
      <w:r w:rsidR="002E16F3" w:rsidRPr="002E16F3">
        <w:rPr>
          <w:rFonts w:ascii="Aptos" w:hAnsi="Aptos"/>
          <w:b/>
          <w:bCs/>
          <w:szCs w:val="24"/>
        </w:rPr>
        <w:t>What is the email template example for application submission?</w:t>
      </w:r>
    </w:p>
    <w:p w14:paraId="39BD6493" w14:textId="77777777" w:rsidR="00CE05FE" w:rsidRPr="00B8014A" w:rsidRDefault="00CE05FE" w:rsidP="00CE05FE">
      <w:pPr>
        <w:spacing w:after="0" w:line="240" w:lineRule="auto"/>
        <w:rPr>
          <w:rFonts w:ascii="Aptos" w:hAnsi="Aptos"/>
          <w:szCs w:val="24"/>
        </w:rPr>
      </w:pPr>
    </w:p>
    <w:p w14:paraId="31C81B05" w14:textId="169E5396" w:rsidR="00CE05FE" w:rsidRPr="00B8014A" w:rsidRDefault="002E16F3" w:rsidP="00CE05FE">
      <w:pPr>
        <w:spacing w:after="0" w:line="240" w:lineRule="auto"/>
        <w:rPr>
          <w:rFonts w:ascii="Aptos" w:hAnsi="Aptos"/>
          <w:szCs w:val="24"/>
        </w:rPr>
      </w:pPr>
      <w:r w:rsidRPr="002E16F3">
        <w:rPr>
          <w:rFonts w:ascii="Aptos" w:hAnsi="Aptos"/>
          <w:szCs w:val="24"/>
        </w:rPr>
        <w:t>In the email's subject line, include "FAP PY 26-27 Notice of Intent". In the body of the email, please include: "This is to inform the EDD that [Name of your organization] intends to apply for the FAP PY 26-27 grant." Also include the organization's designated contact person's name, email address, and telephone number.</w:t>
      </w:r>
    </w:p>
    <w:p w14:paraId="64C14A75" w14:textId="77777777" w:rsidR="00CE05FE" w:rsidRPr="00B8014A" w:rsidRDefault="00CE05FE" w:rsidP="00CE05FE">
      <w:pPr>
        <w:spacing w:after="0" w:line="240" w:lineRule="auto"/>
        <w:rPr>
          <w:rFonts w:ascii="Aptos" w:hAnsi="Aptos"/>
          <w:szCs w:val="24"/>
        </w:rPr>
      </w:pPr>
    </w:p>
    <w:p w14:paraId="66525AD2" w14:textId="36497D68" w:rsidR="00CE05FE" w:rsidRPr="002E16F3" w:rsidRDefault="00CE05FE" w:rsidP="00CE05FE">
      <w:pPr>
        <w:spacing w:after="0" w:line="240" w:lineRule="auto"/>
        <w:rPr>
          <w:rFonts w:ascii="Aptos" w:hAnsi="Aptos"/>
          <w:b/>
          <w:bCs/>
          <w:szCs w:val="24"/>
        </w:rPr>
      </w:pPr>
      <w:r w:rsidRPr="002E16F3">
        <w:rPr>
          <w:rFonts w:ascii="Aptos" w:hAnsi="Aptos"/>
          <w:b/>
          <w:bCs/>
          <w:szCs w:val="24"/>
        </w:rPr>
        <w:t xml:space="preserve">15.  </w:t>
      </w:r>
      <w:r w:rsidR="002E16F3" w:rsidRPr="002E16F3">
        <w:rPr>
          <w:rFonts w:ascii="Aptos" w:hAnsi="Aptos"/>
          <w:b/>
          <w:bCs/>
          <w:szCs w:val="24"/>
        </w:rPr>
        <w:t>Are MOUs acceptable in place of partnership letters?</w:t>
      </w:r>
    </w:p>
    <w:p w14:paraId="00730ED9" w14:textId="77777777" w:rsidR="00CE05FE" w:rsidRPr="00B8014A" w:rsidRDefault="00CE05FE" w:rsidP="00CE05FE">
      <w:pPr>
        <w:spacing w:after="0" w:line="240" w:lineRule="auto"/>
        <w:rPr>
          <w:rFonts w:ascii="Aptos" w:hAnsi="Aptos"/>
          <w:szCs w:val="24"/>
        </w:rPr>
      </w:pPr>
    </w:p>
    <w:p w14:paraId="6D234E26" w14:textId="7639A60A" w:rsidR="00CE05FE" w:rsidRDefault="002E16F3" w:rsidP="7BF8C7D2">
      <w:pPr>
        <w:spacing w:after="0" w:line="240" w:lineRule="auto"/>
        <w:rPr>
          <w:rFonts w:ascii="Aptos" w:hAnsi="Aptos"/>
        </w:rPr>
      </w:pPr>
      <w:r w:rsidRPr="7BF8C7D2">
        <w:rPr>
          <w:rFonts w:ascii="Aptos" w:hAnsi="Aptos"/>
        </w:rPr>
        <w:t xml:space="preserve">Evidence of partnership commitments, such as </w:t>
      </w:r>
      <w:r w:rsidR="3FA66914" w:rsidRPr="7BF8C7D2">
        <w:rPr>
          <w:rFonts w:ascii="Aptos" w:hAnsi="Aptos"/>
        </w:rPr>
        <w:t>contracts</w:t>
      </w:r>
      <w:r w:rsidRPr="7BF8C7D2">
        <w:rPr>
          <w:rFonts w:ascii="Aptos" w:hAnsi="Aptos"/>
        </w:rPr>
        <w:t>, agreements, and Memoranda of Understanding (MOUs), is acceptable. However, MOUs and formal partnership letters score higher because they guarantee greater collaboration.</w:t>
      </w:r>
    </w:p>
    <w:p w14:paraId="037D9BD6" w14:textId="77777777" w:rsidR="002E16F3" w:rsidRPr="00B8014A" w:rsidRDefault="002E16F3" w:rsidP="00CE05FE">
      <w:pPr>
        <w:spacing w:after="0" w:line="240" w:lineRule="auto"/>
        <w:rPr>
          <w:rFonts w:ascii="Aptos" w:hAnsi="Aptos"/>
          <w:szCs w:val="24"/>
        </w:rPr>
      </w:pPr>
    </w:p>
    <w:p w14:paraId="7E79F0B3" w14:textId="6B29E4D5" w:rsidR="00CE05FE" w:rsidRPr="002E16F3" w:rsidRDefault="00CE05FE" w:rsidP="00CE05FE">
      <w:pPr>
        <w:spacing w:after="0" w:line="240" w:lineRule="auto"/>
        <w:rPr>
          <w:rFonts w:ascii="Aptos" w:hAnsi="Aptos"/>
          <w:b/>
          <w:bCs/>
          <w:szCs w:val="24"/>
        </w:rPr>
      </w:pPr>
      <w:r w:rsidRPr="002E16F3">
        <w:rPr>
          <w:rFonts w:ascii="Aptos" w:hAnsi="Aptos"/>
          <w:b/>
          <w:bCs/>
          <w:szCs w:val="24"/>
        </w:rPr>
        <w:t xml:space="preserve">16. </w:t>
      </w:r>
      <w:r w:rsidR="002E16F3" w:rsidRPr="002E16F3">
        <w:rPr>
          <w:rFonts w:ascii="Aptos" w:hAnsi="Aptos"/>
          <w:b/>
          <w:bCs/>
          <w:szCs w:val="24"/>
        </w:rPr>
        <w:t>Under WSD18-03, would work authorization need to be verified before a participant receives any FAP-funded training? Is work authorization required for all participant training, or only for activities that end in job placement, funds that go directly to participants, or a postsecondary credential?</w:t>
      </w:r>
    </w:p>
    <w:p w14:paraId="27140E9F" w14:textId="77777777" w:rsidR="00CE05FE" w:rsidRPr="00B8014A" w:rsidRDefault="00CE05FE" w:rsidP="00CE05FE">
      <w:pPr>
        <w:spacing w:after="0" w:line="240" w:lineRule="auto"/>
        <w:rPr>
          <w:rFonts w:ascii="Aptos" w:hAnsi="Aptos"/>
          <w:szCs w:val="24"/>
        </w:rPr>
      </w:pPr>
    </w:p>
    <w:p w14:paraId="54C46473" w14:textId="11D5BA9A" w:rsidR="00CE05FE" w:rsidRDefault="002E16F3" w:rsidP="00CE05FE">
      <w:pPr>
        <w:spacing w:after="0" w:line="240" w:lineRule="auto"/>
        <w:rPr>
          <w:rFonts w:ascii="Aptos" w:hAnsi="Aptos"/>
          <w:szCs w:val="24"/>
        </w:rPr>
      </w:pPr>
      <w:r w:rsidRPr="002E25AC">
        <w:rPr>
          <w:rFonts w:ascii="Aptos" w:hAnsi="Aptos"/>
          <w:szCs w:val="24"/>
        </w:rPr>
        <w:t xml:space="preserve">Applicants must verify work authorization for all participants served by WIOA before delivering participant-level services. Attachment II in </w:t>
      </w:r>
      <w:hyperlink r:id="rId17" w:history="1">
        <w:r w:rsidRPr="002E25AC">
          <w:rPr>
            <w:rStyle w:val="Hyperlink"/>
            <w:rFonts w:ascii="Aptos" w:hAnsi="Aptos"/>
            <w:szCs w:val="24"/>
          </w:rPr>
          <w:t>TEGL 19-16</w:t>
        </w:r>
      </w:hyperlink>
      <w:r w:rsidRPr="002E25AC">
        <w:rPr>
          <w:rFonts w:ascii="Aptos" w:hAnsi="Aptos"/>
          <w:szCs w:val="24"/>
        </w:rPr>
        <w:t xml:space="preserve"> defines participant-level services. Workforce Services Directive </w:t>
      </w:r>
      <w:hyperlink r:id="rId18" w:history="1">
        <w:r w:rsidRPr="002E25AC">
          <w:rPr>
            <w:rStyle w:val="Hyperlink"/>
            <w:rFonts w:ascii="Aptos" w:hAnsi="Aptos"/>
            <w:szCs w:val="24"/>
          </w:rPr>
          <w:t>WSD18-03</w:t>
        </w:r>
      </w:hyperlink>
      <w:r w:rsidRPr="002E25AC">
        <w:rPr>
          <w:rFonts w:ascii="Aptos" w:hAnsi="Aptos"/>
          <w:szCs w:val="24"/>
        </w:rPr>
        <w:t xml:space="preserve"> provides additional guidance.</w:t>
      </w:r>
    </w:p>
    <w:p w14:paraId="58CCB85D" w14:textId="77777777" w:rsidR="002E16F3" w:rsidRPr="00B8014A" w:rsidRDefault="002E16F3" w:rsidP="00CE05FE">
      <w:pPr>
        <w:spacing w:after="0" w:line="240" w:lineRule="auto"/>
        <w:rPr>
          <w:rFonts w:ascii="Aptos" w:hAnsi="Aptos"/>
          <w:szCs w:val="24"/>
        </w:rPr>
      </w:pPr>
    </w:p>
    <w:p w14:paraId="53375431" w14:textId="6561DE25" w:rsidR="002E16F3" w:rsidRPr="002E16F3" w:rsidRDefault="00CE05FE" w:rsidP="002E16F3">
      <w:pPr>
        <w:rPr>
          <w:rFonts w:ascii="Aptos" w:hAnsi="Aptos"/>
          <w:b/>
          <w:bCs/>
          <w:szCs w:val="24"/>
        </w:rPr>
      </w:pPr>
      <w:r w:rsidRPr="002E16F3">
        <w:rPr>
          <w:rFonts w:ascii="Aptos" w:hAnsi="Aptos"/>
          <w:b/>
          <w:bCs/>
          <w:szCs w:val="24"/>
        </w:rPr>
        <w:t xml:space="preserve">17. </w:t>
      </w:r>
      <w:r w:rsidR="002E16F3" w:rsidRPr="002E16F3">
        <w:rPr>
          <w:rFonts w:ascii="Aptos" w:hAnsi="Aptos"/>
          <w:b/>
          <w:bCs/>
          <w:szCs w:val="24"/>
        </w:rPr>
        <w:t xml:space="preserve"> Is there a specific way an applicant should convey the information that they are a new, emerging nonprofit corporation that has received a grant or has a significant employment history to support its capabilities in its submitted application? </w:t>
      </w:r>
    </w:p>
    <w:p w14:paraId="5940368A" w14:textId="45CB25D1" w:rsidR="00CE05FE" w:rsidRDefault="002E16F3" w:rsidP="00E62748">
      <w:pPr>
        <w:spacing w:after="0" w:line="240" w:lineRule="auto"/>
        <w:rPr>
          <w:rFonts w:ascii="Aptos" w:hAnsi="Aptos"/>
          <w:szCs w:val="24"/>
        </w:rPr>
      </w:pPr>
      <w:r w:rsidRPr="002E16F3">
        <w:rPr>
          <w:rFonts w:ascii="Aptos" w:hAnsi="Aptos"/>
          <w:szCs w:val="24"/>
        </w:rPr>
        <w:t>Applicants without an established workforce development track record should demonstrate formal partnerships with experienced workforce development providers who will hold clear, substantive responsibility for service delivery and participant outcomes.</w:t>
      </w:r>
    </w:p>
    <w:p w14:paraId="5351FE31" w14:textId="77777777" w:rsidR="002E16F3" w:rsidRDefault="002E16F3" w:rsidP="00E62748">
      <w:pPr>
        <w:spacing w:after="0" w:line="240" w:lineRule="auto"/>
        <w:rPr>
          <w:rFonts w:ascii="Aptos" w:hAnsi="Aptos"/>
          <w:i/>
          <w:szCs w:val="24"/>
        </w:rPr>
      </w:pPr>
    </w:p>
    <w:p w14:paraId="60CA2D57" w14:textId="58D79BEE" w:rsidR="00CE05FE" w:rsidRPr="000E55EA" w:rsidRDefault="00CE05FE" w:rsidP="00CE05FE">
      <w:pPr>
        <w:spacing w:after="0" w:line="240" w:lineRule="auto"/>
        <w:rPr>
          <w:rFonts w:ascii="Aptos" w:hAnsi="Aptos"/>
          <w:b/>
          <w:bCs/>
          <w:szCs w:val="24"/>
        </w:rPr>
      </w:pPr>
      <w:r w:rsidRPr="000E55EA">
        <w:rPr>
          <w:rFonts w:ascii="Aptos" w:hAnsi="Aptos"/>
          <w:b/>
          <w:bCs/>
          <w:szCs w:val="24"/>
        </w:rPr>
        <w:t xml:space="preserve">18. </w:t>
      </w:r>
      <w:r w:rsidR="000E55EA" w:rsidRPr="000E55EA">
        <w:rPr>
          <w:rFonts w:ascii="Aptos" w:hAnsi="Aptos"/>
          <w:b/>
          <w:bCs/>
          <w:szCs w:val="24"/>
        </w:rPr>
        <w:t>Can a Local Workforce Development Board (LWDB) cover several counties? Can we propose a project that spans two counties?</w:t>
      </w:r>
    </w:p>
    <w:p w14:paraId="473A56F8" w14:textId="77777777" w:rsidR="00CE05FE" w:rsidRPr="00B8014A" w:rsidRDefault="00CE05FE" w:rsidP="00CE05FE">
      <w:pPr>
        <w:spacing w:after="0" w:line="240" w:lineRule="auto"/>
        <w:rPr>
          <w:rFonts w:ascii="Aptos" w:hAnsi="Aptos"/>
          <w:szCs w:val="24"/>
        </w:rPr>
      </w:pPr>
    </w:p>
    <w:p w14:paraId="2427454E" w14:textId="0F6A3C17" w:rsidR="00CE05FE" w:rsidRPr="00B8014A" w:rsidRDefault="000E55EA" w:rsidP="00CE05FE">
      <w:pPr>
        <w:spacing w:after="0" w:line="240" w:lineRule="auto"/>
        <w:rPr>
          <w:rFonts w:ascii="Aptos" w:hAnsi="Aptos"/>
          <w:szCs w:val="24"/>
        </w:rPr>
      </w:pPr>
      <w:r w:rsidRPr="000E55EA">
        <w:rPr>
          <w:rFonts w:ascii="Aptos" w:hAnsi="Aptos"/>
          <w:szCs w:val="24"/>
        </w:rPr>
        <w:t>Applicants may serve multiple counties under one application.</w:t>
      </w:r>
    </w:p>
    <w:p w14:paraId="119A99AE" w14:textId="77777777" w:rsidR="00CE05FE" w:rsidRPr="00B8014A" w:rsidRDefault="00CE05FE" w:rsidP="00CE05FE">
      <w:pPr>
        <w:spacing w:after="0" w:line="240" w:lineRule="auto"/>
        <w:rPr>
          <w:rFonts w:ascii="Aptos" w:hAnsi="Aptos"/>
          <w:szCs w:val="24"/>
        </w:rPr>
      </w:pPr>
    </w:p>
    <w:p w14:paraId="7306619A" w14:textId="16AD555F" w:rsidR="00CE05FE" w:rsidRPr="000E55EA" w:rsidRDefault="00CE05FE" w:rsidP="00CE05FE">
      <w:pPr>
        <w:spacing w:after="0" w:line="240" w:lineRule="auto"/>
        <w:rPr>
          <w:rFonts w:ascii="Aptos" w:hAnsi="Aptos"/>
          <w:b/>
          <w:bCs/>
          <w:szCs w:val="24"/>
        </w:rPr>
      </w:pPr>
      <w:r w:rsidRPr="000E55EA">
        <w:rPr>
          <w:rFonts w:ascii="Aptos" w:hAnsi="Aptos"/>
          <w:b/>
          <w:bCs/>
          <w:szCs w:val="24"/>
        </w:rPr>
        <w:t xml:space="preserve">19. </w:t>
      </w:r>
      <w:r w:rsidR="000E55EA" w:rsidRPr="000E55EA">
        <w:rPr>
          <w:rFonts w:ascii="Aptos" w:hAnsi="Aptos"/>
          <w:b/>
          <w:bCs/>
          <w:szCs w:val="24"/>
        </w:rPr>
        <w:t>If an applicant uses a vendor to provide training to participants, can they be categorized as contractors and not sub-recipients?</w:t>
      </w:r>
    </w:p>
    <w:p w14:paraId="56DB5664" w14:textId="77777777" w:rsidR="00CE05FE" w:rsidRPr="00B8014A" w:rsidRDefault="00CE05FE" w:rsidP="00CE05FE">
      <w:pPr>
        <w:spacing w:after="0" w:line="240" w:lineRule="auto"/>
        <w:rPr>
          <w:rFonts w:ascii="Aptos" w:hAnsi="Aptos"/>
          <w:szCs w:val="24"/>
        </w:rPr>
      </w:pPr>
    </w:p>
    <w:p w14:paraId="311D72D3" w14:textId="49C1C529" w:rsidR="000E55EA" w:rsidRPr="002E25AC" w:rsidRDefault="000E55EA" w:rsidP="000E55EA">
      <w:pPr>
        <w:spacing w:after="0" w:line="240" w:lineRule="auto"/>
        <w:rPr>
          <w:rFonts w:ascii="Aptos" w:hAnsi="Aptos"/>
          <w:szCs w:val="24"/>
        </w:rPr>
      </w:pPr>
      <w:r w:rsidRPr="002E25AC">
        <w:rPr>
          <w:rFonts w:ascii="Aptos" w:hAnsi="Aptos"/>
          <w:szCs w:val="24"/>
        </w:rPr>
        <w:t>Please refer to Workforce Services Directive</w:t>
      </w:r>
      <w:r w:rsidR="00742DA3" w:rsidRPr="00742DA3">
        <w:rPr>
          <w:rFonts w:ascii="Aptos" w:hAnsi="Aptos"/>
          <w:i/>
          <w:iCs/>
          <w:szCs w:val="24"/>
        </w:rPr>
        <w:t xml:space="preserve"> </w:t>
      </w:r>
      <w:r w:rsidR="00742DA3" w:rsidRPr="002E25AC">
        <w:rPr>
          <w:rFonts w:ascii="Aptos" w:hAnsi="Aptos"/>
          <w:i/>
          <w:iCs/>
          <w:szCs w:val="24"/>
        </w:rPr>
        <w:t>Subrecipient and Contractor Distinctions</w:t>
      </w:r>
      <w:r w:rsidRPr="002E25AC">
        <w:rPr>
          <w:rFonts w:ascii="Aptos" w:hAnsi="Aptos"/>
          <w:szCs w:val="24"/>
        </w:rPr>
        <w:t xml:space="preserve"> </w:t>
      </w:r>
      <w:r w:rsidR="00742DA3">
        <w:rPr>
          <w:rFonts w:ascii="Aptos" w:hAnsi="Aptos"/>
          <w:szCs w:val="24"/>
        </w:rPr>
        <w:t>(</w:t>
      </w:r>
      <w:hyperlink r:id="rId19" w:history="1">
        <w:r w:rsidRPr="002E25AC">
          <w:rPr>
            <w:rStyle w:val="Hyperlink"/>
            <w:rFonts w:ascii="Aptos" w:hAnsi="Aptos"/>
            <w:szCs w:val="24"/>
          </w:rPr>
          <w:t>WSD18-06</w:t>
        </w:r>
      </w:hyperlink>
      <w:r w:rsidR="00742DA3">
        <w:t>)</w:t>
      </w:r>
      <w:r w:rsidRPr="002E25AC">
        <w:rPr>
          <w:rFonts w:ascii="Aptos" w:hAnsi="Aptos"/>
          <w:szCs w:val="24"/>
        </w:rPr>
        <w:t xml:space="preserve"> for more information on subrecipient versus contractor distinctions.</w:t>
      </w:r>
    </w:p>
    <w:p w14:paraId="638E25ED" w14:textId="77777777" w:rsidR="00CE05FE" w:rsidRPr="00B8014A" w:rsidRDefault="00CE05FE" w:rsidP="00CE05FE">
      <w:pPr>
        <w:spacing w:after="0" w:line="240" w:lineRule="auto"/>
        <w:rPr>
          <w:rFonts w:ascii="Aptos" w:hAnsi="Aptos"/>
          <w:szCs w:val="24"/>
        </w:rPr>
      </w:pPr>
    </w:p>
    <w:p w14:paraId="5F51D96D" w14:textId="39AEE3C2" w:rsidR="00CE05FE" w:rsidRPr="000E55EA" w:rsidRDefault="00CE05FE" w:rsidP="00CE05FE">
      <w:pPr>
        <w:spacing w:after="0" w:line="240" w:lineRule="auto"/>
        <w:rPr>
          <w:rFonts w:ascii="Aptos" w:hAnsi="Aptos"/>
          <w:b/>
          <w:bCs/>
          <w:szCs w:val="24"/>
        </w:rPr>
      </w:pPr>
      <w:r w:rsidRPr="000E55EA">
        <w:rPr>
          <w:rFonts w:ascii="Aptos" w:hAnsi="Aptos"/>
          <w:b/>
          <w:bCs/>
          <w:szCs w:val="24"/>
        </w:rPr>
        <w:t xml:space="preserve">20. </w:t>
      </w:r>
      <w:r w:rsidR="000E55EA" w:rsidRPr="000E55EA">
        <w:rPr>
          <w:rFonts w:ascii="Aptos" w:hAnsi="Aptos"/>
          <w:b/>
          <w:bCs/>
          <w:szCs w:val="24"/>
        </w:rPr>
        <w:t>Could EDD clarify whether employer-supported supervisory training for currently employed farmworkers would automatically be classified as incumbent-worker training for purposes of the work-authorization requirement?</w:t>
      </w:r>
    </w:p>
    <w:p w14:paraId="620F0CC1" w14:textId="77777777" w:rsidR="00CE05FE" w:rsidRPr="00B8014A" w:rsidRDefault="00CE05FE" w:rsidP="00CE05FE">
      <w:pPr>
        <w:spacing w:after="0" w:line="240" w:lineRule="auto"/>
        <w:rPr>
          <w:rFonts w:ascii="Aptos" w:hAnsi="Aptos"/>
          <w:szCs w:val="24"/>
        </w:rPr>
      </w:pPr>
    </w:p>
    <w:p w14:paraId="50481E28" w14:textId="77777777" w:rsidR="000E55EA" w:rsidRPr="002E25AC" w:rsidRDefault="000E55EA" w:rsidP="000E55EA">
      <w:pPr>
        <w:spacing w:after="0" w:line="240" w:lineRule="auto"/>
        <w:rPr>
          <w:rFonts w:ascii="Aptos" w:hAnsi="Aptos"/>
          <w:iCs/>
          <w:szCs w:val="24"/>
        </w:rPr>
      </w:pPr>
      <w:r w:rsidRPr="002E25AC">
        <w:rPr>
          <w:rFonts w:ascii="Aptos" w:hAnsi="Aptos"/>
          <w:iCs/>
          <w:szCs w:val="24"/>
        </w:rPr>
        <w:t xml:space="preserve">Participants enrolled in the employer-supported training program would indeed need to provide work authorization documents before receiving WIOA-funded services.  </w:t>
      </w:r>
    </w:p>
    <w:p w14:paraId="79B9C8EF" w14:textId="77777777" w:rsidR="000E55EA" w:rsidRPr="002E25AC" w:rsidRDefault="000E55EA" w:rsidP="000E55EA">
      <w:pPr>
        <w:spacing w:after="0" w:line="240" w:lineRule="auto"/>
        <w:rPr>
          <w:rFonts w:ascii="Aptos" w:hAnsi="Aptos"/>
          <w:iCs/>
          <w:szCs w:val="24"/>
        </w:rPr>
      </w:pPr>
    </w:p>
    <w:p w14:paraId="675E61F2" w14:textId="2671065F" w:rsidR="000E55EA" w:rsidRPr="002E25AC" w:rsidRDefault="000E55EA" w:rsidP="000E55EA">
      <w:pPr>
        <w:spacing w:after="0" w:line="240" w:lineRule="auto"/>
        <w:rPr>
          <w:rFonts w:ascii="Aptos" w:hAnsi="Aptos"/>
          <w:szCs w:val="24"/>
        </w:rPr>
      </w:pPr>
      <w:r w:rsidRPr="002E25AC">
        <w:rPr>
          <w:rFonts w:ascii="Aptos" w:hAnsi="Aptos"/>
          <w:szCs w:val="24"/>
        </w:rPr>
        <w:t>Workforce Services Directive</w:t>
      </w:r>
      <w:r w:rsidR="00F575BF" w:rsidRPr="00F575BF">
        <w:rPr>
          <w:rFonts w:ascii="Aptos" w:hAnsi="Aptos"/>
          <w:i/>
          <w:iCs/>
          <w:szCs w:val="24"/>
        </w:rPr>
        <w:t xml:space="preserve"> </w:t>
      </w:r>
      <w:r w:rsidR="00F575BF" w:rsidRPr="002E25AC">
        <w:rPr>
          <w:rFonts w:ascii="Aptos" w:hAnsi="Aptos"/>
          <w:i/>
          <w:iCs/>
          <w:szCs w:val="24"/>
        </w:rPr>
        <w:t>Pathway to Services, Referral, and Enrollment</w:t>
      </w:r>
      <w:r w:rsidRPr="002E25AC">
        <w:rPr>
          <w:rFonts w:ascii="Aptos" w:hAnsi="Aptos"/>
          <w:szCs w:val="24"/>
        </w:rPr>
        <w:t xml:space="preserve"> </w:t>
      </w:r>
      <w:r w:rsidR="00F575BF">
        <w:rPr>
          <w:rFonts w:ascii="Aptos" w:hAnsi="Aptos"/>
          <w:szCs w:val="24"/>
        </w:rPr>
        <w:t>(</w:t>
      </w:r>
      <w:hyperlink r:id="rId20" w:history="1">
        <w:r w:rsidRPr="002E25AC">
          <w:rPr>
            <w:rStyle w:val="Hyperlink"/>
            <w:rFonts w:ascii="Aptos" w:hAnsi="Aptos"/>
            <w:szCs w:val="24"/>
          </w:rPr>
          <w:t>WSD18-03</w:t>
        </w:r>
      </w:hyperlink>
      <w:r w:rsidR="00F575BF">
        <w:t>)</w:t>
      </w:r>
      <w:r w:rsidRPr="002E25AC">
        <w:rPr>
          <w:rFonts w:ascii="Aptos" w:hAnsi="Aptos"/>
          <w:szCs w:val="24"/>
        </w:rPr>
        <w:t xml:space="preserve"> provides additional guidance.</w:t>
      </w:r>
    </w:p>
    <w:p w14:paraId="39FDA2AD" w14:textId="77777777" w:rsidR="00CE05FE" w:rsidRPr="00B8014A" w:rsidRDefault="00CE05FE" w:rsidP="00CE05FE">
      <w:pPr>
        <w:spacing w:after="0" w:line="240" w:lineRule="auto"/>
        <w:rPr>
          <w:rFonts w:ascii="Aptos" w:hAnsi="Aptos"/>
          <w:szCs w:val="24"/>
        </w:rPr>
      </w:pPr>
    </w:p>
    <w:p w14:paraId="5256984B" w14:textId="0DB696DE" w:rsidR="00CE05FE" w:rsidRPr="000E55EA" w:rsidRDefault="00CE05FE" w:rsidP="00CE05FE">
      <w:pPr>
        <w:spacing w:after="0" w:line="240" w:lineRule="auto"/>
        <w:rPr>
          <w:rFonts w:ascii="Aptos" w:hAnsi="Aptos"/>
          <w:b/>
          <w:bCs/>
          <w:szCs w:val="24"/>
        </w:rPr>
      </w:pPr>
      <w:r w:rsidRPr="000E55EA">
        <w:rPr>
          <w:rFonts w:ascii="Aptos" w:hAnsi="Aptos"/>
          <w:b/>
          <w:bCs/>
          <w:szCs w:val="24"/>
        </w:rPr>
        <w:t xml:space="preserve">21. </w:t>
      </w:r>
      <w:r w:rsidR="000E55EA" w:rsidRPr="000E55EA">
        <w:rPr>
          <w:rFonts w:ascii="Aptos" w:hAnsi="Aptos"/>
          <w:b/>
          <w:bCs/>
          <w:szCs w:val="24"/>
        </w:rPr>
        <w:t>Can an America's Job Center of California (AJCC) MOU partner serve primarily as the fiscal agent and administrative lead while subcontracting some or all of the direct service delivery, outreach, and day-to-day case management to a WIOA Title I program/local area?</w:t>
      </w:r>
    </w:p>
    <w:p w14:paraId="5F1D6018" w14:textId="77777777" w:rsidR="00CE05FE" w:rsidRPr="00B8014A" w:rsidRDefault="00CE05FE" w:rsidP="00CE05FE">
      <w:pPr>
        <w:spacing w:after="0" w:line="240" w:lineRule="auto"/>
        <w:rPr>
          <w:rFonts w:ascii="Aptos" w:hAnsi="Aptos"/>
          <w:szCs w:val="24"/>
        </w:rPr>
      </w:pPr>
    </w:p>
    <w:p w14:paraId="04FC5350" w14:textId="3CEA602F" w:rsidR="00CE05FE" w:rsidRDefault="000E55EA" w:rsidP="00CE05FE">
      <w:pPr>
        <w:spacing w:after="0" w:line="240" w:lineRule="auto"/>
        <w:rPr>
          <w:rFonts w:ascii="Aptos" w:hAnsi="Aptos"/>
          <w:szCs w:val="24"/>
        </w:rPr>
      </w:pPr>
      <w:r w:rsidRPr="000E55EA">
        <w:rPr>
          <w:rFonts w:ascii="Aptos" w:hAnsi="Aptos"/>
          <w:szCs w:val="24"/>
        </w:rPr>
        <w:t>Yes, an AJCC MOU partner can serve primarily as the fiscal agent and administrative lead while subcontracting some or all of the direct service delivery, outreach, and day-to-day case management to a WIOA Title I program/local area.</w:t>
      </w:r>
    </w:p>
    <w:p w14:paraId="69563756" w14:textId="77777777" w:rsidR="003F30E3" w:rsidRPr="00B8014A" w:rsidRDefault="003F30E3" w:rsidP="00CE05FE">
      <w:pPr>
        <w:spacing w:after="0" w:line="240" w:lineRule="auto"/>
        <w:rPr>
          <w:rFonts w:ascii="Aptos" w:hAnsi="Aptos"/>
          <w:szCs w:val="24"/>
        </w:rPr>
      </w:pPr>
    </w:p>
    <w:p w14:paraId="727B1F40" w14:textId="2B3D7D14" w:rsidR="00CE05FE" w:rsidRPr="000E55EA" w:rsidRDefault="003F30E3" w:rsidP="00CE05FE">
      <w:pPr>
        <w:spacing w:after="0" w:line="240" w:lineRule="auto"/>
        <w:rPr>
          <w:rFonts w:ascii="Aptos" w:hAnsi="Aptos"/>
          <w:b/>
          <w:bCs/>
          <w:szCs w:val="24"/>
        </w:rPr>
      </w:pPr>
      <w:r w:rsidRPr="000E55EA">
        <w:rPr>
          <w:rFonts w:ascii="Aptos" w:hAnsi="Aptos"/>
          <w:b/>
          <w:bCs/>
          <w:szCs w:val="24"/>
        </w:rPr>
        <w:t>22.</w:t>
      </w:r>
      <w:r w:rsidR="00CE05FE" w:rsidRPr="000E55EA">
        <w:rPr>
          <w:rFonts w:ascii="Aptos" w:hAnsi="Aptos"/>
          <w:b/>
          <w:bCs/>
          <w:szCs w:val="24"/>
        </w:rPr>
        <w:t xml:space="preserve"> </w:t>
      </w:r>
      <w:r w:rsidR="000E55EA" w:rsidRPr="000E55EA">
        <w:rPr>
          <w:rFonts w:ascii="Aptos" w:hAnsi="Aptos"/>
          <w:b/>
          <w:bCs/>
          <w:szCs w:val="24"/>
        </w:rPr>
        <w:t>What is the allowable administrative cost percentage for this grant, and can administrative overhead be shared between the primary applicant and contracted subrecipients?</w:t>
      </w:r>
    </w:p>
    <w:p w14:paraId="786AC9F7" w14:textId="77777777" w:rsidR="00CE05FE" w:rsidRPr="00B8014A" w:rsidRDefault="00CE05FE" w:rsidP="00CE05FE">
      <w:pPr>
        <w:spacing w:after="0" w:line="240" w:lineRule="auto"/>
        <w:rPr>
          <w:rFonts w:ascii="Aptos" w:hAnsi="Aptos"/>
          <w:szCs w:val="24"/>
        </w:rPr>
      </w:pPr>
    </w:p>
    <w:p w14:paraId="33D30257" w14:textId="7611C572" w:rsidR="00CE05FE" w:rsidRPr="00B8014A" w:rsidRDefault="000E55EA" w:rsidP="00CE05FE">
      <w:pPr>
        <w:spacing w:after="0" w:line="240" w:lineRule="auto"/>
        <w:rPr>
          <w:rFonts w:ascii="Aptos" w:hAnsi="Aptos"/>
          <w:szCs w:val="24"/>
        </w:rPr>
      </w:pPr>
      <w:r w:rsidRPr="000E55EA">
        <w:rPr>
          <w:rFonts w:ascii="Aptos" w:hAnsi="Aptos"/>
          <w:szCs w:val="24"/>
        </w:rPr>
        <w:t xml:space="preserve">A 10 percent cap applies to all administrative costs, whether direct or indirect. The EDD considers all </w:t>
      </w:r>
      <w:r>
        <w:rPr>
          <w:rFonts w:ascii="Aptos" w:hAnsi="Aptos"/>
          <w:szCs w:val="24"/>
        </w:rPr>
        <w:t>subaward</w:t>
      </w:r>
      <w:r w:rsidRPr="000E55EA">
        <w:rPr>
          <w:rFonts w:ascii="Aptos" w:hAnsi="Aptos"/>
          <w:szCs w:val="24"/>
        </w:rPr>
        <w:t xml:space="preserve"> program expenses for budgeting purposes; however, subrecipients may incur their own administrative costs while operating the program.</w:t>
      </w:r>
    </w:p>
    <w:p w14:paraId="410D95F4" w14:textId="77777777" w:rsidR="00CE05FE" w:rsidRPr="00B8014A" w:rsidRDefault="00CE05FE" w:rsidP="00CE05FE">
      <w:pPr>
        <w:spacing w:after="0" w:line="240" w:lineRule="auto"/>
        <w:rPr>
          <w:rFonts w:ascii="Aptos" w:hAnsi="Aptos"/>
          <w:szCs w:val="24"/>
        </w:rPr>
      </w:pPr>
    </w:p>
    <w:p w14:paraId="413E7D05" w14:textId="101CC968" w:rsidR="00CE05FE" w:rsidRPr="000E55EA" w:rsidRDefault="003F30E3" w:rsidP="00CE05FE">
      <w:pPr>
        <w:spacing w:after="0" w:line="240" w:lineRule="auto"/>
        <w:rPr>
          <w:rFonts w:ascii="Aptos" w:hAnsi="Aptos"/>
          <w:b/>
          <w:bCs/>
          <w:szCs w:val="24"/>
        </w:rPr>
      </w:pPr>
      <w:r w:rsidRPr="000E55EA">
        <w:rPr>
          <w:rFonts w:ascii="Aptos" w:hAnsi="Aptos"/>
          <w:b/>
          <w:bCs/>
          <w:szCs w:val="24"/>
        </w:rPr>
        <w:lastRenderedPageBreak/>
        <w:t>23.</w:t>
      </w:r>
      <w:r w:rsidR="00CE05FE" w:rsidRPr="000E55EA">
        <w:rPr>
          <w:rFonts w:ascii="Aptos" w:hAnsi="Aptos"/>
          <w:b/>
          <w:bCs/>
          <w:szCs w:val="24"/>
        </w:rPr>
        <w:t xml:space="preserve"> </w:t>
      </w:r>
      <w:r w:rsidR="000E55EA" w:rsidRPr="000E55EA">
        <w:rPr>
          <w:rFonts w:ascii="Aptos" w:hAnsi="Aptos"/>
          <w:b/>
          <w:bCs/>
          <w:szCs w:val="24"/>
        </w:rPr>
        <w:t xml:space="preserve">Can EDD please clarify how the indirect cost provisions in the SFP work? How does the provision allowing a De Minimis rate of up to 15% of MTDC relate to the 10% administrative cost limitation referenced in the SFP? </w:t>
      </w:r>
    </w:p>
    <w:p w14:paraId="154EF851" w14:textId="77777777" w:rsidR="00CE05FE" w:rsidRPr="00B8014A" w:rsidRDefault="00CE05FE" w:rsidP="00CE05FE">
      <w:pPr>
        <w:spacing w:after="0" w:line="240" w:lineRule="auto"/>
        <w:rPr>
          <w:rFonts w:ascii="Aptos" w:hAnsi="Aptos"/>
          <w:szCs w:val="24"/>
        </w:rPr>
      </w:pPr>
    </w:p>
    <w:p w14:paraId="373695DF" w14:textId="31E5C4EF" w:rsidR="00CE05FE" w:rsidRDefault="000E55EA" w:rsidP="00CE05FE">
      <w:pPr>
        <w:spacing w:after="0" w:line="240" w:lineRule="auto"/>
        <w:rPr>
          <w:rFonts w:ascii="Aptos" w:hAnsi="Aptos"/>
          <w:szCs w:val="24"/>
        </w:rPr>
      </w:pPr>
      <w:r w:rsidRPr="000E55EA">
        <w:rPr>
          <w:rFonts w:ascii="Aptos" w:hAnsi="Aptos"/>
          <w:szCs w:val="24"/>
        </w:rPr>
        <w:t>The 10 percent cap applies to all administrative costs, whether direct, indirect, or a combination of the two. You may charge an indirect cost rate over 10 percent if the dollar amount of the administrative portion of indirect costs plus any direct administrative costs remains under 10 percent. Please note that indirect cost rates are not calculated as a percentage of the total award but rather as a percentage of the base identified in your Negotiated Indirect Cost Rate Agreement (NICRA) or Cost Allocation Plan (CAP) or, for those claiming the 15 percent de minimis rate, as a percentage of Modified Total Direct Costs (MTDC) as defined in 2 CFR 200.68.</w:t>
      </w:r>
    </w:p>
    <w:p w14:paraId="40E8A8E5" w14:textId="77777777" w:rsidR="000E55EA" w:rsidRPr="00B8014A" w:rsidRDefault="000E55EA" w:rsidP="00CE05FE">
      <w:pPr>
        <w:spacing w:after="0" w:line="240" w:lineRule="auto"/>
        <w:rPr>
          <w:rFonts w:ascii="Aptos" w:hAnsi="Aptos"/>
          <w:szCs w:val="24"/>
        </w:rPr>
      </w:pPr>
    </w:p>
    <w:p w14:paraId="44204CE6" w14:textId="1C98DB91" w:rsidR="00CE05FE" w:rsidRPr="000E55EA" w:rsidRDefault="003F30E3" w:rsidP="00CE05FE">
      <w:pPr>
        <w:spacing w:after="0" w:line="240" w:lineRule="auto"/>
        <w:rPr>
          <w:rFonts w:ascii="Aptos" w:hAnsi="Aptos"/>
          <w:b/>
          <w:bCs/>
          <w:szCs w:val="24"/>
        </w:rPr>
      </w:pPr>
      <w:r w:rsidRPr="000E55EA">
        <w:rPr>
          <w:rFonts w:ascii="Aptos" w:hAnsi="Aptos"/>
          <w:b/>
          <w:bCs/>
          <w:szCs w:val="24"/>
        </w:rPr>
        <w:t>24.</w:t>
      </w:r>
      <w:r w:rsidR="00CE05FE" w:rsidRPr="000E55EA">
        <w:rPr>
          <w:rFonts w:ascii="Aptos" w:hAnsi="Aptos"/>
          <w:b/>
          <w:bCs/>
          <w:szCs w:val="24"/>
        </w:rPr>
        <w:t xml:space="preserve"> </w:t>
      </w:r>
      <w:r w:rsidR="000E55EA" w:rsidRPr="000E55EA">
        <w:rPr>
          <w:rFonts w:ascii="Aptos" w:hAnsi="Aptos"/>
          <w:b/>
          <w:bCs/>
          <w:szCs w:val="24"/>
        </w:rPr>
        <w:t>Does EDD have a minimum number or percentage of FAP participants that applicants are expected to enroll in WIOA Title I? If participants may be served through FAP without WIOA enrollment, is there an expected or preferred level of WIOA co-enrollment that applicants should build into their proposal and performance goals?</w:t>
      </w:r>
    </w:p>
    <w:p w14:paraId="2632F8EF" w14:textId="77777777" w:rsidR="00CE05FE" w:rsidRPr="00B8014A" w:rsidRDefault="00CE05FE" w:rsidP="00CE05FE">
      <w:pPr>
        <w:spacing w:after="0" w:line="240" w:lineRule="auto"/>
        <w:rPr>
          <w:rFonts w:ascii="Aptos" w:hAnsi="Aptos"/>
          <w:szCs w:val="24"/>
        </w:rPr>
      </w:pPr>
    </w:p>
    <w:p w14:paraId="0C84B973" w14:textId="3D4193BE" w:rsidR="00CE05FE" w:rsidRPr="00B8014A" w:rsidRDefault="000E55EA" w:rsidP="00CE05FE">
      <w:pPr>
        <w:spacing w:after="0" w:line="240" w:lineRule="auto"/>
        <w:rPr>
          <w:rFonts w:ascii="Aptos" w:hAnsi="Aptos"/>
          <w:szCs w:val="24"/>
        </w:rPr>
      </w:pPr>
      <w:r w:rsidRPr="000E55EA">
        <w:rPr>
          <w:rFonts w:ascii="Aptos" w:hAnsi="Aptos"/>
          <w:szCs w:val="24"/>
        </w:rPr>
        <w:t>An applicant may serve any number of participants but must provide a rationale for the cost per participant. Applicants may identify opportunities to leverage existing workforce funding streams, where allowable and appropriate, but there are no expected levels of co-enrollment. See section J. Performance Goals and section B. Leveraging Funds and Resources of the SFP for explanation of different funding strategies used in previous rounds of FAP.</w:t>
      </w:r>
    </w:p>
    <w:p w14:paraId="5ACB3556" w14:textId="77777777" w:rsidR="00CE05FE" w:rsidRPr="00B8014A" w:rsidRDefault="00CE05FE" w:rsidP="00CE05FE">
      <w:pPr>
        <w:spacing w:after="0" w:line="240" w:lineRule="auto"/>
        <w:rPr>
          <w:rFonts w:ascii="Aptos" w:hAnsi="Aptos"/>
          <w:szCs w:val="24"/>
        </w:rPr>
      </w:pPr>
    </w:p>
    <w:p w14:paraId="40CA05CD" w14:textId="7258BDB7" w:rsidR="00CE05FE" w:rsidRPr="000E55EA" w:rsidRDefault="003F30E3" w:rsidP="00CE05FE">
      <w:pPr>
        <w:spacing w:after="0" w:line="240" w:lineRule="auto"/>
        <w:rPr>
          <w:rFonts w:ascii="Aptos" w:hAnsi="Aptos"/>
          <w:b/>
          <w:bCs/>
          <w:szCs w:val="24"/>
        </w:rPr>
      </w:pPr>
      <w:r w:rsidRPr="000E55EA">
        <w:rPr>
          <w:rFonts w:ascii="Aptos" w:hAnsi="Aptos"/>
          <w:b/>
          <w:bCs/>
          <w:szCs w:val="24"/>
        </w:rPr>
        <w:t>25.</w:t>
      </w:r>
      <w:r w:rsidR="00CE05FE" w:rsidRPr="000E55EA">
        <w:rPr>
          <w:rFonts w:ascii="Aptos" w:hAnsi="Aptos"/>
          <w:b/>
          <w:bCs/>
          <w:szCs w:val="24"/>
        </w:rPr>
        <w:t xml:space="preserve"> </w:t>
      </w:r>
      <w:r w:rsidR="000E55EA" w:rsidRPr="000E55EA">
        <w:rPr>
          <w:rFonts w:ascii="Aptos" w:hAnsi="Aptos"/>
          <w:b/>
          <w:bCs/>
          <w:szCs w:val="24"/>
        </w:rPr>
        <w:t>For the 18–28 young adult target category, must the young adult independently meet WIOA Title I Adult eligibility, or does dependent status on an eligible migrant or seasonal farmworker satisfy the requirement?</w:t>
      </w:r>
    </w:p>
    <w:p w14:paraId="214D4FFB" w14:textId="77777777" w:rsidR="00CE05FE" w:rsidRPr="00B8014A" w:rsidRDefault="00CE05FE" w:rsidP="00CE05FE">
      <w:pPr>
        <w:spacing w:after="0" w:line="240" w:lineRule="auto"/>
        <w:rPr>
          <w:rFonts w:ascii="Aptos" w:hAnsi="Aptos"/>
          <w:szCs w:val="24"/>
        </w:rPr>
      </w:pPr>
    </w:p>
    <w:p w14:paraId="587712DC" w14:textId="1B3BEE04" w:rsidR="00CE05FE" w:rsidRDefault="000E55EA" w:rsidP="00E62748">
      <w:pPr>
        <w:spacing w:after="0" w:line="240" w:lineRule="auto"/>
        <w:rPr>
          <w:rFonts w:ascii="Aptos" w:hAnsi="Aptos"/>
          <w:szCs w:val="24"/>
        </w:rPr>
      </w:pPr>
      <w:r w:rsidRPr="000E55EA">
        <w:rPr>
          <w:rFonts w:ascii="Aptos" w:hAnsi="Aptos"/>
          <w:szCs w:val="24"/>
        </w:rPr>
        <w:t xml:space="preserve">All individuals must be 18 years of age or older, meet WIOA Title I Adult eligibility requirements, and meet one of the target population criteria listed in the SFP in Section 1: Overview, Subsection D: Target Population and Participant Eligibility. </w:t>
      </w:r>
    </w:p>
    <w:p w14:paraId="1F77C370" w14:textId="77777777" w:rsidR="000E55EA" w:rsidRDefault="000E55EA" w:rsidP="00E62748">
      <w:pPr>
        <w:spacing w:after="0" w:line="240" w:lineRule="auto"/>
        <w:rPr>
          <w:rFonts w:ascii="Aptos" w:hAnsi="Aptos"/>
          <w:i/>
          <w:szCs w:val="24"/>
        </w:rPr>
      </w:pPr>
    </w:p>
    <w:p w14:paraId="5970111E" w14:textId="63E8D9AD" w:rsidR="00CE05FE" w:rsidRPr="000E55EA" w:rsidRDefault="003F30E3" w:rsidP="00CE05FE">
      <w:pPr>
        <w:spacing w:after="0" w:line="240" w:lineRule="auto"/>
        <w:rPr>
          <w:rFonts w:ascii="Aptos" w:hAnsi="Aptos"/>
          <w:b/>
          <w:bCs/>
          <w:szCs w:val="24"/>
        </w:rPr>
      </w:pPr>
      <w:r w:rsidRPr="000E55EA">
        <w:rPr>
          <w:rFonts w:ascii="Aptos" w:hAnsi="Aptos"/>
          <w:b/>
          <w:bCs/>
          <w:szCs w:val="24"/>
        </w:rPr>
        <w:t>26.</w:t>
      </w:r>
      <w:r w:rsidR="00CE05FE" w:rsidRPr="000E55EA">
        <w:rPr>
          <w:rFonts w:ascii="Aptos" w:hAnsi="Aptos"/>
          <w:b/>
          <w:bCs/>
          <w:szCs w:val="24"/>
        </w:rPr>
        <w:t xml:space="preserve"> </w:t>
      </w:r>
      <w:r w:rsidR="000E55EA" w:rsidRPr="000E55EA">
        <w:rPr>
          <w:rFonts w:ascii="Aptos" w:hAnsi="Aptos"/>
          <w:b/>
          <w:bCs/>
          <w:szCs w:val="24"/>
        </w:rPr>
        <w:t xml:space="preserve">What documentation does EDD </w:t>
      </w:r>
      <w:r w:rsidR="006D32EF">
        <w:rPr>
          <w:rFonts w:ascii="Aptos" w:hAnsi="Aptos"/>
          <w:b/>
          <w:bCs/>
          <w:szCs w:val="24"/>
        </w:rPr>
        <w:t>require</w:t>
      </w:r>
      <w:r w:rsidR="000E55EA" w:rsidRPr="000E55EA">
        <w:rPr>
          <w:rFonts w:ascii="Aptos" w:hAnsi="Aptos"/>
          <w:b/>
          <w:bCs/>
          <w:szCs w:val="24"/>
        </w:rPr>
        <w:t xml:space="preserve"> to verify "primarily involved in agricultural or fish farming labor within the last 24 months," particularly for cash-paid work or work routed through a farm labor contractor? Does EDD prefer a specific form or attestation?</w:t>
      </w:r>
    </w:p>
    <w:p w14:paraId="3B4D94CC" w14:textId="77777777" w:rsidR="00CE05FE" w:rsidRPr="00B8014A" w:rsidRDefault="00CE05FE" w:rsidP="00CE05FE">
      <w:pPr>
        <w:spacing w:after="0" w:line="240" w:lineRule="auto"/>
        <w:rPr>
          <w:rFonts w:ascii="Aptos" w:hAnsi="Aptos"/>
          <w:szCs w:val="24"/>
        </w:rPr>
      </w:pPr>
    </w:p>
    <w:p w14:paraId="2FBB3B4B" w14:textId="65F49701" w:rsidR="00CE05FE" w:rsidRDefault="000E55EA" w:rsidP="00CE05FE">
      <w:pPr>
        <w:spacing w:after="0" w:line="240" w:lineRule="auto"/>
        <w:rPr>
          <w:rFonts w:ascii="Aptos" w:hAnsi="Aptos"/>
          <w:szCs w:val="24"/>
        </w:rPr>
      </w:pPr>
      <w:r w:rsidRPr="000E55EA">
        <w:rPr>
          <w:rFonts w:ascii="Aptos" w:hAnsi="Aptos"/>
          <w:szCs w:val="24"/>
        </w:rPr>
        <w:t xml:space="preserve">Types of documentation that can be used to verify employment include tax documents (Income Tax Records, W2 forms, quarterly tax payment forms), employer records (payroll records, leave and earnings statements, copies of pay stubs, notice of layoff, signed employer verification letters), signed/attested self-employment worksheets, and self-attestation. </w:t>
      </w:r>
      <w:r w:rsidRPr="00633C84">
        <w:rPr>
          <w:rFonts w:ascii="Aptos" w:hAnsi="Aptos"/>
          <w:szCs w:val="24"/>
        </w:rPr>
        <w:t xml:space="preserve">Per </w:t>
      </w:r>
      <w:hyperlink r:id="rId21" w:history="1">
        <w:r w:rsidRPr="00633C84">
          <w:rPr>
            <w:rStyle w:val="Hyperlink"/>
            <w:rFonts w:ascii="Aptos" w:hAnsi="Aptos"/>
            <w:szCs w:val="24"/>
          </w:rPr>
          <w:t>TEGL 26-16</w:t>
        </w:r>
      </w:hyperlink>
      <w:r w:rsidRPr="00633C84">
        <w:rPr>
          <w:rFonts w:ascii="Aptos" w:hAnsi="Aptos"/>
          <w:szCs w:val="24"/>
        </w:rPr>
        <w:t>,</w:t>
      </w:r>
      <w:r w:rsidRPr="000E55EA">
        <w:rPr>
          <w:rFonts w:ascii="Aptos" w:hAnsi="Aptos"/>
          <w:szCs w:val="24"/>
        </w:rPr>
        <w:t xml:space="preserve"> you need at least two documents when using employer records for verification.</w:t>
      </w:r>
    </w:p>
    <w:p w14:paraId="4F10D76D" w14:textId="77777777" w:rsidR="000E55EA" w:rsidRPr="00B8014A" w:rsidRDefault="000E55EA" w:rsidP="00CE05FE">
      <w:pPr>
        <w:spacing w:after="0" w:line="240" w:lineRule="auto"/>
        <w:rPr>
          <w:rFonts w:ascii="Aptos" w:hAnsi="Aptos"/>
          <w:szCs w:val="24"/>
        </w:rPr>
      </w:pPr>
    </w:p>
    <w:p w14:paraId="3CDE790C" w14:textId="5D8254B3" w:rsidR="00CE05FE" w:rsidRPr="000E55EA" w:rsidRDefault="003F30E3" w:rsidP="00CE05FE">
      <w:pPr>
        <w:spacing w:after="0" w:line="240" w:lineRule="auto"/>
        <w:rPr>
          <w:rFonts w:ascii="Aptos" w:hAnsi="Aptos"/>
          <w:b/>
          <w:bCs/>
          <w:szCs w:val="24"/>
        </w:rPr>
      </w:pPr>
      <w:r w:rsidRPr="000E55EA">
        <w:rPr>
          <w:rFonts w:ascii="Aptos" w:hAnsi="Aptos"/>
          <w:b/>
          <w:bCs/>
          <w:szCs w:val="24"/>
        </w:rPr>
        <w:t>27.</w:t>
      </w:r>
      <w:r w:rsidR="00CE05FE" w:rsidRPr="000E55EA">
        <w:rPr>
          <w:rFonts w:ascii="Aptos" w:hAnsi="Aptos"/>
          <w:b/>
          <w:bCs/>
          <w:szCs w:val="24"/>
        </w:rPr>
        <w:t xml:space="preserve"> </w:t>
      </w:r>
      <w:r w:rsidR="000E55EA" w:rsidRPr="000E55EA">
        <w:rPr>
          <w:rFonts w:ascii="Aptos" w:hAnsi="Aptos"/>
          <w:b/>
          <w:bCs/>
          <w:szCs w:val="24"/>
        </w:rPr>
        <w:t xml:space="preserve">The SFP states that this funding "will allow selected program applicants to offer job training services to all workers, regardless of WIOA eligibility." What services may be charged to the FAP grant for individuals who are not WIOA-eligible, and how should those individuals be reported in </w:t>
      </w:r>
      <w:proofErr w:type="spellStart"/>
      <w:r w:rsidR="000E55EA" w:rsidRPr="00B33980">
        <w:rPr>
          <w:rFonts w:ascii="Aptos" w:hAnsi="Aptos"/>
          <w:b/>
          <w:bCs/>
          <w:szCs w:val="24"/>
        </w:rPr>
        <w:t>CalJOBS</w:t>
      </w:r>
      <w:r w:rsidR="000E55EA" w:rsidRPr="00B33980">
        <w:rPr>
          <w:rFonts w:ascii="Aptos" w:hAnsi="Aptos"/>
          <w:b/>
          <w:bCs/>
          <w:szCs w:val="24"/>
          <w:vertAlign w:val="superscript"/>
        </w:rPr>
        <w:t>SM</w:t>
      </w:r>
      <w:proofErr w:type="spellEnd"/>
      <w:r w:rsidR="000E55EA" w:rsidRPr="000E55EA">
        <w:rPr>
          <w:rFonts w:ascii="Aptos" w:hAnsi="Aptos"/>
          <w:b/>
          <w:bCs/>
          <w:szCs w:val="24"/>
        </w:rPr>
        <w:t>, in narrative reporting only, or not at all?</w:t>
      </w:r>
    </w:p>
    <w:p w14:paraId="3DD6A22B" w14:textId="77777777" w:rsidR="00CE05FE" w:rsidRPr="00B8014A" w:rsidRDefault="00CE05FE" w:rsidP="00CE05FE">
      <w:pPr>
        <w:spacing w:after="0" w:line="240" w:lineRule="auto"/>
        <w:rPr>
          <w:rFonts w:ascii="Aptos" w:hAnsi="Aptos"/>
          <w:szCs w:val="24"/>
        </w:rPr>
      </w:pPr>
    </w:p>
    <w:p w14:paraId="7B03F704" w14:textId="77777777" w:rsidR="000E55EA" w:rsidRPr="002E25AC" w:rsidRDefault="000E55EA" w:rsidP="000E55EA">
      <w:pPr>
        <w:spacing w:after="0" w:line="240" w:lineRule="auto"/>
        <w:rPr>
          <w:rFonts w:ascii="Aptos" w:hAnsi="Aptos"/>
          <w:szCs w:val="24"/>
        </w:rPr>
      </w:pPr>
      <w:r w:rsidRPr="002E25AC">
        <w:rPr>
          <w:rFonts w:ascii="Aptos" w:hAnsi="Aptos"/>
          <w:szCs w:val="24"/>
        </w:rPr>
        <w:lastRenderedPageBreak/>
        <w:t xml:space="preserve">For WIOA Title I, participation starts when an individual receives a Staff-Assisted Basic Career service, Individualized Career service, or Training service. Authorization-to-work verification is not required for self-service or information-only Basic Career services, including program referrals, outreach, intake, orientation, and eligibility determination, so </w:t>
      </w:r>
      <w:r>
        <w:rPr>
          <w:rFonts w:ascii="Aptos" w:hAnsi="Aptos"/>
          <w:szCs w:val="24"/>
        </w:rPr>
        <w:t>we collect and report only demographic information</w:t>
      </w:r>
      <w:r w:rsidRPr="002E25AC">
        <w:rPr>
          <w:rFonts w:ascii="Aptos" w:hAnsi="Aptos"/>
          <w:szCs w:val="24"/>
        </w:rPr>
        <w:t xml:space="preserve">. </w:t>
      </w:r>
    </w:p>
    <w:p w14:paraId="62283FC0" w14:textId="77777777" w:rsidR="000E55EA" w:rsidRPr="002E25AC" w:rsidRDefault="000E55EA" w:rsidP="000E55EA">
      <w:pPr>
        <w:spacing w:after="0" w:line="240" w:lineRule="auto"/>
        <w:rPr>
          <w:rFonts w:ascii="Aptos" w:hAnsi="Aptos"/>
          <w:szCs w:val="24"/>
        </w:rPr>
      </w:pPr>
    </w:p>
    <w:p w14:paraId="6E18192B" w14:textId="6EE1B418" w:rsidR="00CE05FE" w:rsidRPr="00B8014A" w:rsidRDefault="000E55EA" w:rsidP="00CE05FE">
      <w:pPr>
        <w:spacing w:after="0" w:line="240" w:lineRule="auto"/>
        <w:rPr>
          <w:rFonts w:ascii="Aptos" w:hAnsi="Aptos"/>
          <w:szCs w:val="24"/>
        </w:rPr>
      </w:pPr>
      <w:r w:rsidRPr="002E25AC">
        <w:rPr>
          <w:rFonts w:ascii="Aptos" w:hAnsi="Aptos"/>
          <w:szCs w:val="24"/>
        </w:rPr>
        <w:t>Refer to Workforce Services Directive</w:t>
      </w:r>
      <w:r w:rsidR="00EB68AA" w:rsidRPr="00EB68AA">
        <w:rPr>
          <w:rFonts w:ascii="Aptos" w:hAnsi="Aptos"/>
          <w:i/>
          <w:iCs/>
          <w:szCs w:val="24"/>
        </w:rPr>
        <w:t xml:space="preserve"> </w:t>
      </w:r>
      <w:r w:rsidR="00EB68AA" w:rsidRPr="002E25AC">
        <w:rPr>
          <w:rFonts w:ascii="Aptos" w:hAnsi="Aptos"/>
          <w:i/>
          <w:iCs/>
          <w:szCs w:val="24"/>
        </w:rPr>
        <w:t>Pathway to Services, Referral, and Enrollment</w:t>
      </w:r>
      <w:r w:rsidRPr="002E25AC">
        <w:rPr>
          <w:rFonts w:ascii="Aptos" w:hAnsi="Aptos"/>
          <w:szCs w:val="24"/>
        </w:rPr>
        <w:t xml:space="preserve"> </w:t>
      </w:r>
      <w:r w:rsidR="008C3637">
        <w:rPr>
          <w:rFonts w:ascii="Aptos" w:hAnsi="Aptos"/>
          <w:szCs w:val="24"/>
        </w:rPr>
        <w:t>(</w:t>
      </w:r>
      <w:hyperlink r:id="rId22" w:history="1">
        <w:r w:rsidRPr="002E25AC">
          <w:rPr>
            <w:rStyle w:val="Hyperlink"/>
            <w:rFonts w:ascii="Aptos" w:hAnsi="Aptos"/>
            <w:szCs w:val="24"/>
          </w:rPr>
          <w:t>WSD18-03</w:t>
        </w:r>
      </w:hyperlink>
      <w:r w:rsidR="008C3637">
        <w:t>)</w:t>
      </w:r>
      <w:r w:rsidRPr="002E25AC">
        <w:rPr>
          <w:rFonts w:ascii="Aptos" w:hAnsi="Aptos"/>
          <w:i/>
          <w:iCs/>
          <w:szCs w:val="24"/>
        </w:rPr>
        <w:t xml:space="preserve"> </w:t>
      </w:r>
      <w:r w:rsidRPr="002E25AC">
        <w:rPr>
          <w:rFonts w:ascii="Aptos" w:hAnsi="Aptos"/>
          <w:szCs w:val="24"/>
        </w:rPr>
        <w:t>issued August 29, 2018, for guidance on making services accessible to all populations. Report all participant information in CalJOBS℠.</w:t>
      </w:r>
    </w:p>
    <w:p w14:paraId="2D8A86C0" w14:textId="77777777" w:rsidR="00CE05FE" w:rsidRPr="00B8014A" w:rsidRDefault="00CE05FE" w:rsidP="00CE05FE">
      <w:pPr>
        <w:spacing w:after="0" w:line="240" w:lineRule="auto"/>
        <w:rPr>
          <w:rFonts w:ascii="Aptos" w:hAnsi="Aptos"/>
          <w:szCs w:val="24"/>
        </w:rPr>
      </w:pPr>
    </w:p>
    <w:p w14:paraId="36603E9B" w14:textId="12BE973C" w:rsidR="00CE05FE" w:rsidRPr="000E55EA" w:rsidRDefault="003F30E3" w:rsidP="00CE05FE">
      <w:pPr>
        <w:spacing w:after="0" w:line="240" w:lineRule="auto"/>
        <w:rPr>
          <w:rFonts w:ascii="Aptos" w:hAnsi="Aptos"/>
          <w:b/>
          <w:bCs/>
          <w:szCs w:val="24"/>
        </w:rPr>
      </w:pPr>
      <w:r w:rsidRPr="000E55EA">
        <w:rPr>
          <w:rFonts w:ascii="Aptos" w:hAnsi="Aptos"/>
          <w:b/>
          <w:bCs/>
          <w:szCs w:val="24"/>
        </w:rPr>
        <w:t>28.</w:t>
      </w:r>
      <w:r w:rsidR="00CE05FE" w:rsidRPr="000E55EA">
        <w:rPr>
          <w:rFonts w:ascii="Aptos" w:hAnsi="Aptos"/>
          <w:b/>
          <w:bCs/>
          <w:szCs w:val="24"/>
        </w:rPr>
        <w:t xml:space="preserve"> </w:t>
      </w:r>
      <w:r w:rsidR="000E55EA" w:rsidRPr="000E55EA">
        <w:rPr>
          <w:rFonts w:ascii="Aptos" w:hAnsi="Aptos"/>
          <w:b/>
          <w:bCs/>
          <w:szCs w:val="24"/>
        </w:rPr>
        <w:t>For farmworkers who are legally authorized to work but lack physical copies of their documents, may FAP supportive service funds pay for legal aid and document replacement fees before the participant is formally enrolled, or only after enrollment?</w:t>
      </w:r>
    </w:p>
    <w:p w14:paraId="254E8565" w14:textId="77777777" w:rsidR="00CE05FE" w:rsidRPr="00B8014A" w:rsidRDefault="00CE05FE" w:rsidP="00CE05FE">
      <w:pPr>
        <w:spacing w:after="0" w:line="240" w:lineRule="auto"/>
        <w:rPr>
          <w:rFonts w:ascii="Aptos" w:hAnsi="Aptos"/>
          <w:szCs w:val="24"/>
        </w:rPr>
      </w:pPr>
    </w:p>
    <w:p w14:paraId="16830F00" w14:textId="0F1E4290" w:rsidR="00CE05FE" w:rsidRDefault="000E55EA" w:rsidP="00CE05FE">
      <w:pPr>
        <w:spacing w:after="0" w:line="240" w:lineRule="auto"/>
        <w:rPr>
          <w:rFonts w:ascii="Aptos" w:hAnsi="Aptos"/>
          <w:szCs w:val="24"/>
        </w:rPr>
      </w:pPr>
      <w:r w:rsidRPr="000E55EA">
        <w:rPr>
          <w:rFonts w:ascii="Aptos" w:hAnsi="Aptos"/>
          <w:szCs w:val="24"/>
        </w:rPr>
        <w:t>Because of their circumstances, farm workers legally authorized to work in the United States may lack physical copies of their work authorization documents. Therefore, FAP projects are strongly encouraged to enroll such individuals and use supportive services to help them obtain physical copies of their work authorization documents. Supportive services such as legal aid are available to participants enrolled in Basic Career, Individualized Career, or Training services.</w:t>
      </w:r>
    </w:p>
    <w:p w14:paraId="46F4A166" w14:textId="77777777" w:rsidR="000E55EA" w:rsidRPr="00B8014A" w:rsidRDefault="000E55EA" w:rsidP="00CE05FE">
      <w:pPr>
        <w:spacing w:after="0" w:line="240" w:lineRule="auto"/>
        <w:rPr>
          <w:rFonts w:ascii="Aptos" w:hAnsi="Aptos"/>
          <w:szCs w:val="24"/>
        </w:rPr>
      </w:pPr>
    </w:p>
    <w:p w14:paraId="3CE3262D" w14:textId="6D458F39" w:rsidR="00CE05FE" w:rsidRPr="000E55EA" w:rsidRDefault="003F30E3" w:rsidP="00CE05FE">
      <w:pPr>
        <w:spacing w:after="0" w:line="240" w:lineRule="auto"/>
        <w:rPr>
          <w:rFonts w:ascii="Aptos" w:hAnsi="Aptos"/>
          <w:b/>
          <w:bCs/>
          <w:szCs w:val="24"/>
        </w:rPr>
      </w:pPr>
      <w:r w:rsidRPr="000E55EA">
        <w:rPr>
          <w:rFonts w:ascii="Aptos" w:hAnsi="Aptos"/>
          <w:b/>
          <w:bCs/>
          <w:szCs w:val="24"/>
        </w:rPr>
        <w:t>29.</w:t>
      </w:r>
      <w:r w:rsidR="00CE05FE" w:rsidRPr="000E55EA">
        <w:rPr>
          <w:rFonts w:ascii="Aptos" w:hAnsi="Aptos"/>
          <w:b/>
          <w:bCs/>
          <w:szCs w:val="24"/>
        </w:rPr>
        <w:t xml:space="preserve"> </w:t>
      </w:r>
      <w:r w:rsidR="000E55EA" w:rsidRPr="000E55EA">
        <w:rPr>
          <w:rFonts w:ascii="Aptos" w:hAnsi="Aptos"/>
          <w:b/>
          <w:bCs/>
          <w:szCs w:val="24"/>
        </w:rPr>
        <w:t>Can an applicant that operates a WIOA Youth center use that site and its staff as the service location for an Adult-eligibility FAP project, with costs allocated appropriately?</w:t>
      </w:r>
    </w:p>
    <w:p w14:paraId="713C6882" w14:textId="77777777" w:rsidR="00CE05FE" w:rsidRPr="00B8014A" w:rsidRDefault="00CE05FE" w:rsidP="00CE05FE">
      <w:pPr>
        <w:spacing w:after="0" w:line="240" w:lineRule="auto"/>
        <w:rPr>
          <w:rFonts w:ascii="Aptos" w:hAnsi="Aptos"/>
          <w:szCs w:val="24"/>
        </w:rPr>
      </w:pPr>
    </w:p>
    <w:p w14:paraId="3A4DD7D9" w14:textId="03552338" w:rsidR="00CE05FE" w:rsidRDefault="000E55EA" w:rsidP="00E62748">
      <w:pPr>
        <w:spacing w:after="0" w:line="240" w:lineRule="auto"/>
        <w:rPr>
          <w:rFonts w:ascii="Aptos" w:hAnsi="Aptos"/>
          <w:szCs w:val="24"/>
        </w:rPr>
      </w:pPr>
      <w:r w:rsidRPr="000E55EA">
        <w:rPr>
          <w:rFonts w:ascii="Aptos" w:hAnsi="Aptos"/>
          <w:szCs w:val="24"/>
        </w:rPr>
        <w:t>Yes, an applicant that operates a WIOA Youth center can use that site and its staff as the service location for an Adult-eligibility FAP project, if costs are allocated appropriately.</w:t>
      </w:r>
    </w:p>
    <w:p w14:paraId="788EDA58" w14:textId="77777777" w:rsidR="000E55EA" w:rsidRPr="00B8014A" w:rsidRDefault="000E55EA" w:rsidP="00E62748">
      <w:pPr>
        <w:spacing w:after="0" w:line="240" w:lineRule="auto"/>
        <w:rPr>
          <w:rFonts w:ascii="Aptos" w:hAnsi="Aptos"/>
          <w:i/>
          <w:szCs w:val="24"/>
        </w:rPr>
      </w:pPr>
    </w:p>
    <w:p w14:paraId="4E881AFF" w14:textId="062E044F" w:rsidR="003F30E3" w:rsidRPr="000E55EA" w:rsidRDefault="003F30E3" w:rsidP="003F30E3">
      <w:pPr>
        <w:spacing w:after="0" w:line="240" w:lineRule="auto"/>
        <w:rPr>
          <w:rFonts w:ascii="Aptos" w:hAnsi="Aptos"/>
          <w:b/>
          <w:bCs/>
          <w:szCs w:val="24"/>
        </w:rPr>
      </w:pPr>
      <w:r w:rsidRPr="000E55EA">
        <w:rPr>
          <w:rFonts w:ascii="Aptos" w:hAnsi="Aptos"/>
          <w:b/>
          <w:bCs/>
          <w:szCs w:val="24"/>
        </w:rPr>
        <w:t xml:space="preserve">30. </w:t>
      </w:r>
      <w:r w:rsidR="000E55EA" w:rsidRPr="000E55EA">
        <w:rPr>
          <w:rFonts w:ascii="Aptos" w:hAnsi="Aptos"/>
          <w:b/>
          <w:bCs/>
          <w:szCs w:val="24"/>
        </w:rPr>
        <w:t>For the 20% leverage requirement, can braided WIOA Title I formula funds used for paid work experience and OJT within the allowable scope be counted as leveraged resources, and how should they be documented in a commitment letter?</w:t>
      </w:r>
    </w:p>
    <w:p w14:paraId="568082C6" w14:textId="77777777" w:rsidR="003F30E3" w:rsidRPr="00B8014A" w:rsidRDefault="003F30E3" w:rsidP="003F30E3">
      <w:pPr>
        <w:spacing w:after="0" w:line="240" w:lineRule="auto"/>
        <w:rPr>
          <w:rFonts w:ascii="Aptos" w:hAnsi="Aptos"/>
          <w:szCs w:val="24"/>
        </w:rPr>
      </w:pPr>
    </w:p>
    <w:p w14:paraId="1DA96021" w14:textId="5C266CCE" w:rsidR="000E55EA" w:rsidRPr="002E25AC" w:rsidRDefault="000E55EA" w:rsidP="000E55EA">
      <w:pPr>
        <w:spacing w:after="0" w:line="240" w:lineRule="auto"/>
        <w:rPr>
          <w:rFonts w:ascii="Aptos" w:hAnsi="Aptos"/>
          <w:iCs/>
          <w:szCs w:val="24"/>
        </w:rPr>
      </w:pPr>
      <w:r w:rsidRPr="002E25AC">
        <w:rPr>
          <w:rFonts w:ascii="Aptos" w:hAnsi="Aptos"/>
          <w:iCs/>
          <w:szCs w:val="24"/>
        </w:rPr>
        <w:t>Applicants must demonstrate at least 20 percent leveraged resources from other sources based on the total grant funding requested. All leveraged resources will be subject to the reporting requirements contained in Workforce Services Directive</w:t>
      </w:r>
      <w:r w:rsidR="004173A4" w:rsidRPr="004173A4">
        <w:rPr>
          <w:rFonts w:ascii="Aptos" w:hAnsi="Aptos"/>
          <w:i/>
          <w:szCs w:val="24"/>
        </w:rPr>
        <w:t xml:space="preserve"> </w:t>
      </w:r>
      <w:r w:rsidR="004173A4" w:rsidRPr="002E25AC">
        <w:rPr>
          <w:rFonts w:ascii="Aptos" w:hAnsi="Aptos"/>
          <w:i/>
          <w:szCs w:val="24"/>
        </w:rPr>
        <w:t>Monthly and Quarterly Financial Reporting Requirements</w:t>
      </w:r>
      <w:r w:rsidR="004173A4" w:rsidRPr="002E25AC">
        <w:rPr>
          <w:rFonts w:ascii="Aptos" w:hAnsi="Aptos"/>
          <w:iCs/>
          <w:szCs w:val="24"/>
        </w:rPr>
        <w:t xml:space="preserve"> (December 4, 2019)</w:t>
      </w:r>
      <w:r w:rsidRPr="002E25AC">
        <w:rPr>
          <w:rFonts w:ascii="Aptos" w:hAnsi="Aptos"/>
          <w:iCs/>
          <w:szCs w:val="24"/>
        </w:rPr>
        <w:t xml:space="preserve"> </w:t>
      </w:r>
      <w:r w:rsidR="004173A4">
        <w:rPr>
          <w:rFonts w:ascii="Aptos" w:hAnsi="Aptos"/>
          <w:iCs/>
          <w:szCs w:val="24"/>
        </w:rPr>
        <w:t>(</w:t>
      </w:r>
      <w:hyperlink r:id="rId23" w:history="1">
        <w:r w:rsidRPr="002E25AC">
          <w:rPr>
            <w:rStyle w:val="Hyperlink"/>
            <w:rFonts w:ascii="Aptos" w:hAnsi="Aptos"/>
            <w:iCs/>
            <w:szCs w:val="24"/>
          </w:rPr>
          <w:t>WSD19-05</w:t>
        </w:r>
      </w:hyperlink>
      <w:r w:rsidR="004173A4">
        <w:t>)</w:t>
      </w:r>
      <w:r w:rsidRPr="002E25AC">
        <w:rPr>
          <w:rFonts w:ascii="Aptos" w:hAnsi="Aptos"/>
          <w:iCs/>
          <w:szCs w:val="24"/>
        </w:rPr>
        <w:t xml:space="preserve">, and Title 2 </w:t>
      </w:r>
      <w:r w:rsidRPr="00A35562">
        <w:rPr>
          <w:rFonts w:ascii="Aptos" w:hAnsi="Aptos"/>
          <w:i/>
          <w:szCs w:val="24"/>
        </w:rPr>
        <w:t>Code of Federal Regulations</w:t>
      </w:r>
      <w:r w:rsidRPr="002E25AC">
        <w:rPr>
          <w:rFonts w:ascii="Aptos" w:hAnsi="Aptos"/>
          <w:iCs/>
          <w:szCs w:val="24"/>
        </w:rPr>
        <w:t xml:space="preserve"> (CFR) Part 200: Uniform Administrative Requirements, Cost Principles, and Audit Requirements for Federal Awards (Uniform Guidance), Section 200.306, Cost sharing or leveraging. Regardless of the source, document all leveraged funds in a commitment agreement letter from the funding agency. The letters should clearly define the contribution parameters and include the exact cash amount or an estimated in-kind dollar amount.</w:t>
      </w:r>
    </w:p>
    <w:p w14:paraId="152EB83A" w14:textId="77777777" w:rsidR="003F30E3" w:rsidRPr="00B8014A" w:rsidRDefault="003F30E3" w:rsidP="003F30E3">
      <w:pPr>
        <w:spacing w:after="0" w:line="240" w:lineRule="auto"/>
        <w:rPr>
          <w:rFonts w:ascii="Aptos" w:hAnsi="Aptos"/>
          <w:szCs w:val="24"/>
        </w:rPr>
      </w:pPr>
    </w:p>
    <w:p w14:paraId="3C5E58CB" w14:textId="415E7734" w:rsidR="003F30E3" w:rsidRPr="000E55EA" w:rsidRDefault="003F30E3" w:rsidP="003F30E3">
      <w:pPr>
        <w:spacing w:after="0" w:line="240" w:lineRule="auto"/>
        <w:rPr>
          <w:rFonts w:ascii="Aptos" w:hAnsi="Aptos"/>
          <w:b/>
          <w:bCs/>
          <w:szCs w:val="24"/>
        </w:rPr>
      </w:pPr>
      <w:r w:rsidRPr="000E55EA">
        <w:rPr>
          <w:rFonts w:ascii="Aptos" w:hAnsi="Aptos"/>
          <w:b/>
          <w:bCs/>
          <w:szCs w:val="24"/>
        </w:rPr>
        <w:t xml:space="preserve">31. </w:t>
      </w:r>
      <w:r w:rsidR="000E55EA" w:rsidRPr="000E55EA">
        <w:rPr>
          <w:rFonts w:ascii="Aptos" w:hAnsi="Aptos"/>
          <w:b/>
          <w:bCs/>
          <w:szCs w:val="24"/>
        </w:rPr>
        <w:t>Are stipends and incentive payments under WSD23-08 charged as program costs, and is there a per-participant cap EDD expects to see?</w:t>
      </w:r>
    </w:p>
    <w:p w14:paraId="0A8147C7" w14:textId="77777777" w:rsidR="003F30E3" w:rsidRPr="00B8014A" w:rsidRDefault="003F30E3" w:rsidP="003F30E3">
      <w:pPr>
        <w:spacing w:after="0" w:line="240" w:lineRule="auto"/>
        <w:rPr>
          <w:rFonts w:ascii="Aptos" w:hAnsi="Aptos"/>
          <w:szCs w:val="24"/>
        </w:rPr>
      </w:pPr>
    </w:p>
    <w:p w14:paraId="295EDE55" w14:textId="188695C7" w:rsidR="000E55EA" w:rsidRPr="002E25AC" w:rsidRDefault="000E55EA" w:rsidP="000E55EA">
      <w:pPr>
        <w:autoSpaceDE w:val="0"/>
        <w:autoSpaceDN w:val="0"/>
        <w:adjustRightInd w:val="0"/>
        <w:spacing w:after="0" w:line="240" w:lineRule="auto"/>
        <w:rPr>
          <w:rFonts w:ascii="Aptos" w:hAnsi="Aptos"/>
          <w:szCs w:val="24"/>
        </w:rPr>
      </w:pPr>
      <w:r w:rsidRPr="002E25AC">
        <w:rPr>
          <w:rFonts w:ascii="Aptos" w:hAnsi="Aptos" w:cs="Aptos"/>
          <w:color w:val="000000" w:themeColor="text1"/>
          <w:szCs w:val="24"/>
        </w:rPr>
        <w:t>As defined in Workforce Services Directive</w:t>
      </w:r>
      <w:r w:rsidR="00A35562" w:rsidRPr="00A35562">
        <w:rPr>
          <w:rFonts w:ascii="Aptos" w:hAnsi="Aptos" w:cs="Aptos"/>
          <w:i/>
          <w:iCs/>
          <w:color w:val="000000" w:themeColor="text1"/>
          <w:szCs w:val="24"/>
        </w:rPr>
        <w:t xml:space="preserve"> </w:t>
      </w:r>
      <w:r w:rsidR="00A35562" w:rsidRPr="002E25AC">
        <w:rPr>
          <w:rFonts w:ascii="Aptos" w:hAnsi="Aptos" w:cs="Aptos"/>
          <w:i/>
          <w:iCs/>
          <w:color w:val="000000" w:themeColor="text1"/>
          <w:szCs w:val="24"/>
        </w:rPr>
        <w:t>Stipends and Incentive Payments</w:t>
      </w:r>
      <w:r w:rsidRPr="002E25AC">
        <w:rPr>
          <w:rFonts w:ascii="Aptos" w:hAnsi="Aptos" w:cs="Aptos"/>
          <w:color w:val="000000" w:themeColor="text1"/>
          <w:szCs w:val="24"/>
        </w:rPr>
        <w:t xml:space="preserve"> </w:t>
      </w:r>
      <w:r w:rsidR="00A35562">
        <w:rPr>
          <w:rFonts w:ascii="Aptos" w:hAnsi="Aptos" w:cs="Aptos"/>
          <w:color w:val="000000" w:themeColor="text1"/>
          <w:szCs w:val="24"/>
        </w:rPr>
        <w:t>(</w:t>
      </w:r>
      <w:hyperlink r:id="rId24">
        <w:r w:rsidRPr="002E25AC">
          <w:rPr>
            <w:rStyle w:val="Hyperlink"/>
            <w:rFonts w:ascii="Aptos" w:hAnsi="Aptos" w:cs="Aptos"/>
            <w:szCs w:val="24"/>
          </w:rPr>
          <w:t>WSD23-08</w:t>
        </w:r>
      </w:hyperlink>
      <w:r w:rsidR="00A35562">
        <w:rPr>
          <w:rFonts w:ascii="Aptos" w:hAnsi="Aptos" w:cs="Aptos"/>
          <w:color w:val="000000" w:themeColor="text1"/>
          <w:szCs w:val="24"/>
        </w:rPr>
        <w:t>)</w:t>
      </w:r>
      <w:r w:rsidRPr="002E25AC">
        <w:rPr>
          <w:rFonts w:ascii="Aptos" w:hAnsi="Aptos" w:cs="Aptos"/>
          <w:color w:val="000000" w:themeColor="text1"/>
          <w:szCs w:val="24"/>
        </w:rPr>
        <w:t xml:space="preserve">, stipends are fixed payments provided to program participants. For participation in a training or other workforce activity that requires a substantial or regularly scheduled time commitment. Stipends are a form of supportive service and are considered a program cost. EDD does not cap these </w:t>
      </w:r>
      <w:r w:rsidRPr="002E25AC">
        <w:rPr>
          <w:rFonts w:ascii="Aptos" w:hAnsi="Aptos" w:cs="Aptos"/>
          <w:color w:val="000000" w:themeColor="text1"/>
          <w:szCs w:val="24"/>
        </w:rPr>
        <w:lastRenderedPageBreak/>
        <w:t>payments, but costs must be necessary and reasonable, and you must follow the provisions of WSD23-08 when providing participant stipends or incentives.</w:t>
      </w:r>
    </w:p>
    <w:sectPr w:rsidR="000E55EA" w:rsidRPr="002E25AC" w:rsidSect="00C61260">
      <w:type w:val="continuous"/>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2778E" w14:textId="77777777" w:rsidR="005E0908" w:rsidRDefault="005E0908" w:rsidP="00C4619D">
      <w:pPr>
        <w:spacing w:after="0" w:line="240" w:lineRule="auto"/>
      </w:pPr>
      <w:r>
        <w:separator/>
      </w:r>
    </w:p>
  </w:endnote>
  <w:endnote w:type="continuationSeparator" w:id="0">
    <w:p w14:paraId="37C2E0FB" w14:textId="77777777" w:rsidR="005E0908" w:rsidRDefault="005E0908" w:rsidP="00C46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174A" w14:textId="75463450" w:rsidR="00FF4F64" w:rsidRDefault="00FF4F64">
    <w:pPr>
      <w:pStyle w:val="Footer"/>
    </w:pPr>
    <w:r>
      <w:rPr>
        <w:rFonts w:ascii="Aptos" w:hAnsi="Aptos"/>
        <w:szCs w:val="24"/>
      </w:rPr>
      <w:t>FAP</w:t>
    </w:r>
    <w:sdt>
      <w:sdtPr>
        <w:rPr>
          <w:rFonts w:ascii="Aptos" w:hAnsi="Aptos"/>
          <w:szCs w:val="24"/>
        </w:rPr>
        <w:id w:val="1521050959"/>
        <w:docPartObj>
          <w:docPartGallery w:val="Page Numbers (Top of Page)"/>
          <w:docPartUnique/>
        </w:docPartObj>
      </w:sdtPr>
      <w:sdtContent>
        <w:r w:rsidRPr="00B8014A">
          <w:rPr>
            <w:rFonts w:ascii="Aptos" w:hAnsi="Aptos"/>
            <w:szCs w:val="24"/>
          </w:rPr>
          <w:t xml:space="preserve"> SFP PY </w:t>
        </w:r>
        <w:r>
          <w:rPr>
            <w:rFonts w:ascii="Aptos" w:hAnsi="Aptos"/>
            <w:szCs w:val="24"/>
          </w:rPr>
          <w:t>26-27</w:t>
        </w:r>
        <w:r w:rsidRPr="00B8014A">
          <w:rPr>
            <w:rFonts w:ascii="Aptos" w:hAnsi="Aptos"/>
            <w:szCs w:val="24"/>
          </w:rPr>
          <w:tab/>
          <w:t xml:space="preserve">Page </w:t>
        </w:r>
        <w:r w:rsidRPr="00B8014A">
          <w:rPr>
            <w:rFonts w:ascii="Aptos" w:hAnsi="Aptos"/>
            <w:bCs/>
            <w:szCs w:val="24"/>
          </w:rPr>
          <w:fldChar w:fldCharType="begin"/>
        </w:r>
        <w:r w:rsidRPr="00B8014A">
          <w:rPr>
            <w:rFonts w:ascii="Aptos" w:hAnsi="Aptos"/>
            <w:bCs/>
            <w:szCs w:val="24"/>
          </w:rPr>
          <w:instrText xml:space="preserve"> PAGE </w:instrText>
        </w:r>
        <w:r w:rsidRPr="00B8014A">
          <w:rPr>
            <w:rFonts w:ascii="Aptos" w:hAnsi="Aptos"/>
            <w:bCs/>
            <w:szCs w:val="24"/>
          </w:rPr>
          <w:fldChar w:fldCharType="separate"/>
        </w:r>
        <w:r>
          <w:rPr>
            <w:rFonts w:ascii="Aptos" w:hAnsi="Aptos"/>
            <w:bCs/>
          </w:rPr>
          <w:t>1</w:t>
        </w:r>
        <w:r w:rsidRPr="00B8014A">
          <w:rPr>
            <w:rFonts w:ascii="Aptos" w:hAnsi="Aptos"/>
            <w:bCs/>
            <w:szCs w:val="24"/>
          </w:rPr>
          <w:fldChar w:fldCharType="end"/>
        </w:r>
        <w:r w:rsidRPr="00B8014A">
          <w:rPr>
            <w:rFonts w:ascii="Aptos" w:hAnsi="Aptos"/>
            <w:szCs w:val="24"/>
          </w:rPr>
          <w:t xml:space="preserve"> of </w:t>
        </w:r>
        <w:r w:rsidRPr="00B8014A">
          <w:rPr>
            <w:rFonts w:ascii="Aptos" w:hAnsi="Aptos"/>
            <w:bCs/>
            <w:szCs w:val="24"/>
          </w:rPr>
          <w:fldChar w:fldCharType="begin"/>
        </w:r>
        <w:r w:rsidRPr="00B8014A">
          <w:rPr>
            <w:rFonts w:ascii="Aptos" w:hAnsi="Aptos"/>
            <w:bCs/>
            <w:szCs w:val="24"/>
          </w:rPr>
          <w:instrText xml:space="preserve"> NUMPAGES  </w:instrText>
        </w:r>
        <w:r w:rsidRPr="00B8014A">
          <w:rPr>
            <w:rFonts w:ascii="Aptos" w:hAnsi="Aptos"/>
            <w:bCs/>
            <w:szCs w:val="24"/>
          </w:rPr>
          <w:fldChar w:fldCharType="separate"/>
        </w:r>
        <w:r>
          <w:rPr>
            <w:rFonts w:ascii="Aptos" w:hAnsi="Aptos"/>
            <w:bCs/>
          </w:rPr>
          <w:t>7</w:t>
        </w:r>
        <w:r w:rsidRPr="00B8014A">
          <w:rPr>
            <w:rFonts w:ascii="Aptos" w:hAnsi="Aptos"/>
            <w:bCs/>
            <w:szCs w:val="24"/>
          </w:rPr>
          <w:fldChar w:fldCharType="end"/>
        </w:r>
        <w:r w:rsidRPr="00B8014A">
          <w:rPr>
            <w:rFonts w:ascii="Aptos" w:hAnsi="Aptos"/>
            <w:bCs/>
            <w:szCs w:val="24"/>
          </w:rPr>
          <w:t xml:space="preserve"> </w:t>
        </w:r>
        <w:r w:rsidRPr="00B8014A">
          <w:rPr>
            <w:rFonts w:ascii="Aptos" w:hAnsi="Aptos"/>
            <w:bCs/>
            <w:szCs w:val="24"/>
          </w:rPr>
          <w:tab/>
        </w:r>
        <w:proofErr w:type="gramStart"/>
        <w:r>
          <w:rPr>
            <w:rFonts w:ascii="Aptos" w:hAnsi="Aptos"/>
            <w:bCs/>
            <w:szCs w:val="24"/>
          </w:rPr>
          <w:t>September  2026</w:t>
        </w:r>
        <w:proofErr w:type="gramEnd"/>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F7EC" w14:textId="6BB00E71" w:rsidR="00A20493" w:rsidRPr="00B8014A" w:rsidRDefault="00CE05FE" w:rsidP="00A20493">
    <w:pPr>
      <w:pStyle w:val="Footer"/>
      <w:rPr>
        <w:rFonts w:ascii="Aptos" w:hAnsi="Aptos"/>
        <w:szCs w:val="24"/>
      </w:rPr>
    </w:pPr>
    <w:r>
      <w:rPr>
        <w:rFonts w:ascii="Aptos" w:hAnsi="Aptos"/>
        <w:szCs w:val="24"/>
      </w:rPr>
      <w:t>FAP</w:t>
    </w:r>
    <w:sdt>
      <w:sdtPr>
        <w:rPr>
          <w:rFonts w:ascii="Aptos" w:hAnsi="Aptos"/>
          <w:szCs w:val="24"/>
        </w:rPr>
        <w:id w:val="1728636285"/>
        <w:docPartObj>
          <w:docPartGallery w:val="Page Numbers (Top of Page)"/>
          <w:docPartUnique/>
        </w:docPartObj>
      </w:sdtPr>
      <w:sdtContent>
        <w:r w:rsidR="00981B51" w:rsidRPr="00B8014A">
          <w:rPr>
            <w:rFonts w:ascii="Aptos" w:hAnsi="Aptos"/>
            <w:szCs w:val="24"/>
          </w:rPr>
          <w:t xml:space="preserve"> SFP PY </w:t>
        </w:r>
        <w:r>
          <w:rPr>
            <w:rFonts w:ascii="Aptos" w:hAnsi="Aptos"/>
            <w:szCs w:val="24"/>
          </w:rPr>
          <w:t>26-27</w:t>
        </w:r>
        <w:r w:rsidR="00A20493" w:rsidRPr="00B8014A">
          <w:rPr>
            <w:rFonts w:ascii="Aptos" w:hAnsi="Aptos"/>
            <w:szCs w:val="24"/>
          </w:rPr>
          <w:tab/>
          <w:t xml:space="preserve">Page </w:t>
        </w:r>
        <w:r w:rsidR="00A20493" w:rsidRPr="00B8014A">
          <w:rPr>
            <w:rFonts w:ascii="Aptos" w:hAnsi="Aptos"/>
            <w:bCs/>
            <w:szCs w:val="24"/>
          </w:rPr>
          <w:fldChar w:fldCharType="begin"/>
        </w:r>
        <w:r w:rsidR="00A20493" w:rsidRPr="00B8014A">
          <w:rPr>
            <w:rFonts w:ascii="Aptos" w:hAnsi="Aptos"/>
            <w:bCs/>
            <w:szCs w:val="24"/>
          </w:rPr>
          <w:instrText xml:space="preserve"> PAGE </w:instrText>
        </w:r>
        <w:r w:rsidR="00A20493" w:rsidRPr="00B8014A">
          <w:rPr>
            <w:rFonts w:ascii="Aptos" w:hAnsi="Aptos"/>
            <w:bCs/>
            <w:szCs w:val="24"/>
          </w:rPr>
          <w:fldChar w:fldCharType="separate"/>
        </w:r>
        <w:r w:rsidR="00981B51" w:rsidRPr="00B8014A">
          <w:rPr>
            <w:rFonts w:ascii="Aptos" w:hAnsi="Aptos"/>
            <w:bCs/>
            <w:noProof/>
            <w:szCs w:val="24"/>
          </w:rPr>
          <w:t>1</w:t>
        </w:r>
        <w:r w:rsidR="00A20493" w:rsidRPr="00B8014A">
          <w:rPr>
            <w:rFonts w:ascii="Aptos" w:hAnsi="Aptos"/>
            <w:bCs/>
            <w:szCs w:val="24"/>
          </w:rPr>
          <w:fldChar w:fldCharType="end"/>
        </w:r>
        <w:r w:rsidR="00A20493" w:rsidRPr="00B8014A">
          <w:rPr>
            <w:rFonts w:ascii="Aptos" w:hAnsi="Aptos"/>
            <w:szCs w:val="24"/>
          </w:rPr>
          <w:t xml:space="preserve"> of </w:t>
        </w:r>
        <w:r w:rsidR="00A20493" w:rsidRPr="00B8014A">
          <w:rPr>
            <w:rFonts w:ascii="Aptos" w:hAnsi="Aptos"/>
            <w:bCs/>
            <w:szCs w:val="24"/>
          </w:rPr>
          <w:fldChar w:fldCharType="begin"/>
        </w:r>
        <w:r w:rsidR="00A20493" w:rsidRPr="00B8014A">
          <w:rPr>
            <w:rFonts w:ascii="Aptos" w:hAnsi="Aptos"/>
            <w:bCs/>
            <w:szCs w:val="24"/>
          </w:rPr>
          <w:instrText xml:space="preserve"> NUMPAGES  </w:instrText>
        </w:r>
        <w:r w:rsidR="00A20493" w:rsidRPr="00B8014A">
          <w:rPr>
            <w:rFonts w:ascii="Aptos" w:hAnsi="Aptos"/>
            <w:bCs/>
            <w:szCs w:val="24"/>
          </w:rPr>
          <w:fldChar w:fldCharType="separate"/>
        </w:r>
        <w:r w:rsidR="00981B51" w:rsidRPr="00B8014A">
          <w:rPr>
            <w:rFonts w:ascii="Aptos" w:hAnsi="Aptos"/>
            <w:bCs/>
            <w:noProof/>
            <w:szCs w:val="24"/>
          </w:rPr>
          <w:t>1</w:t>
        </w:r>
        <w:r w:rsidR="00A20493" w:rsidRPr="00B8014A">
          <w:rPr>
            <w:rFonts w:ascii="Aptos" w:hAnsi="Aptos"/>
            <w:bCs/>
            <w:szCs w:val="24"/>
          </w:rPr>
          <w:fldChar w:fldCharType="end"/>
        </w:r>
        <w:r w:rsidR="00A20493" w:rsidRPr="00B8014A">
          <w:rPr>
            <w:rFonts w:ascii="Aptos" w:hAnsi="Aptos"/>
            <w:bCs/>
            <w:szCs w:val="24"/>
          </w:rPr>
          <w:t xml:space="preserve"> </w:t>
        </w:r>
        <w:r w:rsidR="00A20493" w:rsidRPr="00B8014A">
          <w:rPr>
            <w:rFonts w:ascii="Aptos" w:hAnsi="Aptos"/>
            <w:bCs/>
            <w:szCs w:val="24"/>
          </w:rPr>
          <w:tab/>
        </w:r>
        <w:proofErr w:type="gramStart"/>
        <w:r>
          <w:rPr>
            <w:rFonts w:ascii="Aptos" w:hAnsi="Aptos"/>
            <w:bCs/>
            <w:szCs w:val="24"/>
          </w:rPr>
          <w:t>September  2026</w:t>
        </w:r>
        <w:proofErr w:type="gramEnd"/>
      </w:sdtContent>
    </w:sdt>
  </w:p>
  <w:p w14:paraId="75A9F7ED" w14:textId="77777777" w:rsidR="00A20493" w:rsidRPr="00B8014A" w:rsidRDefault="00A20493">
    <w:pPr>
      <w:pStyle w:val="Footer"/>
      <w:rPr>
        <w:rFonts w:ascii="Aptos" w:hAnsi="Aptos"/>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B9E4A" w14:textId="77777777" w:rsidR="005E0908" w:rsidRDefault="005E0908" w:rsidP="00C4619D">
      <w:pPr>
        <w:spacing w:after="0" w:line="240" w:lineRule="auto"/>
      </w:pPr>
      <w:r>
        <w:separator/>
      </w:r>
    </w:p>
  </w:footnote>
  <w:footnote w:type="continuationSeparator" w:id="0">
    <w:p w14:paraId="2722DA6A" w14:textId="77777777" w:rsidR="005E0908" w:rsidRDefault="005E0908" w:rsidP="00C461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F7E5" w14:textId="77777777" w:rsidR="00EB620C" w:rsidRDefault="00EB620C" w:rsidP="00DF7D10">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F1728"/>
    <w:multiLevelType w:val="hybridMultilevel"/>
    <w:tmpl w:val="652E3232"/>
    <w:lvl w:ilvl="0" w:tplc="2ED06E86">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5E06D9"/>
    <w:multiLevelType w:val="hybridMultilevel"/>
    <w:tmpl w:val="1A8601C8"/>
    <w:lvl w:ilvl="0" w:tplc="3306BFA8">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5410238">
    <w:abstractNumId w:val="1"/>
  </w:num>
  <w:num w:numId="2" w16cid:durableId="562103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1MzIyMDU3MjU3NjJU0lEKTi0uzszPAykwqgUADq2ETywAAAA="/>
  </w:docVars>
  <w:rsids>
    <w:rsidRoot w:val="00C4619D"/>
    <w:rsid w:val="00011FF6"/>
    <w:rsid w:val="0005733A"/>
    <w:rsid w:val="00070957"/>
    <w:rsid w:val="00077074"/>
    <w:rsid w:val="000907CE"/>
    <w:rsid w:val="000A7E79"/>
    <w:rsid w:val="000C5700"/>
    <w:rsid w:val="000D41F4"/>
    <w:rsid w:val="000E55EA"/>
    <w:rsid w:val="000F1782"/>
    <w:rsid w:val="00166463"/>
    <w:rsid w:val="00167951"/>
    <w:rsid w:val="00181D21"/>
    <w:rsid w:val="001A2FE1"/>
    <w:rsid w:val="00233C68"/>
    <w:rsid w:val="00243E97"/>
    <w:rsid w:val="0027732C"/>
    <w:rsid w:val="0029566A"/>
    <w:rsid w:val="002A0B38"/>
    <w:rsid w:val="002A49F5"/>
    <w:rsid w:val="002D578B"/>
    <w:rsid w:val="002E16F3"/>
    <w:rsid w:val="002F1B40"/>
    <w:rsid w:val="00322184"/>
    <w:rsid w:val="003A6798"/>
    <w:rsid w:val="003D4220"/>
    <w:rsid w:val="003D4C8C"/>
    <w:rsid w:val="003F30E3"/>
    <w:rsid w:val="003F4960"/>
    <w:rsid w:val="004173A4"/>
    <w:rsid w:val="00433441"/>
    <w:rsid w:val="00483BBE"/>
    <w:rsid w:val="004B2BDE"/>
    <w:rsid w:val="004C54B7"/>
    <w:rsid w:val="004C5599"/>
    <w:rsid w:val="004C7A9D"/>
    <w:rsid w:val="004D2C52"/>
    <w:rsid w:val="004D4E7D"/>
    <w:rsid w:val="005636A7"/>
    <w:rsid w:val="005722E1"/>
    <w:rsid w:val="005A2B0D"/>
    <w:rsid w:val="005C4514"/>
    <w:rsid w:val="005E0908"/>
    <w:rsid w:val="005E57E5"/>
    <w:rsid w:val="00633C84"/>
    <w:rsid w:val="00635F03"/>
    <w:rsid w:val="00686543"/>
    <w:rsid w:val="00693DDF"/>
    <w:rsid w:val="006A3FCD"/>
    <w:rsid w:val="006A609C"/>
    <w:rsid w:val="006B415E"/>
    <w:rsid w:val="006D1667"/>
    <w:rsid w:val="006D32EF"/>
    <w:rsid w:val="0071078A"/>
    <w:rsid w:val="00716669"/>
    <w:rsid w:val="00721970"/>
    <w:rsid w:val="00732377"/>
    <w:rsid w:val="00742DA3"/>
    <w:rsid w:val="007538F6"/>
    <w:rsid w:val="00771FA8"/>
    <w:rsid w:val="00790215"/>
    <w:rsid w:val="007C0F9E"/>
    <w:rsid w:val="007D3711"/>
    <w:rsid w:val="007F3FA3"/>
    <w:rsid w:val="0080151E"/>
    <w:rsid w:val="008061A0"/>
    <w:rsid w:val="00861DD5"/>
    <w:rsid w:val="00884A25"/>
    <w:rsid w:val="008909EA"/>
    <w:rsid w:val="008A2287"/>
    <w:rsid w:val="008C3637"/>
    <w:rsid w:val="009632DF"/>
    <w:rsid w:val="00981B51"/>
    <w:rsid w:val="00991FC9"/>
    <w:rsid w:val="00A11416"/>
    <w:rsid w:val="00A1385E"/>
    <w:rsid w:val="00A20493"/>
    <w:rsid w:val="00A20969"/>
    <w:rsid w:val="00A21B60"/>
    <w:rsid w:val="00A311B3"/>
    <w:rsid w:val="00A35562"/>
    <w:rsid w:val="00A47284"/>
    <w:rsid w:val="00A53A4A"/>
    <w:rsid w:val="00A73267"/>
    <w:rsid w:val="00A753B5"/>
    <w:rsid w:val="00A86DD1"/>
    <w:rsid w:val="00A87723"/>
    <w:rsid w:val="00AF6711"/>
    <w:rsid w:val="00B329FF"/>
    <w:rsid w:val="00B33980"/>
    <w:rsid w:val="00B343F4"/>
    <w:rsid w:val="00B37BB7"/>
    <w:rsid w:val="00B44FC5"/>
    <w:rsid w:val="00B61E64"/>
    <w:rsid w:val="00B775DE"/>
    <w:rsid w:val="00B8014A"/>
    <w:rsid w:val="00B814D8"/>
    <w:rsid w:val="00BC14E3"/>
    <w:rsid w:val="00BC356A"/>
    <w:rsid w:val="00BF7C9C"/>
    <w:rsid w:val="00BF7E4A"/>
    <w:rsid w:val="00C009EC"/>
    <w:rsid w:val="00C3686D"/>
    <w:rsid w:val="00C4619D"/>
    <w:rsid w:val="00C61260"/>
    <w:rsid w:val="00C76E65"/>
    <w:rsid w:val="00C77556"/>
    <w:rsid w:val="00C864F3"/>
    <w:rsid w:val="00CD09D4"/>
    <w:rsid w:val="00CE05FE"/>
    <w:rsid w:val="00CF74D4"/>
    <w:rsid w:val="00D00615"/>
    <w:rsid w:val="00D21047"/>
    <w:rsid w:val="00D53E91"/>
    <w:rsid w:val="00D7273E"/>
    <w:rsid w:val="00D76615"/>
    <w:rsid w:val="00DC4413"/>
    <w:rsid w:val="00DD5A7C"/>
    <w:rsid w:val="00DF7D10"/>
    <w:rsid w:val="00E23A28"/>
    <w:rsid w:val="00E427A2"/>
    <w:rsid w:val="00E52A71"/>
    <w:rsid w:val="00E53985"/>
    <w:rsid w:val="00E62748"/>
    <w:rsid w:val="00E81F29"/>
    <w:rsid w:val="00EA22D1"/>
    <w:rsid w:val="00EB620C"/>
    <w:rsid w:val="00EB68AA"/>
    <w:rsid w:val="00EE6F6A"/>
    <w:rsid w:val="00EF2FB1"/>
    <w:rsid w:val="00F510A9"/>
    <w:rsid w:val="00F575BF"/>
    <w:rsid w:val="00F9480C"/>
    <w:rsid w:val="00FD56D3"/>
    <w:rsid w:val="00FE11C7"/>
    <w:rsid w:val="00FF4F64"/>
    <w:rsid w:val="3FA66914"/>
    <w:rsid w:val="4F231FAC"/>
    <w:rsid w:val="7BF8C7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A9F7C1"/>
  <w15:chartTrackingRefBased/>
  <w15:docId w15:val="{FE846975-5C2D-4527-BA38-209E0FE0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0E3"/>
    <w:rPr>
      <w:sz w:val="24"/>
    </w:rPr>
  </w:style>
  <w:style w:type="paragraph" w:styleId="Heading1">
    <w:name w:val="heading 1"/>
    <w:basedOn w:val="Header"/>
    <w:next w:val="Normal"/>
    <w:link w:val="Heading1Char"/>
    <w:uiPriority w:val="9"/>
    <w:qFormat/>
    <w:rsid w:val="00B8014A"/>
    <w:pPr>
      <w:outlineLvl w:val="0"/>
    </w:pPr>
    <w:rPr>
      <w:rFonts w:ascii="Aptos" w:hAnsi="Aptos" w:cstheme="minorHAnsi"/>
      <w:b/>
      <w:color w:val="1F4E79" w:themeColor="accent1" w:themeShade="80"/>
      <w:sz w:val="28"/>
      <w:szCs w:val="28"/>
    </w:rPr>
  </w:style>
  <w:style w:type="paragraph" w:styleId="Heading2">
    <w:name w:val="heading 2"/>
    <w:basedOn w:val="Normal"/>
    <w:next w:val="Normal"/>
    <w:link w:val="Heading2Char"/>
    <w:uiPriority w:val="9"/>
    <w:unhideWhenUsed/>
    <w:qFormat/>
    <w:rsid w:val="00721970"/>
    <w:pPr>
      <w:spacing w:after="0" w:line="240" w:lineRule="auto"/>
      <w:outlineLvl w:val="1"/>
    </w:pPr>
    <w:rPr>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6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619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C461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19D"/>
  </w:style>
  <w:style w:type="paragraph" w:styleId="Footer">
    <w:name w:val="footer"/>
    <w:basedOn w:val="Normal"/>
    <w:link w:val="FooterChar"/>
    <w:uiPriority w:val="99"/>
    <w:unhideWhenUsed/>
    <w:rsid w:val="00C461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19D"/>
  </w:style>
  <w:style w:type="character" w:styleId="Hyperlink">
    <w:name w:val="Hyperlink"/>
    <w:basedOn w:val="DefaultParagraphFont"/>
    <w:uiPriority w:val="99"/>
    <w:unhideWhenUsed/>
    <w:rsid w:val="003D4C8C"/>
    <w:rPr>
      <w:color w:val="0563C1"/>
      <w:u w:val="single"/>
    </w:rPr>
  </w:style>
  <w:style w:type="paragraph" w:styleId="BalloonText">
    <w:name w:val="Balloon Text"/>
    <w:basedOn w:val="Normal"/>
    <w:link w:val="BalloonTextChar"/>
    <w:uiPriority w:val="99"/>
    <w:semiHidden/>
    <w:unhideWhenUsed/>
    <w:rsid w:val="00C461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19D"/>
    <w:rPr>
      <w:rFonts w:ascii="Segoe UI" w:hAnsi="Segoe UI" w:cs="Segoe UI"/>
      <w:sz w:val="18"/>
      <w:szCs w:val="18"/>
    </w:rPr>
  </w:style>
  <w:style w:type="character" w:styleId="PlaceholderText">
    <w:name w:val="Placeholder Text"/>
    <w:basedOn w:val="DefaultParagraphFont"/>
    <w:uiPriority w:val="99"/>
    <w:semiHidden/>
    <w:rsid w:val="004C54B7"/>
    <w:rPr>
      <w:color w:val="808080"/>
    </w:rPr>
  </w:style>
  <w:style w:type="character" w:customStyle="1" w:styleId="Heading1Char">
    <w:name w:val="Heading 1 Char"/>
    <w:basedOn w:val="DefaultParagraphFont"/>
    <w:link w:val="Heading1"/>
    <w:uiPriority w:val="9"/>
    <w:rsid w:val="00B8014A"/>
    <w:rPr>
      <w:rFonts w:ascii="Aptos" w:hAnsi="Aptos" w:cstheme="minorHAnsi"/>
      <w:b/>
      <w:color w:val="1F4E79" w:themeColor="accent1" w:themeShade="80"/>
      <w:sz w:val="28"/>
      <w:szCs w:val="28"/>
    </w:rPr>
  </w:style>
  <w:style w:type="character" w:customStyle="1" w:styleId="Heading2Char">
    <w:name w:val="Heading 2 Char"/>
    <w:basedOn w:val="DefaultParagraphFont"/>
    <w:link w:val="Heading2"/>
    <w:uiPriority w:val="9"/>
    <w:rsid w:val="00721970"/>
    <w:rPr>
      <w:b/>
      <w:sz w:val="28"/>
      <w:szCs w:val="24"/>
    </w:rPr>
  </w:style>
  <w:style w:type="paragraph" w:styleId="ListParagraph">
    <w:name w:val="List Paragraph"/>
    <w:basedOn w:val="Normal"/>
    <w:uiPriority w:val="34"/>
    <w:qFormat/>
    <w:rsid w:val="00C77556"/>
    <w:pPr>
      <w:ind w:left="720"/>
      <w:contextualSpacing/>
    </w:pPr>
  </w:style>
  <w:style w:type="character" w:styleId="UnresolvedMention">
    <w:name w:val="Unresolved Mention"/>
    <w:basedOn w:val="DefaultParagraphFont"/>
    <w:uiPriority w:val="99"/>
    <w:semiHidden/>
    <w:unhideWhenUsed/>
    <w:rsid w:val="00633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4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edd.ca.gov/en/jobs_and_training/Active_Directiv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dol.gov/agencies/eta/advisories/training-and-employment-guidance-letter-no-26-16"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dol.gov/sites/dolgov/files/ETA/advisories/TEGL/2017/TEGL_19-16.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rantsapplicationandmanagement.workforcegps.org/resources/2018/09/13/17/10/Additional-Resources" TargetMode="External"/><Relationship Id="rId20" Type="http://schemas.openxmlformats.org/officeDocument/2006/relationships/hyperlink" Target="https://edd.ca.gov/en/jobs_and_training/Active_Directiv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edd.ca.gov/en/jobs_and_training/Active_Directives/" TargetMode="External"/><Relationship Id="rId5" Type="http://schemas.openxmlformats.org/officeDocument/2006/relationships/styles" Target="styles.xml"/><Relationship Id="rId15" Type="http://schemas.openxmlformats.org/officeDocument/2006/relationships/hyperlink" Target="https://edd.ca.gov/en/jobs_and_training/Active_Directives/" TargetMode="External"/><Relationship Id="rId23" Type="http://schemas.openxmlformats.org/officeDocument/2006/relationships/hyperlink" Target="https://edd.ca.gov/en/jobs_and_training/Active_Directives/" TargetMode="External"/><Relationship Id="rId10" Type="http://schemas.openxmlformats.org/officeDocument/2006/relationships/image" Target="media/image1.gif"/><Relationship Id="rId19" Type="http://schemas.openxmlformats.org/officeDocument/2006/relationships/hyperlink" Target="https://edd.ca.gov/en/jobs_and_training/Active_Directiv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on.workforcegps.org/resources/2017/07/14/09/08/Work-Based-Learning-Desk-Reference" TargetMode="External"/><Relationship Id="rId22" Type="http://schemas.openxmlformats.org/officeDocument/2006/relationships/hyperlink" Target="https://edd.ca.gov/en/jobs_and_training/Active_Direct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14ED5C53901F4C88FF6AEBBF3D8E0D" ma:contentTypeVersion="13" ma:contentTypeDescription="Create a new document." ma:contentTypeScope="" ma:versionID="529ed3825ab478a5ffdc44eb265dc6f5">
  <xsd:schema xmlns:xsd="http://www.w3.org/2001/XMLSchema" xmlns:xs="http://www.w3.org/2001/XMLSchema" xmlns:p="http://schemas.microsoft.com/office/2006/metadata/properties" xmlns:ns2="82b749e3-8208-459a-bfc0-9b428d09cbab" xmlns:ns3="9ac7e9dd-8d2d-4750-b54a-f534515ac3a2" targetNamespace="http://schemas.microsoft.com/office/2006/metadata/properties" ma:root="true" ma:fieldsID="b7c2030912f9588e16c624efbe24e62a" ns2:_="" ns3:_="">
    <xsd:import namespace="82b749e3-8208-459a-bfc0-9b428d09cbab"/>
    <xsd:import namespace="9ac7e9dd-8d2d-4750-b54a-f534515ac3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749e3-8208-459a-bfc0-9b428d09c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394e95-b349-4f38-a288-35f6b460f56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c7e9dd-8d2d-4750-b54a-f534515ac3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eb3a4cf-a4c1-465d-84d5-3df346f355a6}" ma:internalName="TaxCatchAll" ma:showField="CatchAllData" ma:web="9ac7e9dd-8d2d-4750-b54a-f534515a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ac7e9dd-8d2d-4750-b54a-f534515ac3a2" xsi:nil="true"/>
    <lcf76f155ced4ddcb4097134ff3c332f xmlns="82b749e3-8208-459a-bfc0-9b428d09cb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53755F-AE6E-4433-8BE3-397FFC4F9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749e3-8208-459a-bfc0-9b428d09cbab"/>
    <ds:schemaRef ds:uri="9ac7e9dd-8d2d-4750-b54a-f534515a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0ADBC4-D5A2-437F-94B5-BF32A94331C5}">
  <ds:schemaRefs>
    <ds:schemaRef ds:uri="http://schemas.microsoft.com/office/2006/metadata/properties"/>
    <ds:schemaRef ds:uri="http://schemas.microsoft.com/office/infopath/2007/PartnerControls"/>
    <ds:schemaRef ds:uri="9ac7e9dd-8d2d-4750-b54a-f534515ac3a2"/>
    <ds:schemaRef ds:uri="82b749e3-8208-459a-bfc0-9b428d09cbab"/>
  </ds:schemaRefs>
</ds:datastoreItem>
</file>

<file path=customXml/itemProps3.xml><?xml version="1.0" encoding="utf-8"?>
<ds:datastoreItem xmlns:ds="http://schemas.openxmlformats.org/officeDocument/2006/customXml" ds:itemID="{065D8BBD-2DCF-40F1-946C-4D7C304E1578}">
  <ds:schemaRefs>
    <ds:schemaRef ds:uri="http://schemas.microsoft.com/sharepoint/v3/contenttype/forms"/>
  </ds:schemaRefs>
</ds:datastoreItem>
</file>

<file path=docMetadata/LabelInfo.xml><?xml version="1.0" encoding="utf-8"?>
<clbl:labelList xmlns:clbl="http://schemas.microsoft.com/office/2020/mipLabelMetadata">
  <clbl:label id="{651480e4-deb2-4da5-bc64-7d1e9e1df8e4}" enabled="1" method="Standard" siteId="{06cac249-57c6-4eed-94fd-256abde82b4e}" contentBits="0" removed="0"/>
</clbl:labelList>
</file>

<file path=docProps/app.xml><?xml version="1.0" encoding="utf-8"?>
<Properties xmlns="http://schemas.openxmlformats.org/officeDocument/2006/extended-properties" xmlns:vt="http://schemas.openxmlformats.org/officeDocument/2006/docPropsVTypes">
  <Template>Normal</Template>
  <TotalTime>46</TotalTime>
  <Pages>7</Pages>
  <Words>2071</Words>
  <Characters>15869</Characters>
  <Application>Microsoft Office Word</Application>
  <DocSecurity>0</DocSecurity>
  <Lines>377</Lines>
  <Paragraphs>208</Paragraphs>
  <ScaleCrop>false</ScaleCrop>
  <Company>Employment Development Department</Company>
  <LinksUpToDate>false</LinksUpToDate>
  <CharactersWithSpaces>17732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SFP Q&amp;A</dc:title>
  <dc:subject/>
  <dc:creator>Workforce Services</dc:creator>
  <cp:keywords>SFP, grant funding</cp:keywords>
  <dc:description/>
  <cp:lastModifiedBy>Richardson, Jeffrey@EDD</cp:lastModifiedBy>
  <cp:revision>22</cp:revision>
  <cp:lastPrinted>2017-06-15T19:41:00Z</cp:lastPrinted>
  <dcterms:created xsi:type="dcterms:W3CDTF">2026-09-22T15:06:00Z</dcterms:created>
  <dcterms:modified xsi:type="dcterms:W3CDTF">2026-09-23T20:25:00Z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0x010100E614ED5C53901F4C88FF6AEBBF3D8E0D</vt:lpwstr>
  </property>
  <property fmtid="{D5CDD505-2E9C-101B-9397-08002B2CF9AE}" pid="3" name="GrammarlyDocumentId">
    <vt:lpwstr>63ce9ed4-712b-49f1-90f6-5a85db90523e</vt:lpwstr>
  </property>
  <property fmtid="{D5CDD505-2E9C-101B-9397-08002B2CF9AE}" pid="4" name="docLang">
    <vt:lpwstr>en</vt:lpwstr>
  </property>
  <property fmtid="{D5CDD505-2E9C-101B-9397-08002B2CF9AE}" pid="5" name="MediaServiceImageTags">
    <vt:lpwstr/>
  </property>
</Properties>
</file>