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6F34" w14:textId="26E9A213" w:rsidR="00C61260" w:rsidRDefault="00C009EC" w:rsidP="003A10C1">
      <w:pPr>
        <w:pStyle w:val="Header"/>
      </w:pPr>
      <w:r w:rsidRPr="00C009EC">
        <w:rPr>
          <w:rFonts w:ascii="Calibri" w:eastAsia="Times New Roman" w:hAnsi="Calibri" w:cs="Times New Roman"/>
          <w:noProof/>
          <w:szCs w:val="24"/>
        </w:rPr>
        <w:drawing>
          <wp:inline distT="0" distB="0" distL="0" distR="0" wp14:anchorId="26BEA76E" wp14:editId="347CE3BB">
            <wp:extent cx="1089660" cy="681038"/>
            <wp:effectExtent l="0" t="0" r="0" b="5080"/>
            <wp:docPr id="1750392694" name="Picture 3" descr="Department Logo: Employment Development Depar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92694" name="Picture 3" descr="Department Logo: Employment Development Depart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557" cy="714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0D1E4" w14:textId="1E497E27" w:rsidR="00C61260" w:rsidRPr="00D76615" w:rsidRDefault="00E12D3F" w:rsidP="00167951">
      <w:pPr>
        <w:pStyle w:val="Heading1"/>
      </w:pPr>
      <w:r w:rsidRPr="00E12D3F">
        <w:t>Campesino de California Outreach Grant – Radio Media</w:t>
      </w:r>
    </w:p>
    <w:p w14:paraId="64C0F3EA" w14:textId="2CC3166C" w:rsidR="00C61260" w:rsidRPr="00D76615" w:rsidRDefault="00C61260" w:rsidP="00167951">
      <w:pPr>
        <w:pStyle w:val="Heading1"/>
      </w:pPr>
      <w:r w:rsidRPr="00D76615">
        <w:t xml:space="preserve">Solicitation for Proposals Program Year </w:t>
      </w:r>
      <w:r w:rsidR="00E12D3F">
        <w:t>2026</w:t>
      </w:r>
      <w:r w:rsidRPr="00D76615">
        <w:t>-</w:t>
      </w:r>
      <w:r w:rsidR="00E12D3F">
        <w:t>27</w:t>
      </w:r>
    </w:p>
    <w:p w14:paraId="7EB0DB3F" w14:textId="5BC8DB6D" w:rsidR="00C61260" w:rsidRPr="00D76615" w:rsidRDefault="00C61260" w:rsidP="00167951">
      <w:pPr>
        <w:pStyle w:val="Heading1"/>
        <w:sectPr w:rsidR="00C61260" w:rsidRPr="00D76615" w:rsidSect="00C009EC">
          <w:headerReference w:type="default" r:id="rId11"/>
          <w:footerReference w:type="default" r:id="rId12"/>
          <w:footerReference w:type="first" r:id="rId13"/>
          <w:pgSz w:w="12240" w:h="15840"/>
          <w:pgMar w:top="1008" w:right="1008" w:bottom="1008" w:left="1008" w:header="720" w:footer="720" w:gutter="0"/>
          <w:cols w:num="2" w:space="144" w:equalWidth="0">
            <w:col w:w="1872" w:space="144"/>
            <w:col w:w="8208"/>
          </w:cols>
          <w:titlePg/>
          <w:docGrid w:linePitch="360"/>
        </w:sectPr>
      </w:pPr>
      <w:r w:rsidRPr="00D76615">
        <w:t>Questions and Answers</w:t>
      </w:r>
    </w:p>
    <w:p w14:paraId="75A9F7C1" w14:textId="77777777" w:rsidR="003A6798" w:rsidRPr="00D76615" w:rsidRDefault="003A6798" w:rsidP="001A2FE1">
      <w:pPr>
        <w:pBdr>
          <w:bottom w:val="single" w:sz="4" w:space="1" w:color="auto"/>
        </w:pBdr>
        <w:rPr>
          <w:rFonts w:ascii="Aptos" w:hAnsi="Aptos"/>
          <w:b/>
          <w:sz w:val="16"/>
          <w:szCs w:val="16"/>
        </w:rPr>
      </w:pPr>
    </w:p>
    <w:p w14:paraId="75A9F7C3" w14:textId="77777777" w:rsidR="00DF7D10" w:rsidRPr="00D76615" w:rsidRDefault="00DF7D10" w:rsidP="00DF7D10">
      <w:pPr>
        <w:spacing w:after="0"/>
        <w:rPr>
          <w:rFonts w:ascii="Aptos" w:hAnsi="Aptos"/>
          <w:b/>
          <w:color w:val="1F4E79" w:themeColor="accent1" w:themeShade="80"/>
          <w:szCs w:val="24"/>
        </w:rPr>
      </w:pPr>
    </w:p>
    <w:p w14:paraId="75A9F7C4" w14:textId="156026DD" w:rsidR="00DF7D10" w:rsidRPr="007B5F37" w:rsidRDefault="007B5F37" w:rsidP="007B5F37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  <w:szCs w:val="24"/>
        </w:rPr>
      </w:pPr>
      <w:r w:rsidRPr="007B5F37">
        <w:rPr>
          <w:rFonts w:ascii="Aptos" w:hAnsi="Aptos"/>
          <w:b/>
          <w:szCs w:val="24"/>
        </w:rPr>
        <w:t xml:space="preserve">Page 25 of the SFP references "Word template provided for Indirect Cost Declaration" as a required exhibit. However, the </w:t>
      </w:r>
      <w:r w:rsidR="001A0ADF">
        <w:rPr>
          <w:rFonts w:ascii="Aptos" w:hAnsi="Aptos"/>
          <w:b/>
          <w:szCs w:val="24"/>
        </w:rPr>
        <w:t xml:space="preserve">list of templates on page ii of the SFP indicates that no template is </w:t>
      </w:r>
      <w:r w:rsidRPr="007B5F37">
        <w:rPr>
          <w:rFonts w:ascii="Aptos" w:hAnsi="Aptos"/>
          <w:b/>
          <w:szCs w:val="24"/>
        </w:rPr>
        <w:t>provided for this item. Which is correct?</w:t>
      </w:r>
    </w:p>
    <w:p w14:paraId="75A9F7C5" w14:textId="77777777" w:rsidR="00DF7D10" w:rsidRPr="00B8014A" w:rsidRDefault="00DF7D10" w:rsidP="00DF7D10">
      <w:pPr>
        <w:spacing w:after="0" w:line="240" w:lineRule="auto"/>
        <w:rPr>
          <w:rFonts w:ascii="Aptos" w:hAnsi="Aptos"/>
          <w:szCs w:val="24"/>
        </w:rPr>
      </w:pPr>
    </w:p>
    <w:p w14:paraId="75A9F7C6" w14:textId="48705498" w:rsidR="00DF7D10" w:rsidRPr="007B5F37" w:rsidRDefault="00BA061C" w:rsidP="007B5F37">
      <w:pPr>
        <w:pStyle w:val="ListParagraph"/>
        <w:spacing w:after="0" w:line="240" w:lineRule="auto"/>
        <w:rPr>
          <w:rFonts w:ascii="Aptos" w:hAnsi="Aptos"/>
          <w:szCs w:val="24"/>
        </w:rPr>
      </w:pPr>
      <w:r w:rsidRPr="00304A96">
        <w:rPr>
          <w:rFonts w:ascii="Aptos" w:hAnsi="Aptos"/>
          <w:szCs w:val="24"/>
        </w:rPr>
        <w:t>Applicants may submit their proposals without an Indirect Cost Declaration (ICD). If needed, we will request one during the contracting phase of the grant.</w:t>
      </w:r>
    </w:p>
    <w:p w14:paraId="75A9F7C7" w14:textId="77777777" w:rsidR="00DF7D10" w:rsidRPr="00B8014A" w:rsidRDefault="00DF7D10" w:rsidP="00DF7D10">
      <w:pPr>
        <w:spacing w:after="0" w:line="240" w:lineRule="auto"/>
        <w:rPr>
          <w:rFonts w:ascii="Aptos" w:hAnsi="Aptos"/>
          <w:szCs w:val="24"/>
        </w:rPr>
      </w:pPr>
    </w:p>
    <w:p w14:paraId="75A9F7C8" w14:textId="432E5E95" w:rsidR="00E62748" w:rsidRPr="007B5F37" w:rsidRDefault="007B5F37" w:rsidP="043E68B1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</w:rPr>
      </w:pPr>
      <w:r w:rsidRPr="043E68B1">
        <w:rPr>
          <w:rFonts w:ascii="Aptos" w:hAnsi="Aptos"/>
          <w:b/>
          <w:bCs/>
        </w:rPr>
        <w:t>On Page 9 of the SFP</w:t>
      </w:r>
      <w:r w:rsidR="001A0ADF" w:rsidRPr="043E68B1">
        <w:rPr>
          <w:rFonts w:ascii="Aptos" w:hAnsi="Aptos"/>
          <w:b/>
          <w:bCs/>
        </w:rPr>
        <w:t>,</w:t>
      </w:r>
      <w:r w:rsidRPr="043E68B1">
        <w:rPr>
          <w:rFonts w:ascii="Aptos" w:hAnsi="Aptos"/>
          <w:b/>
          <w:bCs/>
        </w:rPr>
        <w:t xml:space="preserve"> it notes that "Leveraged resources ... must be documented with a partnership agreement verifying the intent and attached to the proposal." Are leveraged resources not documented in the Letters of Commitment instead</w:t>
      </w:r>
      <w:r w:rsidR="001A0ADF" w:rsidRPr="043E68B1">
        <w:rPr>
          <w:rFonts w:ascii="Aptos" w:hAnsi="Aptos"/>
          <w:b/>
          <w:bCs/>
        </w:rPr>
        <w:t>,</w:t>
      </w:r>
      <w:r w:rsidRPr="043E68B1">
        <w:rPr>
          <w:rFonts w:ascii="Aptos" w:hAnsi="Aptos"/>
          <w:b/>
          <w:bCs/>
        </w:rPr>
        <w:t xml:space="preserve"> or is a separate new agreement required?</w:t>
      </w:r>
    </w:p>
    <w:p w14:paraId="75A9F7C9" w14:textId="77777777" w:rsidR="00E62748" w:rsidRPr="00B8014A" w:rsidRDefault="00E62748" w:rsidP="00E62748">
      <w:pPr>
        <w:spacing w:after="0" w:line="240" w:lineRule="auto"/>
        <w:rPr>
          <w:rFonts w:ascii="Aptos" w:hAnsi="Aptos"/>
          <w:szCs w:val="24"/>
        </w:rPr>
      </w:pPr>
    </w:p>
    <w:p w14:paraId="75A9F7CA" w14:textId="6094094E" w:rsidR="00E62748" w:rsidRDefault="001A0ADF" w:rsidP="007B5F37">
      <w:pPr>
        <w:pStyle w:val="ListParagraph"/>
        <w:spacing w:after="0" w:line="240" w:lineRule="auto"/>
        <w:rPr>
          <w:rFonts w:ascii="Aptos" w:hAnsi="Aptos"/>
          <w:szCs w:val="24"/>
        </w:rPr>
      </w:pPr>
      <w:r w:rsidRPr="001A0ADF">
        <w:rPr>
          <w:rFonts w:ascii="Aptos" w:hAnsi="Aptos"/>
          <w:szCs w:val="24"/>
        </w:rPr>
        <w:t>Commitment Letters are not required</w:t>
      </w:r>
      <w:r>
        <w:rPr>
          <w:rFonts w:ascii="Aptos" w:hAnsi="Aptos"/>
          <w:szCs w:val="24"/>
        </w:rPr>
        <w:t>, as t</w:t>
      </w:r>
      <w:r w:rsidRPr="001A0ADF">
        <w:rPr>
          <w:rFonts w:ascii="Aptos" w:hAnsi="Aptos"/>
          <w:szCs w:val="24"/>
        </w:rPr>
        <w:t xml:space="preserve">here is no leverage resource requirement for this funding opportunity. </w:t>
      </w:r>
      <w:r>
        <w:rPr>
          <w:rFonts w:ascii="Aptos" w:hAnsi="Aptos"/>
          <w:szCs w:val="24"/>
        </w:rPr>
        <w:t>However, i</w:t>
      </w:r>
      <w:r w:rsidRPr="001A0ADF">
        <w:rPr>
          <w:rFonts w:ascii="Aptos" w:hAnsi="Aptos"/>
          <w:szCs w:val="24"/>
        </w:rPr>
        <w:t>f leveraged resources are provided, applicants must provide a letter to verify the dollar amount and the source of contributions from each entity that pledges leveraged resources to the project.</w:t>
      </w:r>
    </w:p>
    <w:p w14:paraId="71BDB073" w14:textId="77777777" w:rsidR="001A0ADF" w:rsidRDefault="001A0ADF" w:rsidP="007B5F37">
      <w:pPr>
        <w:pStyle w:val="ListParagraph"/>
        <w:spacing w:after="0" w:line="240" w:lineRule="auto"/>
        <w:rPr>
          <w:rFonts w:ascii="Aptos" w:hAnsi="Aptos"/>
          <w:szCs w:val="24"/>
        </w:rPr>
      </w:pPr>
    </w:p>
    <w:p w14:paraId="1ABAEEC3" w14:textId="410D4B8A" w:rsidR="001A0ADF" w:rsidRPr="007B5F37" w:rsidRDefault="001A0ADF" w:rsidP="007B5F37">
      <w:pPr>
        <w:pStyle w:val="ListParagraph"/>
        <w:spacing w:after="0" w:line="240" w:lineRule="auto"/>
        <w:rPr>
          <w:rFonts w:ascii="Aptos" w:hAnsi="Aptos"/>
          <w:szCs w:val="24"/>
        </w:rPr>
      </w:pPr>
      <w:r>
        <w:rPr>
          <w:rFonts w:ascii="Aptos" w:hAnsi="Aptos"/>
          <w:szCs w:val="24"/>
        </w:rPr>
        <w:t xml:space="preserve">The </w:t>
      </w:r>
      <w:r w:rsidRPr="001A0ADF">
        <w:rPr>
          <w:rFonts w:ascii="Aptos" w:hAnsi="Aptos"/>
          <w:szCs w:val="24"/>
        </w:rPr>
        <w:t>individual amounts and totals in these letters should match those listed in Exhibit J</w:t>
      </w:r>
      <w:r>
        <w:rPr>
          <w:rFonts w:ascii="Aptos" w:hAnsi="Aptos"/>
          <w:szCs w:val="24"/>
        </w:rPr>
        <w:t xml:space="preserve">, </w:t>
      </w:r>
      <w:r w:rsidR="002B7D0F">
        <w:rPr>
          <w:rFonts w:ascii="Aptos" w:hAnsi="Aptos"/>
          <w:szCs w:val="24"/>
        </w:rPr>
        <w:t>in the same manner that a partner would be listed</w:t>
      </w:r>
      <w:r w:rsidRPr="001A0ADF">
        <w:rPr>
          <w:rFonts w:ascii="Aptos" w:hAnsi="Aptos"/>
          <w:szCs w:val="24"/>
        </w:rPr>
        <w:t>.</w:t>
      </w:r>
      <w:r w:rsidR="002B7D0F">
        <w:rPr>
          <w:rFonts w:ascii="Aptos" w:hAnsi="Aptos"/>
          <w:szCs w:val="24"/>
        </w:rPr>
        <w:t xml:space="preserve"> For more information on Commitment Letters, please see pages 35-36 of the SFP.</w:t>
      </w:r>
    </w:p>
    <w:p w14:paraId="75A9F7CB" w14:textId="77777777" w:rsidR="00E62748" w:rsidRPr="00B8014A" w:rsidRDefault="00E62748" w:rsidP="00E62748">
      <w:pPr>
        <w:spacing w:after="0" w:line="240" w:lineRule="auto"/>
        <w:rPr>
          <w:rFonts w:ascii="Aptos" w:hAnsi="Aptos"/>
          <w:szCs w:val="24"/>
        </w:rPr>
      </w:pPr>
    </w:p>
    <w:p w14:paraId="75A9F7CC" w14:textId="28E18A1B" w:rsidR="00E62748" w:rsidRPr="007B5F37" w:rsidRDefault="007B5F37" w:rsidP="007B5F37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  <w:szCs w:val="24"/>
        </w:rPr>
      </w:pPr>
      <w:r w:rsidRPr="007B5F37">
        <w:rPr>
          <w:rFonts w:ascii="Aptos" w:hAnsi="Aptos"/>
          <w:b/>
          <w:szCs w:val="24"/>
        </w:rPr>
        <w:t xml:space="preserve">Are we limited to </w:t>
      </w:r>
      <w:r w:rsidR="001A0ADF">
        <w:rPr>
          <w:rFonts w:ascii="Aptos" w:hAnsi="Aptos"/>
          <w:b/>
          <w:szCs w:val="24"/>
        </w:rPr>
        <w:t>contracting</w:t>
      </w:r>
      <w:r w:rsidRPr="007B5F37">
        <w:rPr>
          <w:rFonts w:ascii="Aptos" w:hAnsi="Aptos"/>
          <w:b/>
          <w:szCs w:val="24"/>
        </w:rPr>
        <w:t xml:space="preserve"> one Spanish Radio Station only, or can we contract more than one Spanish Radio station to run our radio campaign? Are we require</w:t>
      </w:r>
      <w:r w:rsidR="001A0ADF">
        <w:rPr>
          <w:rFonts w:ascii="Aptos" w:hAnsi="Aptos"/>
          <w:b/>
          <w:szCs w:val="24"/>
        </w:rPr>
        <w:t>d</w:t>
      </w:r>
      <w:r w:rsidRPr="007B5F37">
        <w:rPr>
          <w:rFonts w:ascii="Aptos" w:hAnsi="Aptos"/>
          <w:b/>
          <w:szCs w:val="24"/>
        </w:rPr>
        <w:t xml:space="preserve"> to do prerecorded shows</w:t>
      </w:r>
      <w:r w:rsidR="001A0ADF">
        <w:rPr>
          <w:rFonts w:ascii="Aptos" w:hAnsi="Aptos"/>
          <w:b/>
          <w:szCs w:val="24"/>
        </w:rPr>
        <w:t>,</w:t>
      </w:r>
      <w:r w:rsidRPr="007B5F37">
        <w:rPr>
          <w:rFonts w:ascii="Aptos" w:hAnsi="Aptos"/>
          <w:b/>
          <w:szCs w:val="24"/>
        </w:rPr>
        <w:t xml:space="preserve"> or can we also do live programs?</w:t>
      </w:r>
    </w:p>
    <w:p w14:paraId="75A9F7CD" w14:textId="77777777" w:rsidR="00E62748" w:rsidRPr="00B8014A" w:rsidRDefault="00E62748" w:rsidP="00E62748">
      <w:pPr>
        <w:spacing w:after="0" w:line="240" w:lineRule="auto"/>
        <w:rPr>
          <w:rFonts w:ascii="Aptos" w:hAnsi="Aptos"/>
          <w:szCs w:val="24"/>
        </w:rPr>
      </w:pPr>
    </w:p>
    <w:p w14:paraId="75A9F7CE" w14:textId="18A55080" w:rsidR="00E62748" w:rsidRPr="00BA061C" w:rsidRDefault="00F4423B" w:rsidP="007B5F37">
      <w:pPr>
        <w:pStyle w:val="ListParagraph"/>
        <w:spacing w:after="0" w:line="240" w:lineRule="auto"/>
        <w:rPr>
          <w:rFonts w:ascii="Aptos" w:hAnsi="Aptos"/>
          <w:szCs w:val="24"/>
        </w:rPr>
      </w:pPr>
      <w:r w:rsidRPr="00BA061C">
        <w:rPr>
          <w:rFonts w:ascii="Aptos" w:hAnsi="Aptos"/>
          <w:szCs w:val="24"/>
        </w:rPr>
        <w:t xml:space="preserve">Applicants can partner with as many radio stations as they </w:t>
      </w:r>
      <w:r w:rsidR="00852640" w:rsidRPr="00BA061C">
        <w:rPr>
          <w:rFonts w:ascii="Aptos" w:hAnsi="Aptos"/>
          <w:szCs w:val="24"/>
        </w:rPr>
        <w:t>would like</w:t>
      </w:r>
      <w:r w:rsidRPr="00BA061C">
        <w:rPr>
          <w:rFonts w:ascii="Aptos" w:hAnsi="Aptos"/>
          <w:szCs w:val="24"/>
        </w:rPr>
        <w:t xml:space="preserve">. </w:t>
      </w:r>
      <w:r w:rsidR="00852640" w:rsidRPr="00BA061C">
        <w:rPr>
          <w:rFonts w:ascii="Aptos" w:hAnsi="Aptos"/>
          <w:szCs w:val="24"/>
        </w:rPr>
        <w:t xml:space="preserve">Applicants should aim for the radio programs to air at peak listening times to reach the maximum number of </w:t>
      </w:r>
      <w:r w:rsidR="00BA061C" w:rsidRPr="00BA061C">
        <w:rPr>
          <w:rFonts w:ascii="Aptos" w:hAnsi="Aptos"/>
          <w:szCs w:val="24"/>
        </w:rPr>
        <w:t>Migrant and Seasonal Farmworkers (MSFW</w:t>
      </w:r>
      <w:r w:rsidR="00BA061C">
        <w:rPr>
          <w:rFonts w:ascii="Aptos" w:hAnsi="Aptos"/>
          <w:szCs w:val="24"/>
        </w:rPr>
        <w:t>s</w:t>
      </w:r>
      <w:r w:rsidR="00BA061C" w:rsidRPr="00BA061C">
        <w:rPr>
          <w:rFonts w:ascii="Aptos" w:hAnsi="Aptos"/>
          <w:szCs w:val="24"/>
        </w:rPr>
        <w:t>)</w:t>
      </w:r>
      <w:r w:rsidR="00852640" w:rsidRPr="00BA061C">
        <w:rPr>
          <w:rFonts w:ascii="Aptos" w:hAnsi="Aptos"/>
          <w:szCs w:val="24"/>
        </w:rPr>
        <w:t>.</w:t>
      </w:r>
    </w:p>
    <w:p w14:paraId="2FAACEB0" w14:textId="77777777" w:rsidR="00852640" w:rsidRPr="00BA061C" w:rsidRDefault="00852640" w:rsidP="007B5F37">
      <w:pPr>
        <w:pStyle w:val="ListParagraph"/>
        <w:spacing w:after="0" w:line="240" w:lineRule="auto"/>
        <w:rPr>
          <w:rFonts w:ascii="Aptos" w:hAnsi="Aptos"/>
          <w:szCs w:val="24"/>
        </w:rPr>
      </w:pPr>
    </w:p>
    <w:p w14:paraId="046E12D5" w14:textId="2DCAAFD1" w:rsidR="00852640" w:rsidRPr="007B5F37" w:rsidRDefault="00852640" w:rsidP="007B5F37">
      <w:pPr>
        <w:pStyle w:val="ListParagraph"/>
        <w:spacing w:after="0" w:line="240" w:lineRule="auto"/>
        <w:rPr>
          <w:rFonts w:ascii="Aptos" w:hAnsi="Aptos"/>
          <w:szCs w:val="24"/>
        </w:rPr>
      </w:pPr>
      <w:r w:rsidRPr="00BA061C">
        <w:rPr>
          <w:rFonts w:ascii="Aptos" w:hAnsi="Aptos"/>
          <w:szCs w:val="24"/>
        </w:rPr>
        <w:t>Radio shows should be presented live and recorded in audio and video formats so that they may be viewed on demand and distributed through alternative mediums such as social media.</w:t>
      </w:r>
    </w:p>
    <w:p w14:paraId="75A9F7CF" w14:textId="77777777" w:rsidR="00E62748" w:rsidRPr="00B8014A" w:rsidRDefault="00E62748" w:rsidP="00E62748">
      <w:pPr>
        <w:spacing w:after="0" w:line="240" w:lineRule="auto"/>
        <w:rPr>
          <w:rFonts w:ascii="Aptos" w:hAnsi="Aptos"/>
          <w:szCs w:val="24"/>
        </w:rPr>
      </w:pPr>
    </w:p>
    <w:p w14:paraId="75A9F7D0" w14:textId="16695ACC" w:rsidR="00E62748" w:rsidRPr="007B5F37" w:rsidRDefault="007B5F37" w:rsidP="007B5F37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  <w:szCs w:val="24"/>
        </w:rPr>
      </w:pPr>
      <w:r w:rsidRPr="007B5F37">
        <w:rPr>
          <w:rFonts w:ascii="Aptos" w:hAnsi="Aptos"/>
          <w:b/>
          <w:szCs w:val="24"/>
        </w:rPr>
        <w:t>We are a large FQHC serving a significant MSFW population. Is this grant intended solely to support EDD’s existing efforts?</w:t>
      </w:r>
    </w:p>
    <w:p w14:paraId="75A9F7D1" w14:textId="77777777" w:rsidR="00E62748" w:rsidRPr="00B8014A" w:rsidRDefault="00E62748" w:rsidP="00E62748">
      <w:pPr>
        <w:spacing w:after="0" w:line="240" w:lineRule="auto"/>
        <w:rPr>
          <w:rFonts w:ascii="Aptos" w:hAnsi="Aptos"/>
          <w:szCs w:val="24"/>
        </w:rPr>
      </w:pPr>
    </w:p>
    <w:p w14:paraId="0361C5D7" w14:textId="77777777" w:rsidR="00C91360" w:rsidRPr="00C91360" w:rsidRDefault="00C91360" w:rsidP="00C91360">
      <w:pPr>
        <w:spacing w:after="0" w:line="240" w:lineRule="auto"/>
        <w:ind w:left="720"/>
        <w:contextualSpacing/>
        <w:rPr>
          <w:rFonts w:ascii="Aptos" w:eastAsia="Calibri" w:hAnsi="Aptos" w:cs="Arial"/>
          <w:szCs w:val="24"/>
        </w:rPr>
      </w:pPr>
      <w:r w:rsidRPr="00C91360">
        <w:rPr>
          <w:rFonts w:ascii="Aptos" w:eastAsia="Calibri" w:hAnsi="Aptos" w:cs="Arial"/>
        </w:rPr>
        <w:t>Through this competitive process, applicants are expected to establish a new or maintain a current radio talk show program that provides information about EDD services to MSFWs. These Radio Tal</w:t>
      </w:r>
      <w:r w:rsidRPr="00C91360">
        <w:rPr>
          <w:rFonts w:ascii="Aptos" w:eastAsia="Calibri" w:hAnsi="Aptos" w:cs="Arial"/>
          <w:szCs w:val="24"/>
        </w:rPr>
        <w:t>k shows should target MSFWs and their families, providing timely information on various programs, benefits, and services offered through the EDD and its partners.</w:t>
      </w:r>
    </w:p>
    <w:p w14:paraId="75A9F7D3" w14:textId="2C8EC5D9" w:rsidR="00E62748" w:rsidRPr="00B8014A" w:rsidRDefault="00FF069C" w:rsidP="00FF069C">
      <w:pPr>
        <w:tabs>
          <w:tab w:val="left" w:pos="1080"/>
        </w:tabs>
        <w:spacing w:after="0" w:line="240" w:lineRule="auto"/>
        <w:rPr>
          <w:rFonts w:ascii="Aptos" w:hAnsi="Aptos"/>
          <w:szCs w:val="24"/>
        </w:rPr>
      </w:pPr>
      <w:r>
        <w:rPr>
          <w:rFonts w:ascii="Aptos" w:hAnsi="Aptos"/>
          <w:szCs w:val="24"/>
        </w:rPr>
        <w:tab/>
      </w:r>
    </w:p>
    <w:p w14:paraId="75A9F7D4" w14:textId="0CA86722" w:rsidR="00E62748" w:rsidRPr="007B5F37" w:rsidRDefault="007B5F37" w:rsidP="007B5F37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  <w:szCs w:val="24"/>
        </w:rPr>
      </w:pPr>
      <w:r w:rsidRPr="007B5F37">
        <w:rPr>
          <w:rFonts w:ascii="Aptos" w:hAnsi="Aptos"/>
          <w:b/>
          <w:szCs w:val="24"/>
        </w:rPr>
        <w:t>Do you accept a merged PDF with all the documents as a submission?</w:t>
      </w:r>
    </w:p>
    <w:p w14:paraId="75A9F7D5" w14:textId="77777777" w:rsidR="00E62748" w:rsidRPr="00B8014A" w:rsidRDefault="00E62748" w:rsidP="00E62748">
      <w:pPr>
        <w:spacing w:after="0" w:line="240" w:lineRule="auto"/>
        <w:rPr>
          <w:rFonts w:ascii="Aptos" w:hAnsi="Aptos"/>
          <w:szCs w:val="24"/>
        </w:rPr>
      </w:pPr>
    </w:p>
    <w:p w14:paraId="75A9F7D6" w14:textId="1E86C356" w:rsidR="00E62748" w:rsidRPr="007B5F37" w:rsidRDefault="007C3743" w:rsidP="007B5F37">
      <w:pPr>
        <w:pStyle w:val="ListParagraph"/>
        <w:spacing w:after="0" w:line="240" w:lineRule="auto"/>
        <w:rPr>
          <w:rFonts w:ascii="Aptos" w:hAnsi="Aptos"/>
          <w:szCs w:val="24"/>
        </w:rPr>
      </w:pPr>
      <w:r>
        <w:rPr>
          <w:rFonts w:ascii="Aptos" w:hAnsi="Aptos"/>
          <w:szCs w:val="24"/>
        </w:rPr>
        <w:t xml:space="preserve">Applications submitted as one </w:t>
      </w:r>
      <w:r w:rsidR="00BA061C">
        <w:rPr>
          <w:rFonts w:ascii="Aptos" w:hAnsi="Aptos"/>
          <w:szCs w:val="24"/>
        </w:rPr>
        <w:t xml:space="preserve">large </w:t>
      </w:r>
      <w:r>
        <w:rPr>
          <w:rFonts w:ascii="Aptos" w:hAnsi="Aptos"/>
          <w:szCs w:val="24"/>
        </w:rPr>
        <w:t>PDF document will not be accepted.</w:t>
      </w:r>
      <w:r w:rsidR="003E345D">
        <w:rPr>
          <w:rFonts w:ascii="Aptos" w:hAnsi="Aptos"/>
          <w:szCs w:val="24"/>
        </w:rPr>
        <w:t xml:space="preserve"> Each exhibit and attachment should be submitted as a separate document. Compressing these into a .zip folder is the most efficient way to submit your application package.</w:t>
      </w:r>
      <w:r>
        <w:rPr>
          <w:rFonts w:ascii="Aptos" w:hAnsi="Aptos"/>
          <w:szCs w:val="24"/>
        </w:rPr>
        <w:t xml:space="preserve"> Please reference the Required Documents and Format section on pages 24-25 of the SFP</w:t>
      </w:r>
      <w:r w:rsidR="003E345D">
        <w:rPr>
          <w:rFonts w:ascii="Aptos" w:hAnsi="Aptos"/>
          <w:szCs w:val="24"/>
        </w:rPr>
        <w:t xml:space="preserve"> for more information</w:t>
      </w:r>
      <w:r>
        <w:rPr>
          <w:rFonts w:ascii="Aptos" w:hAnsi="Aptos"/>
          <w:szCs w:val="24"/>
        </w:rPr>
        <w:t>.</w:t>
      </w:r>
    </w:p>
    <w:p w14:paraId="75A9F7D7" w14:textId="77777777" w:rsidR="00E62748" w:rsidRPr="00B8014A" w:rsidRDefault="00E62748" w:rsidP="00E62748">
      <w:pPr>
        <w:spacing w:after="0" w:line="240" w:lineRule="auto"/>
        <w:rPr>
          <w:rFonts w:ascii="Aptos" w:hAnsi="Aptos"/>
          <w:szCs w:val="24"/>
        </w:rPr>
      </w:pPr>
    </w:p>
    <w:p w14:paraId="0686CACB" w14:textId="62AFB4C2" w:rsidR="007B5F37" w:rsidRPr="007B5F37" w:rsidRDefault="007B5F37" w:rsidP="007B5F37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  <w:szCs w:val="24"/>
        </w:rPr>
      </w:pPr>
      <w:r w:rsidRPr="007B5F37">
        <w:rPr>
          <w:rFonts w:ascii="Aptos" w:hAnsi="Aptos"/>
          <w:b/>
          <w:szCs w:val="24"/>
        </w:rPr>
        <w:t>Are letters of recommendation required?</w:t>
      </w:r>
    </w:p>
    <w:p w14:paraId="7C1E9034" w14:textId="77777777" w:rsidR="007B5F37" w:rsidRPr="00B8014A" w:rsidRDefault="007B5F37" w:rsidP="007B5F37">
      <w:pPr>
        <w:spacing w:after="0" w:line="240" w:lineRule="auto"/>
        <w:rPr>
          <w:rFonts w:ascii="Aptos" w:hAnsi="Aptos"/>
          <w:szCs w:val="24"/>
        </w:rPr>
      </w:pPr>
    </w:p>
    <w:p w14:paraId="75A9F7D8" w14:textId="67550BCF" w:rsidR="00A53A4A" w:rsidRPr="007B5F37" w:rsidRDefault="009A1998" w:rsidP="007B5F37">
      <w:pPr>
        <w:pStyle w:val="ListParagraph"/>
        <w:spacing w:after="0" w:line="240" w:lineRule="auto"/>
        <w:rPr>
          <w:rFonts w:ascii="Aptos" w:hAnsi="Aptos"/>
          <w:i/>
          <w:szCs w:val="24"/>
        </w:rPr>
      </w:pPr>
      <w:r>
        <w:rPr>
          <w:rFonts w:ascii="Aptos" w:hAnsi="Aptos"/>
          <w:szCs w:val="24"/>
        </w:rPr>
        <w:t>Letters of recommendation are not required. Applicants must attach a signed Partnership Agreement letter from each partner. Additionally, i</w:t>
      </w:r>
      <w:r w:rsidRPr="001A0ADF">
        <w:rPr>
          <w:rFonts w:ascii="Aptos" w:hAnsi="Aptos"/>
          <w:szCs w:val="24"/>
        </w:rPr>
        <w:t>f leveraged resources are provided, applicants must provide a letter to verify the dollar amount and the source of contributions from each entity that pledges leveraged resources to the project.</w:t>
      </w:r>
    </w:p>
    <w:p w14:paraId="75A9F7D9" w14:textId="77777777" w:rsidR="00A53A4A" w:rsidRDefault="00A53A4A" w:rsidP="00E62748">
      <w:pPr>
        <w:spacing w:after="0" w:line="240" w:lineRule="auto"/>
        <w:rPr>
          <w:rFonts w:ascii="Aptos" w:hAnsi="Aptos"/>
          <w:i/>
          <w:szCs w:val="24"/>
        </w:rPr>
      </w:pPr>
    </w:p>
    <w:p w14:paraId="346D9839" w14:textId="0F393E97" w:rsidR="007B5F37" w:rsidRPr="007B5F37" w:rsidRDefault="007B5F37" w:rsidP="007B5F37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  <w:szCs w:val="24"/>
        </w:rPr>
      </w:pPr>
      <w:r w:rsidRPr="007B5F37">
        <w:rPr>
          <w:rFonts w:ascii="Aptos" w:hAnsi="Aptos"/>
          <w:b/>
          <w:szCs w:val="24"/>
        </w:rPr>
        <w:t>I believe you mentioned we could use some of the grant money towards the purchase of equipment, staff salaries, correct?</w:t>
      </w:r>
    </w:p>
    <w:p w14:paraId="6B759CEB" w14:textId="77777777" w:rsidR="007B5F37" w:rsidRPr="00B8014A" w:rsidRDefault="007B5F37" w:rsidP="007B5F37">
      <w:pPr>
        <w:spacing w:after="0" w:line="240" w:lineRule="auto"/>
        <w:rPr>
          <w:rFonts w:ascii="Aptos" w:hAnsi="Aptos"/>
          <w:szCs w:val="24"/>
        </w:rPr>
      </w:pPr>
    </w:p>
    <w:p w14:paraId="23334303" w14:textId="41639D0E" w:rsidR="009B5CB1" w:rsidRDefault="009B5CB1" w:rsidP="009B5CB1">
      <w:pPr>
        <w:pStyle w:val="ListParagraph"/>
        <w:spacing w:after="0" w:line="240" w:lineRule="auto"/>
        <w:rPr>
          <w:rFonts w:ascii="Aptos" w:hAnsi="Aptos"/>
          <w:szCs w:val="24"/>
        </w:rPr>
      </w:pPr>
      <w:r>
        <w:rPr>
          <w:rFonts w:ascii="Aptos" w:hAnsi="Aptos"/>
          <w:szCs w:val="24"/>
        </w:rPr>
        <w:t xml:space="preserve">Grant funds can be used for purchasing equipment and paying staff salaries, with some limitations. Administrative costs, including salaries, are capped at 10% of the awarded amount. </w:t>
      </w:r>
    </w:p>
    <w:p w14:paraId="7DC29CBE" w14:textId="77777777" w:rsidR="009B5CB1" w:rsidRPr="009B5CB1" w:rsidRDefault="009B5CB1" w:rsidP="009B5CB1">
      <w:pPr>
        <w:pStyle w:val="ListParagraph"/>
        <w:spacing w:after="0" w:line="240" w:lineRule="auto"/>
        <w:rPr>
          <w:rFonts w:ascii="Aptos" w:hAnsi="Aptos"/>
          <w:szCs w:val="24"/>
        </w:rPr>
      </w:pPr>
    </w:p>
    <w:p w14:paraId="70B5EC92" w14:textId="4B988062" w:rsidR="009B5CB1" w:rsidRPr="009B5CB1" w:rsidRDefault="009B5CB1" w:rsidP="009B5CB1">
      <w:pPr>
        <w:pStyle w:val="ListParagraph"/>
        <w:spacing w:after="0" w:line="240" w:lineRule="auto"/>
        <w:rPr>
          <w:rFonts w:ascii="Aptos" w:hAnsi="Aptos"/>
          <w:szCs w:val="24"/>
        </w:rPr>
      </w:pPr>
      <w:r>
        <w:rPr>
          <w:rFonts w:ascii="Aptos" w:hAnsi="Aptos"/>
        </w:rPr>
        <w:t>Certain f</w:t>
      </w:r>
      <w:r w:rsidRPr="009B5CB1">
        <w:rPr>
          <w:rFonts w:ascii="Aptos" w:hAnsi="Aptos"/>
        </w:rPr>
        <w:t xml:space="preserve">urniture and </w:t>
      </w:r>
      <w:r>
        <w:rPr>
          <w:rFonts w:ascii="Aptos" w:hAnsi="Aptos"/>
        </w:rPr>
        <w:t>e</w:t>
      </w:r>
      <w:r w:rsidRPr="009B5CB1">
        <w:rPr>
          <w:rFonts w:ascii="Aptos" w:hAnsi="Aptos"/>
        </w:rPr>
        <w:t>quipment</w:t>
      </w:r>
      <w:r>
        <w:rPr>
          <w:rFonts w:ascii="Aptos" w:hAnsi="Aptos"/>
        </w:rPr>
        <w:t xml:space="preserve"> purchases require prior written approval from the EDD</w:t>
      </w:r>
      <w:r w:rsidRPr="009B5CB1">
        <w:rPr>
          <w:rFonts w:ascii="Aptos" w:hAnsi="Aptos"/>
        </w:rPr>
        <w:t xml:space="preserve">. Refer to EDD Directives </w:t>
      </w:r>
      <w:r w:rsidRPr="009B5CB1">
        <w:rPr>
          <w:rFonts w:ascii="Aptos" w:hAnsi="Aptos"/>
          <w:i/>
        </w:rPr>
        <w:t>Allowable Costs and Prior Written Approval</w:t>
      </w:r>
      <w:r w:rsidRPr="009B5CB1">
        <w:rPr>
          <w:rFonts w:ascii="Aptos" w:hAnsi="Aptos"/>
        </w:rPr>
        <w:t xml:space="preserve"> (</w:t>
      </w:r>
      <w:hyperlink r:id="rId14" w:history="1">
        <w:r w:rsidRPr="009B5CB1">
          <w:rPr>
            <w:rStyle w:val="Hyperlink"/>
            <w:rFonts w:ascii="Aptos" w:hAnsi="Aptos"/>
            <w:color w:val="0070C0"/>
            <w:lang w:val="en"/>
          </w:rPr>
          <w:t>WSD16-16</w:t>
        </w:r>
      </w:hyperlink>
      <w:r w:rsidRPr="009B5CB1">
        <w:rPr>
          <w:rFonts w:ascii="Aptos" w:hAnsi="Aptos"/>
        </w:rPr>
        <w:t xml:space="preserve">) (February 21, 2017), </w:t>
      </w:r>
      <w:r w:rsidRPr="009B5CB1">
        <w:rPr>
          <w:rFonts w:ascii="Aptos" w:hAnsi="Aptos"/>
          <w:i/>
        </w:rPr>
        <w:t>Property – Purchasing, Inventory, and Disposal</w:t>
      </w:r>
      <w:r w:rsidRPr="009B5CB1">
        <w:rPr>
          <w:rFonts w:ascii="Aptos" w:hAnsi="Aptos"/>
        </w:rPr>
        <w:t xml:space="preserve"> (</w:t>
      </w:r>
      <w:hyperlink r:id="rId15" w:history="1">
        <w:r w:rsidRPr="009B5CB1">
          <w:rPr>
            <w:rStyle w:val="Hyperlink"/>
            <w:rFonts w:ascii="Aptos" w:hAnsi="Aptos"/>
            <w:color w:val="0070C0"/>
            <w:lang w:val="en"/>
          </w:rPr>
          <w:t>WSD16-10</w:t>
        </w:r>
      </w:hyperlink>
      <w:r w:rsidRPr="009B5CB1">
        <w:rPr>
          <w:rFonts w:ascii="Aptos" w:hAnsi="Aptos"/>
        </w:rPr>
        <w:t xml:space="preserve">) (November 10, 2016), and, </w:t>
      </w:r>
      <w:r w:rsidRPr="009B5CB1">
        <w:rPr>
          <w:rFonts w:ascii="Aptos" w:hAnsi="Aptos"/>
          <w:i/>
        </w:rPr>
        <w:t>Procurement of Equipment and Related Services</w:t>
      </w:r>
      <w:r w:rsidRPr="009B5CB1">
        <w:rPr>
          <w:rFonts w:ascii="Aptos" w:hAnsi="Aptos"/>
        </w:rPr>
        <w:t xml:space="preserve"> (</w:t>
      </w:r>
      <w:hyperlink r:id="rId16" w:history="1">
        <w:r w:rsidRPr="009B5CB1">
          <w:rPr>
            <w:rStyle w:val="Hyperlink"/>
            <w:rFonts w:ascii="Aptos" w:hAnsi="Aptos"/>
            <w:color w:val="0070C0"/>
            <w:lang w:val="en"/>
          </w:rPr>
          <w:t>WSD17-08</w:t>
        </w:r>
      </w:hyperlink>
      <w:r w:rsidRPr="009B5CB1">
        <w:rPr>
          <w:rFonts w:ascii="Aptos" w:hAnsi="Aptos"/>
        </w:rPr>
        <w:t>) (March 14, 2018) for Procurement Guidelines</w:t>
      </w:r>
      <w:r>
        <w:rPr>
          <w:rFonts w:ascii="Aptos" w:hAnsi="Aptos"/>
        </w:rPr>
        <w:t xml:space="preserve"> for further information.</w:t>
      </w:r>
    </w:p>
    <w:p w14:paraId="2E27D392" w14:textId="77777777" w:rsidR="009B5CB1" w:rsidRDefault="009B5CB1" w:rsidP="009B5CB1">
      <w:pPr>
        <w:pStyle w:val="ListParagraph"/>
        <w:spacing w:after="0" w:line="240" w:lineRule="auto"/>
        <w:rPr>
          <w:rFonts w:ascii="Aptos" w:hAnsi="Aptos"/>
          <w:szCs w:val="24"/>
        </w:rPr>
      </w:pPr>
    </w:p>
    <w:p w14:paraId="2DBBFA33" w14:textId="1A040730" w:rsidR="009B5CB1" w:rsidRPr="009B5CB1" w:rsidRDefault="009B5CB1" w:rsidP="009B5CB1">
      <w:pPr>
        <w:pStyle w:val="ListParagraph"/>
        <w:spacing w:after="0" w:line="240" w:lineRule="auto"/>
        <w:rPr>
          <w:rFonts w:ascii="Aptos" w:hAnsi="Aptos"/>
          <w:szCs w:val="24"/>
        </w:rPr>
      </w:pPr>
      <w:r w:rsidRPr="009B5CB1">
        <w:rPr>
          <w:rFonts w:ascii="Aptos" w:hAnsi="Aptos"/>
          <w:szCs w:val="24"/>
        </w:rPr>
        <w:t>All local grant recipients and lower tier subrecipients must follow the federal allowable cost principles that apply to their type of organization. The Department of Labor (</w:t>
      </w:r>
      <w:hyperlink r:id="rId17" w:history="1">
        <w:r w:rsidRPr="009B5CB1">
          <w:rPr>
            <w:rStyle w:val="Hyperlink"/>
            <w:rFonts w:ascii="Aptos" w:hAnsi="Aptos"/>
            <w:szCs w:val="24"/>
          </w:rPr>
          <w:t>DOL</w:t>
        </w:r>
      </w:hyperlink>
      <w:r w:rsidRPr="009B5CB1">
        <w:rPr>
          <w:rFonts w:ascii="Aptos" w:hAnsi="Aptos"/>
          <w:szCs w:val="24"/>
        </w:rPr>
        <w:t>) regulations at 2 CFR 200 &amp; 225, 2 CFR 2900, 29 CFR 95.27, and 29 CFR 97.22 identify the federal principles for determining allowable costs that must be followed.</w:t>
      </w:r>
    </w:p>
    <w:sectPr w:rsidR="009B5CB1" w:rsidRPr="009B5CB1" w:rsidSect="00C61260">
      <w:type w:val="continuous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E5914" w14:textId="77777777" w:rsidR="00E34583" w:rsidRDefault="00E34583" w:rsidP="00C4619D">
      <w:pPr>
        <w:spacing w:after="0" w:line="240" w:lineRule="auto"/>
      </w:pPr>
      <w:r>
        <w:separator/>
      </w:r>
    </w:p>
  </w:endnote>
  <w:endnote w:type="continuationSeparator" w:id="0">
    <w:p w14:paraId="0A866946" w14:textId="77777777" w:rsidR="00E34583" w:rsidRDefault="00E34583" w:rsidP="00C4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1C8D0" w14:textId="422D6178" w:rsidR="00FF069C" w:rsidRPr="00FF069C" w:rsidRDefault="00E34583">
    <w:pPr>
      <w:pStyle w:val="Footer"/>
      <w:rPr>
        <w:rFonts w:ascii="Aptos" w:hAnsi="Aptos"/>
        <w:szCs w:val="24"/>
      </w:rPr>
    </w:pPr>
    <w:sdt>
      <w:sdtPr>
        <w:rPr>
          <w:rFonts w:ascii="Aptos" w:hAnsi="Aptos"/>
          <w:szCs w:val="24"/>
        </w:rPr>
        <w:id w:val="-455326937"/>
        <w:docPartObj>
          <w:docPartGallery w:val="Page Numbers (Top of Page)"/>
          <w:docPartUnique/>
        </w:docPartObj>
      </w:sdtPr>
      <w:sdtEndPr/>
      <w:sdtContent>
        <w:r w:rsidR="00FF069C">
          <w:rPr>
            <w:rFonts w:ascii="Aptos" w:hAnsi="Aptos"/>
            <w:szCs w:val="24"/>
          </w:rPr>
          <w:t>CCOG-RM</w:t>
        </w:r>
        <w:r w:rsidR="00FF069C" w:rsidRPr="00B8014A">
          <w:rPr>
            <w:rFonts w:ascii="Aptos" w:hAnsi="Aptos"/>
            <w:szCs w:val="24"/>
          </w:rPr>
          <w:t xml:space="preserve"> SFP PY </w:t>
        </w:r>
        <w:r w:rsidR="00FF069C">
          <w:rPr>
            <w:rFonts w:ascii="Aptos" w:hAnsi="Aptos"/>
            <w:szCs w:val="24"/>
          </w:rPr>
          <w:t>26-27</w:t>
        </w:r>
        <w:r w:rsidR="00FF069C" w:rsidRPr="00B8014A">
          <w:rPr>
            <w:rFonts w:ascii="Aptos" w:hAnsi="Aptos"/>
            <w:szCs w:val="24"/>
          </w:rPr>
          <w:tab/>
          <w:t xml:space="preserve">Page </w:t>
        </w:r>
        <w:r w:rsidR="00FF069C" w:rsidRPr="00B8014A">
          <w:rPr>
            <w:rFonts w:ascii="Aptos" w:hAnsi="Aptos"/>
            <w:bCs/>
            <w:szCs w:val="24"/>
          </w:rPr>
          <w:fldChar w:fldCharType="begin"/>
        </w:r>
        <w:r w:rsidR="00FF069C" w:rsidRPr="00B8014A">
          <w:rPr>
            <w:rFonts w:ascii="Aptos" w:hAnsi="Aptos"/>
            <w:bCs/>
            <w:szCs w:val="24"/>
          </w:rPr>
          <w:instrText xml:space="preserve"> PAGE </w:instrText>
        </w:r>
        <w:r w:rsidR="00FF069C" w:rsidRPr="00B8014A">
          <w:rPr>
            <w:rFonts w:ascii="Aptos" w:hAnsi="Aptos"/>
            <w:bCs/>
            <w:szCs w:val="24"/>
          </w:rPr>
          <w:fldChar w:fldCharType="separate"/>
        </w:r>
        <w:r w:rsidR="00FF069C">
          <w:rPr>
            <w:rFonts w:ascii="Aptos" w:hAnsi="Aptos"/>
            <w:bCs/>
            <w:szCs w:val="24"/>
          </w:rPr>
          <w:t>1</w:t>
        </w:r>
        <w:r w:rsidR="00FF069C" w:rsidRPr="00B8014A">
          <w:rPr>
            <w:rFonts w:ascii="Aptos" w:hAnsi="Aptos"/>
            <w:bCs/>
            <w:szCs w:val="24"/>
          </w:rPr>
          <w:fldChar w:fldCharType="end"/>
        </w:r>
        <w:r w:rsidR="00FF069C" w:rsidRPr="00B8014A">
          <w:rPr>
            <w:rFonts w:ascii="Aptos" w:hAnsi="Aptos"/>
            <w:szCs w:val="24"/>
          </w:rPr>
          <w:t xml:space="preserve"> of </w:t>
        </w:r>
        <w:r w:rsidR="00FF069C" w:rsidRPr="00B8014A">
          <w:rPr>
            <w:rFonts w:ascii="Aptos" w:hAnsi="Aptos"/>
            <w:bCs/>
            <w:szCs w:val="24"/>
          </w:rPr>
          <w:fldChar w:fldCharType="begin"/>
        </w:r>
        <w:r w:rsidR="00FF069C" w:rsidRPr="00B8014A">
          <w:rPr>
            <w:rFonts w:ascii="Aptos" w:hAnsi="Aptos"/>
            <w:bCs/>
            <w:szCs w:val="24"/>
          </w:rPr>
          <w:instrText xml:space="preserve"> NUMPAGES  </w:instrText>
        </w:r>
        <w:r w:rsidR="00FF069C" w:rsidRPr="00B8014A">
          <w:rPr>
            <w:rFonts w:ascii="Aptos" w:hAnsi="Aptos"/>
            <w:bCs/>
            <w:szCs w:val="24"/>
          </w:rPr>
          <w:fldChar w:fldCharType="separate"/>
        </w:r>
        <w:r w:rsidR="00FF069C">
          <w:rPr>
            <w:rFonts w:ascii="Aptos" w:hAnsi="Aptos"/>
            <w:bCs/>
            <w:szCs w:val="24"/>
          </w:rPr>
          <w:t>2</w:t>
        </w:r>
        <w:r w:rsidR="00FF069C" w:rsidRPr="00B8014A">
          <w:rPr>
            <w:rFonts w:ascii="Aptos" w:hAnsi="Aptos"/>
            <w:bCs/>
            <w:szCs w:val="24"/>
          </w:rPr>
          <w:fldChar w:fldCharType="end"/>
        </w:r>
        <w:r w:rsidR="00FF069C" w:rsidRPr="00B8014A">
          <w:rPr>
            <w:rFonts w:ascii="Aptos" w:hAnsi="Aptos"/>
            <w:bCs/>
            <w:szCs w:val="24"/>
          </w:rPr>
          <w:t xml:space="preserve"> </w:t>
        </w:r>
        <w:r w:rsidR="00FF069C" w:rsidRPr="00B8014A">
          <w:rPr>
            <w:rFonts w:ascii="Aptos" w:hAnsi="Aptos"/>
            <w:bCs/>
            <w:szCs w:val="24"/>
          </w:rPr>
          <w:tab/>
        </w:r>
        <w:r w:rsidR="00FF069C">
          <w:rPr>
            <w:rFonts w:ascii="Aptos" w:hAnsi="Aptos"/>
            <w:bCs/>
            <w:szCs w:val="24"/>
          </w:rPr>
          <w:t>June 2026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F7EC" w14:textId="44EE5DD3" w:rsidR="00A20493" w:rsidRPr="00B8014A" w:rsidRDefault="00E34583" w:rsidP="00A20493">
    <w:pPr>
      <w:pStyle w:val="Footer"/>
      <w:rPr>
        <w:rFonts w:ascii="Aptos" w:hAnsi="Aptos"/>
        <w:szCs w:val="24"/>
      </w:rPr>
    </w:pPr>
    <w:sdt>
      <w:sdtPr>
        <w:rPr>
          <w:rFonts w:ascii="Aptos" w:hAnsi="Aptos"/>
          <w:szCs w:val="24"/>
        </w:rPr>
        <w:id w:val="1728636285"/>
        <w:docPartObj>
          <w:docPartGallery w:val="Page Numbers (Top of Page)"/>
          <w:docPartUnique/>
        </w:docPartObj>
      </w:sdtPr>
      <w:sdtEndPr/>
      <w:sdtContent>
        <w:r w:rsidR="00E12D3F">
          <w:rPr>
            <w:rFonts w:ascii="Aptos" w:hAnsi="Aptos"/>
            <w:szCs w:val="24"/>
          </w:rPr>
          <w:t>CCOG-RM</w:t>
        </w:r>
        <w:r w:rsidR="00981B51" w:rsidRPr="00B8014A">
          <w:rPr>
            <w:rFonts w:ascii="Aptos" w:hAnsi="Aptos"/>
            <w:szCs w:val="24"/>
          </w:rPr>
          <w:t xml:space="preserve"> SFP PY </w:t>
        </w:r>
        <w:r w:rsidR="00E12D3F">
          <w:rPr>
            <w:rFonts w:ascii="Aptos" w:hAnsi="Aptos"/>
            <w:szCs w:val="24"/>
          </w:rPr>
          <w:t>26-27</w:t>
        </w:r>
        <w:r w:rsidR="00A20493" w:rsidRPr="00B8014A">
          <w:rPr>
            <w:rFonts w:ascii="Aptos" w:hAnsi="Aptos"/>
            <w:szCs w:val="24"/>
          </w:rPr>
          <w:tab/>
          <w:t xml:space="preserve">Page </w:t>
        </w:r>
        <w:r w:rsidR="00A20493" w:rsidRPr="00B8014A">
          <w:rPr>
            <w:rFonts w:ascii="Aptos" w:hAnsi="Aptos"/>
            <w:bCs/>
            <w:szCs w:val="24"/>
          </w:rPr>
          <w:fldChar w:fldCharType="begin"/>
        </w:r>
        <w:r w:rsidR="00A20493" w:rsidRPr="00B8014A">
          <w:rPr>
            <w:rFonts w:ascii="Aptos" w:hAnsi="Aptos"/>
            <w:bCs/>
            <w:szCs w:val="24"/>
          </w:rPr>
          <w:instrText xml:space="preserve"> PAGE </w:instrText>
        </w:r>
        <w:r w:rsidR="00A20493" w:rsidRPr="00B8014A">
          <w:rPr>
            <w:rFonts w:ascii="Aptos" w:hAnsi="Aptos"/>
            <w:bCs/>
            <w:szCs w:val="24"/>
          </w:rPr>
          <w:fldChar w:fldCharType="separate"/>
        </w:r>
        <w:r w:rsidR="00981B51" w:rsidRPr="00B8014A">
          <w:rPr>
            <w:rFonts w:ascii="Aptos" w:hAnsi="Aptos"/>
            <w:bCs/>
            <w:noProof/>
            <w:szCs w:val="24"/>
          </w:rPr>
          <w:t>1</w:t>
        </w:r>
        <w:r w:rsidR="00A20493" w:rsidRPr="00B8014A">
          <w:rPr>
            <w:rFonts w:ascii="Aptos" w:hAnsi="Aptos"/>
            <w:bCs/>
            <w:szCs w:val="24"/>
          </w:rPr>
          <w:fldChar w:fldCharType="end"/>
        </w:r>
        <w:r w:rsidR="00A20493" w:rsidRPr="00B8014A">
          <w:rPr>
            <w:rFonts w:ascii="Aptos" w:hAnsi="Aptos"/>
            <w:szCs w:val="24"/>
          </w:rPr>
          <w:t xml:space="preserve"> of </w:t>
        </w:r>
        <w:r w:rsidR="00A20493" w:rsidRPr="00B8014A">
          <w:rPr>
            <w:rFonts w:ascii="Aptos" w:hAnsi="Aptos"/>
            <w:bCs/>
            <w:szCs w:val="24"/>
          </w:rPr>
          <w:fldChar w:fldCharType="begin"/>
        </w:r>
        <w:r w:rsidR="00A20493" w:rsidRPr="00B8014A">
          <w:rPr>
            <w:rFonts w:ascii="Aptos" w:hAnsi="Aptos"/>
            <w:bCs/>
            <w:szCs w:val="24"/>
          </w:rPr>
          <w:instrText xml:space="preserve"> NUMPAGES  </w:instrText>
        </w:r>
        <w:r w:rsidR="00A20493" w:rsidRPr="00B8014A">
          <w:rPr>
            <w:rFonts w:ascii="Aptos" w:hAnsi="Aptos"/>
            <w:bCs/>
            <w:szCs w:val="24"/>
          </w:rPr>
          <w:fldChar w:fldCharType="separate"/>
        </w:r>
        <w:r w:rsidR="00981B51" w:rsidRPr="00B8014A">
          <w:rPr>
            <w:rFonts w:ascii="Aptos" w:hAnsi="Aptos"/>
            <w:bCs/>
            <w:noProof/>
            <w:szCs w:val="24"/>
          </w:rPr>
          <w:t>1</w:t>
        </w:r>
        <w:r w:rsidR="00A20493" w:rsidRPr="00B8014A">
          <w:rPr>
            <w:rFonts w:ascii="Aptos" w:hAnsi="Aptos"/>
            <w:bCs/>
            <w:szCs w:val="24"/>
          </w:rPr>
          <w:fldChar w:fldCharType="end"/>
        </w:r>
        <w:r w:rsidR="00A20493" w:rsidRPr="00B8014A">
          <w:rPr>
            <w:rFonts w:ascii="Aptos" w:hAnsi="Aptos"/>
            <w:bCs/>
            <w:szCs w:val="24"/>
          </w:rPr>
          <w:t xml:space="preserve"> </w:t>
        </w:r>
        <w:r w:rsidR="00A20493" w:rsidRPr="00B8014A">
          <w:rPr>
            <w:rFonts w:ascii="Aptos" w:hAnsi="Aptos"/>
            <w:bCs/>
            <w:szCs w:val="24"/>
          </w:rPr>
          <w:tab/>
        </w:r>
        <w:r w:rsidR="00E12D3F">
          <w:rPr>
            <w:rFonts w:ascii="Aptos" w:hAnsi="Aptos"/>
            <w:bCs/>
            <w:szCs w:val="24"/>
          </w:rPr>
          <w:t>June 2026</w:t>
        </w:r>
      </w:sdtContent>
    </w:sdt>
  </w:p>
  <w:p w14:paraId="75A9F7ED" w14:textId="77777777" w:rsidR="00A20493" w:rsidRPr="00B8014A" w:rsidRDefault="00A20493">
    <w:pPr>
      <w:pStyle w:val="Footer"/>
      <w:rPr>
        <w:rFonts w:ascii="Aptos" w:hAnsi="Aptos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87672" w14:textId="77777777" w:rsidR="00E34583" w:rsidRDefault="00E34583" w:rsidP="00C4619D">
      <w:pPr>
        <w:spacing w:after="0" w:line="240" w:lineRule="auto"/>
      </w:pPr>
      <w:r>
        <w:separator/>
      </w:r>
    </w:p>
  </w:footnote>
  <w:footnote w:type="continuationSeparator" w:id="0">
    <w:p w14:paraId="6F76F5DE" w14:textId="77777777" w:rsidR="00E34583" w:rsidRDefault="00E34583" w:rsidP="00C4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F7E5" w14:textId="77777777" w:rsidR="00EB620C" w:rsidRDefault="00EB620C" w:rsidP="00DF7D10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D5E"/>
    <w:multiLevelType w:val="hybridMultilevel"/>
    <w:tmpl w:val="1FFED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F1728"/>
    <w:multiLevelType w:val="hybridMultilevel"/>
    <w:tmpl w:val="652E3232"/>
    <w:lvl w:ilvl="0" w:tplc="2ED06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E06D9"/>
    <w:multiLevelType w:val="hybridMultilevel"/>
    <w:tmpl w:val="1A8601C8"/>
    <w:lvl w:ilvl="0" w:tplc="3306BF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B1AFA"/>
    <w:multiLevelType w:val="hybridMultilevel"/>
    <w:tmpl w:val="C0C85738"/>
    <w:lvl w:ilvl="0" w:tplc="B2528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410238">
    <w:abstractNumId w:val="2"/>
  </w:num>
  <w:num w:numId="2" w16cid:durableId="562103451">
    <w:abstractNumId w:val="1"/>
  </w:num>
  <w:num w:numId="3" w16cid:durableId="2119710509">
    <w:abstractNumId w:val="0"/>
  </w:num>
  <w:num w:numId="4" w16cid:durableId="982387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E0sDQysTAxNjE0s7BQ0lEKTi0uzszPAykwrgUAiSR+IywAAAA="/>
  </w:docVars>
  <w:rsids>
    <w:rsidRoot w:val="00C4619D"/>
    <w:rsid w:val="00011FF6"/>
    <w:rsid w:val="000215E0"/>
    <w:rsid w:val="0005733A"/>
    <w:rsid w:val="00070957"/>
    <w:rsid w:val="00077074"/>
    <w:rsid w:val="000907CE"/>
    <w:rsid w:val="00094185"/>
    <w:rsid w:val="000A7E79"/>
    <w:rsid w:val="000D41F4"/>
    <w:rsid w:val="0012742D"/>
    <w:rsid w:val="00166463"/>
    <w:rsid w:val="00167951"/>
    <w:rsid w:val="001A0ADF"/>
    <w:rsid w:val="001A2FE1"/>
    <w:rsid w:val="00233C68"/>
    <w:rsid w:val="00243E97"/>
    <w:rsid w:val="0027732C"/>
    <w:rsid w:val="00282B0C"/>
    <w:rsid w:val="0029566A"/>
    <w:rsid w:val="002A49F5"/>
    <w:rsid w:val="002B7D0F"/>
    <w:rsid w:val="002D578B"/>
    <w:rsid w:val="002F1B40"/>
    <w:rsid w:val="00304A96"/>
    <w:rsid w:val="003A6798"/>
    <w:rsid w:val="003D4C8C"/>
    <w:rsid w:val="003E345D"/>
    <w:rsid w:val="003F4960"/>
    <w:rsid w:val="00432632"/>
    <w:rsid w:val="00433441"/>
    <w:rsid w:val="00483BBE"/>
    <w:rsid w:val="004C54B7"/>
    <w:rsid w:val="004C7A9D"/>
    <w:rsid w:val="004D2C52"/>
    <w:rsid w:val="004D4E7D"/>
    <w:rsid w:val="00550B22"/>
    <w:rsid w:val="00595244"/>
    <w:rsid w:val="005C4514"/>
    <w:rsid w:val="005E57E5"/>
    <w:rsid w:val="005F60F9"/>
    <w:rsid w:val="00635F03"/>
    <w:rsid w:val="00686543"/>
    <w:rsid w:val="00693DDF"/>
    <w:rsid w:val="006A3FCD"/>
    <w:rsid w:val="006A609C"/>
    <w:rsid w:val="006B415E"/>
    <w:rsid w:val="006D1667"/>
    <w:rsid w:val="0071078A"/>
    <w:rsid w:val="00716669"/>
    <w:rsid w:val="00721970"/>
    <w:rsid w:val="007538F6"/>
    <w:rsid w:val="00771FA8"/>
    <w:rsid w:val="00790215"/>
    <w:rsid w:val="007B5F37"/>
    <w:rsid w:val="007C0F9E"/>
    <w:rsid w:val="007C3743"/>
    <w:rsid w:val="007D3711"/>
    <w:rsid w:val="008061A0"/>
    <w:rsid w:val="00852640"/>
    <w:rsid w:val="00861DD5"/>
    <w:rsid w:val="00884A25"/>
    <w:rsid w:val="008909EA"/>
    <w:rsid w:val="008A2287"/>
    <w:rsid w:val="009632DF"/>
    <w:rsid w:val="00981B51"/>
    <w:rsid w:val="009909CB"/>
    <w:rsid w:val="009A1998"/>
    <w:rsid w:val="009B5CB1"/>
    <w:rsid w:val="009C4B10"/>
    <w:rsid w:val="00A11416"/>
    <w:rsid w:val="00A20493"/>
    <w:rsid w:val="00A21B60"/>
    <w:rsid w:val="00A311B3"/>
    <w:rsid w:val="00A53A4A"/>
    <w:rsid w:val="00A55F82"/>
    <w:rsid w:val="00A73267"/>
    <w:rsid w:val="00A753B5"/>
    <w:rsid w:val="00A86DD1"/>
    <w:rsid w:val="00A87723"/>
    <w:rsid w:val="00AF6711"/>
    <w:rsid w:val="00B329FF"/>
    <w:rsid w:val="00B343F4"/>
    <w:rsid w:val="00B37BB7"/>
    <w:rsid w:val="00B43709"/>
    <w:rsid w:val="00B44FC5"/>
    <w:rsid w:val="00B61E64"/>
    <w:rsid w:val="00B775DE"/>
    <w:rsid w:val="00B8014A"/>
    <w:rsid w:val="00B814D8"/>
    <w:rsid w:val="00BA061C"/>
    <w:rsid w:val="00BC356A"/>
    <w:rsid w:val="00BE36C7"/>
    <w:rsid w:val="00BF7C9C"/>
    <w:rsid w:val="00BF7E4A"/>
    <w:rsid w:val="00C009EC"/>
    <w:rsid w:val="00C01A67"/>
    <w:rsid w:val="00C3686D"/>
    <w:rsid w:val="00C4619D"/>
    <w:rsid w:val="00C61260"/>
    <w:rsid w:val="00C76E65"/>
    <w:rsid w:val="00C77556"/>
    <w:rsid w:val="00C864F3"/>
    <w:rsid w:val="00C91360"/>
    <w:rsid w:val="00CF74D4"/>
    <w:rsid w:val="00D00615"/>
    <w:rsid w:val="00D53E91"/>
    <w:rsid w:val="00D7273E"/>
    <w:rsid w:val="00D76615"/>
    <w:rsid w:val="00DC4413"/>
    <w:rsid w:val="00DD5A7C"/>
    <w:rsid w:val="00DE3F6F"/>
    <w:rsid w:val="00DF7D10"/>
    <w:rsid w:val="00E12D3F"/>
    <w:rsid w:val="00E23A28"/>
    <w:rsid w:val="00E27677"/>
    <w:rsid w:val="00E34583"/>
    <w:rsid w:val="00E52A71"/>
    <w:rsid w:val="00E53985"/>
    <w:rsid w:val="00E62748"/>
    <w:rsid w:val="00E81F29"/>
    <w:rsid w:val="00EA22D1"/>
    <w:rsid w:val="00EB620C"/>
    <w:rsid w:val="00EE6F6A"/>
    <w:rsid w:val="00EF2FB1"/>
    <w:rsid w:val="00F4423B"/>
    <w:rsid w:val="00F4732D"/>
    <w:rsid w:val="00F510A9"/>
    <w:rsid w:val="00F9480C"/>
    <w:rsid w:val="00FD56D3"/>
    <w:rsid w:val="00FE11C7"/>
    <w:rsid w:val="00FF069C"/>
    <w:rsid w:val="043E68B1"/>
    <w:rsid w:val="081B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9F7C1"/>
  <w15:chartTrackingRefBased/>
  <w15:docId w15:val="{CD496050-676D-4EE3-823A-B241FE82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C8C"/>
    <w:rPr>
      <w:sz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B8014A"/>
    <w:pPr>
      <w:outlineLvl w:val="0"/>
    </w:pPr>
    <w:rPr>
      <w:rFonts w:ascii="Aptos" w:hAnsi="Aptos" w:cstheme="minorHAnsi"/>
      <w:b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970"/>
    <w:pPr>
      <w:spacing w:after="0" w:line="240" w:lineRule="auto"/>
      <w:outlineLvl w:val="1"/>
    </w:pPr>
    <w:rPr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6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61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6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19D"/>
  </w:style>
  <w:style w:type="paragraph" w:styleId="Footer">
    <w:name w:val="footer"/>
    <w:basedOn w:val="Normal"/>
    <w:link w:val="FooterChar"/>
    <w:uiPriority w:val="99"/>
    <w:unhideWhenUsed/>
    <w:rsid w:val="00C46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19D"/>
  </w:style>
  <w:style w:type="character" w:styleId="Hyperlink">
    <w:name w:val="Hyperlink"/>
    <w:basedOn w:val="DefaultParagraphFont"/>
    <w:uiPriority w:val="99"/>
    <w:unhideWhenUsed/>
    <w:rsid w:val="003D4C8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19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C54B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8014A"/>
    <w:rPr>
      <w:rFonts w:ascii="Aptos" w:hAnsi="Aptos" w:cstheme="minorHAnsi"/>
      <w:b/>
      <w:color w:val="1F4E79" w:themeColor="accent1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1970"/>
    <w:rPr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C7755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B5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ecfr.gov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dd.ca.gov/Jobs_and_Training/Active_Directives.ht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edd.ca.gov/Jobs_and_Training/Active_Directives.htm" TargetMode="External"/><Relationship Id="rId10" Type="http://schemas.openxmlformats.org/officeDocument/2006/relationships/image" Target="media/image1.gi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dd.ca.gov/Jobs_and_Training/Active_Directiv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c7e9dd-8d2d-4750-b54a-f534515ac3a2" xsi:nil="true"/>
    <lcf76f155ced4ddcb4097134ff3c332f xmlns="82b749e3-8208-459a-bfc0-9b428d09cb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4ED5C53901F4C88FF6AEBBF3D8E0D" ma:contentTypeVersion="13" ma:contentTypeDescription="Create a new document." ma:contentTypeScope="" ma:versionID="529ed3825ab478a5ffdc44eb265dc6f5">
  <xsd:schema xmlns:xsd="http://www.w3.org/2001/XMLSchema" xmlns:xs="http://www.w3.org/2001/XMLSchema" xmlns:p="http://schemas.microsoft.com/office/2006/metadata/properties" xmlns:ns2="82b749e3-8208-459a-bfc0-9b428d09cbab" xmlns:ns3="9ac7e9dd-8d2d-4750-b54a-f534515ac3a2" targetNamespace="http://schemas.microsoft.com/office/2006/metadata/properties" ma:root="true" ma:fieldsID="b7c2030912f9588e16c624efbe24e62a" ns2:_="" ns3:_="">
    <xsd:import namespace="82b749e3-8208-459a-bfc0-9b428d09cbab"/>
    <xsd:import namespace="9ac7e9dd-8d2d-4750-b54a-f534515ac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749e3-8208-459a-bfc0-9b428d09c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7394e95-b349-4f38-a288-35f6b460f5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7e9dd-8d2d-4750-b54a-f534515ac3a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eb3a4cf-a4c1-465d-84d5-3df346f355a6}" ma:internalName="TaxCatchAll" ma:showField="CatchAllData" ma:web="9ac7e9dd-8d2d-4750-b54a-f534515ac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0ADBC4-D5A2-437F-94B5-BF32A94331C5}">
  <ds:schemaRefs>
    <ds:schemaRef ds:uri="http://schemas.microsoft.com/office/2006/metadata/properties"/>
    <ds:schemaRef ds:uri="http://schemas.microsoft.com/office/infopath/2007/PartnerControls"/>
    <ds:schemaRef ds:uri="9ac7e9dd-8d2d-4750-b54a-f534515ac3a2"/>
    <ds:schemaRef ds:uri="82b749e3-8208-459a-bfc0-9b428d09cbab"/>
  </ds:schemaRefs>
</ds:datastoreItem>
</file>

<file path=customXml/itemProps2.xml><?xml version="1.0" encoding="utf-8"?>
<ds:datastoreItem xmlns:ds="http://schemas.openxmlformats.org/officeDocument/2006/customXml" ds:itemID="{C08B8ACF-7EAA-45F7-AE04-B59C12E93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749e3-8208-459a-bfc0-9b428d09cbab"/>
    <ds:schemaRef ds:uri="9ac7e9dd-8d2d-4750-b54a-f534515ac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5D8BBD-2DCF-40F1-946C-4D7C304E15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51480e4-deb2-4da5-bc64-7d1e9e1df8e4}" enabled="1" method="Standard" siteId="{06cac249-57c6-4eed-94fd-256abde82b4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SFP Q&amp;A</vt:lpstr>
    </vt:vector>
  </TitlesOfParts>
  <Company>Employment Development Department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CCOG-RM PY 26-27 SFP Q&amp;A</dc:title>
  <dc:subject/>
  <dc:creator>Workforce Services</dc:creator>
  <cp:keywords>SFP, grant funding</cp:keywords>
  <dc:description/>
  <cp:lastModifiedBy>Richardson, Jeffrey@EDD</cp:lastModifiedBy>
  <cp:revision>40</cp:revision>
  <cp:lastPrinted>2017-06-15T19:41:00Z</cp:lastPrinted>
  <dcterms:created xsi:type="dcterms:W3CDTF">2026-06-02T21:26:00Z</dcterms:created>
  <dcterms:modified xsi:type="dcterms:W3CDTF">2026-06-05T20:23:00Z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0x010100E614ED5C53901F4C88FF6AEBBF3D8E0D</vt:lpwstr>
  </property>
  <property fmtid="{D5CDD505-2E9C-101B-9397-08002B2CF9AE}" pid="3" name="GrammarlyDocumentId">
    <vt:lpwstr>6de79152-c1d0-4162-a086-d49baa71f9ec</vt:lpwstr>
  </property>
</Properties>
</file>