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6F34" w14:textId="26E9A213" w:rsidR="00C61260" w:rsidRDefault="00C009EC" w:rsidP="003A10C1">
      <w:pPr>
        <w:pStyle w:val="Header"/>
      </w:pPr>
      <w:r w:rsidRPr="00C009EC">
        <w:rPr>
          <w:rFonts w:ascii="Calibri" w:eastAsia="Times New Roman" w:hAnsi="Calibri" w:cs="Times New Roman"/>
          <w:noProof/>
          <w:szCs w:val="24"/>
        </w:rPr>
        <w:drawing>
          <wp:inline distT="0" distB="0" distL="0" distR="0" wp14:anchorId="26BEA76E" wp14:editId="347CE3BB">
            <wp:extent cx="1089660" cy="681038"/>
            <wp:effectExtent l="0" t="0" r="0" b="5080"/>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557" cy="714724"/>
                    </a:xfrm>
                    <a:prstGeom prst="rect">
                      <a:avLst/>
                    </a:prstGeom>
                    <a:noFill/>
                    <a:ln>
                      <a:noFill/>
                    </a:ln>
                  </pic:spPr>
                </pic:pic>
              </a:graphicData>
            </a:graphic>
          </wp:inline>
        </w:drawing>
      </w:r>
    </w:p>
    <w:p w14:paraId="2F40D1E4" w14:textId="3819CC93" w:rsidR="00C61260" w:rsidRPr="00167951" w:rsidRDefault="00D859DC" w:rsidP="00167951">
      <w:pPr>
        <w:pStyle w:val="Heading1"/>
      </w:pPr>
      <w:r>
        <w:t>Employment Pathways Technical Assistance</w:t>
      </w:r>
    </w:p>
    <w:p w14:paraId="64C0F3EA" w14:textId="4D06F8D4" w:rsidR="00C61260" w:rsidRPr="00DF7D10" w:rsidRDefault="00C61260" w:rsidP="00167951">
      <w:pPr>
        <w:pStyle w:val="Heading1"/>
      </w:pPr>
      <w:r>
        <w:t xml:space="preserve">Solicitation for Proposals </w:t>
      </w:r>
      <w:r w:rsidRPr="00DF7D10">
        <w:t>P</w:t>
      </w:r>
      <w:r>
        <w:t xml:space="preserve">rogram </w:t>
      </w:r>
      <w:r w:rsidRPr="00DF7D10">
        <w:t>Y</w:t>
      </w:r>
      <w:r>
        <w:t>ear</w:t>
      </w:r>
      <w:r w:rsidRPr="00DF7D10">
        <w:t xml:space="preserve"> </w:t>
      </w:r>
      <w:r w:rsidR="00D859DC">
        <w:t>2025</w:t>
      </w:r>
      <w:r w:rsidRPr="00DF7D10">
        <w:t>-</w:t>
      </w:r>
      <w:r w:rsidR="00D859DC">
        <w:t>26</w:t>
      </w:r>
    </w:p>
    <w:p w14:paraId="7EB0DB3F" w14:textId="5BC8DB6D" w:rsidR="00C61260" w:rsidRPr="00CF74D4" w:rsidRDefault="00C61260" w:rsidP="00167951">
      <w:pPr>
        <w:pStyle w:val="Heading1"/>
        <w:sectPr w:rsidR="00C61260" w:rsidRPr="00CF74D4" w:rsidSect="00C009EC">
          <w:headerReference w:type="default" r:id="rId11"/>
          <w:footerReference w:type="default" r:id="rId12"/>
          <w:footerReference w:type="first" r:id="rId13"/>
          <w:pgSz w:w="12240" w:h="15840"/>
          <w:pgMar w:top="1008" w:right="1008" w:bottom="1008" w:left="1008" w:header="720" w:footer="720" w:gutter="0"/>
          <w:cols w:num="2" w:space="144" w:equalWidth="0">
            <w:col w:w="1872" w:space="144"/>
            <w:col w:w="8208"/>
          </w:cols>
          <w:titlePg/>
          <w:docGrid w:linePitch="360"/>
        </w:sectPr>
      </w:pPr>
      <w:r w:rsidRPr="001A2FE1">
        <w:t>Questions and Answers</w:t>
      </w:r>
    </w:p>
    <w:p w14:paraId="75A9F7C1" w14:textId="77777777" w:rsidR="003A6798" w:rsidRPr="001A2FE1" w:rsidRDefault="003A6798" w:rsidP="001A2FE1">
      <w:pPr>
        <w:pBdr>
          <w:bottom w:val="single" w:sz="4" w:space="1" w:color="auto"/>
        </w:pBdr>
        <w:rPr>
          <w:b/>
          <w:sz w:val="16"/>
          <w:szCs w:val="16"/>
        </w:rPr>
      </w:pPr>
    </w:p>
    <w:p w14:paraId="71802A87" w14:textId="271464F4" w:rsidR="00D859DC" w:rsidRPr="003B6EAD" w:rsidRDefault="00D859DC" w:rsidP="003B6EAD">
      <w:pPr>
        <w:pStyle w:val="ListParagraph"/>
        <w:numPr>
          <w:ilvl w:val="0"/>
          <w:numId w:val="4"/>
        </w:numPr>
        <w:spacing w:before="40" w:after="240" w:line="276" w:lineRule="auto"/>
        <w:rPr>
          <w:rFonts w:ascii="Calibri" w:eastAsia="Calibri" w:hAnsi="Calibri" w:cs="Times New Roman"/>
          <w:b/>
          <w:color w:val="000000"/>
          <w:szCs w:val="28"/>
        </w:rPr>
      </w:pPr>
      <w:r w:rsidRPr="003B6EAD">
        <w:rPr>
          <w:rFonts w:ascii="Calibri" w:eastAsia="Calibri" w:hAnsi="Calibri" w:cs="Times New Roman"/>
          <w:b/>
          <w:color w:val="000000"/>
          <w:szCs w:val="28"/>
        </w:rPr>
        <w:t>Can an applicant with an indirect cost rate agreement of over 10% use the rate in their NICRA?</w:t>
      </w:r>
    </w:p>
    <w:p w14:paraId="5CEC6D6F" w14:textId="77777777" w:rsidR="00D859DC" w:rsidRPr="00553B2D" w:rsidRDefault="00D859DC" w:rsidP="00D859DC">
      <w:pPr>
        <w:pStyle w:val="ListParagraph"/>
        <w:spacing w:line="276" w:lineRule="auto"/>
        <w:rPr>
          <w:rFonts w:ascii="Calibri" w:eastAsia="Calibri" w:hAnsi="Calibri" w:cs="Times New Roman"/>
          <w:b/>
          <w:color w:val="000000"/>
          <w:szCs w:val="28"/>
        </w:rPr>
      </w:pPr>
    </w:p>
    <w:p w14:paraId="752F26D8" w14:textId="135A796C" w:rsidR="00D859DC" w:rsidRPr="00553B2D" w:rsidRDefault="00D859DC" w:rsidP="00D859DC">
      <w:pPr>
        <w:pStyle w:val="ListParagraph"/>
        <w:spacing w:after="0" w:line="240" w:lineRule="auto"/>
        <w:rPr>
          <w:rFonts w:ascii="Calibri" w:eastAsia="Calibri" w:hAnsi="Calibri" w:cs="Times New Roman"/>
          <w:bCs/>
          <w:color w:val="000000"/>
          <w:szCs w:val="28"/>
        </w:rPr>
      </w:pPr>
      <w:r w:rsidRPr="00553B2D">
        <w:rPr>
          <w:rFonts w:ascii="Calibri" w:eastAsia="Calibri" w:hAnsi="Calibri" w:cs="Times New Roman"/>
          <w:bCs/>
          <w:color w:val="000000"/>
          <w:szCs w:val="28"/>
        </w:rPr>
        <w:t xml:space="preserve">The 10 percent cap applies to all administrative costs, whether direct or indirect. An indirect cost rate of more than 10 percent can be charged if the dollar amount of the administrative portion of indirect costs plus any direct administrative costs </w:t>
      </w:r>
      <w:r w:rsidR="005C10E8" w:rsidRPr="00553B2D">
        <w:rPr>
          <w:rFonts w:ascii="Calibri" w:eastAsia="Calibri" w:hAnsi="Calibri" w:cs="Times New Roman"/>
          <w:bCs/>
          <w:color w:val="000000"/>
          <w:szCs w:val="28"/>
        </w:rPr>
        <w:t>remain</w:t>
      </w:r>
      <w:r w:rsidRPr="00553B2D">
        <w:rPr>
          <w:rFonts w:ascii="Calibri" w:eastAsia="Calibri" w:hAnsi="Calibri" w:cs="Times New Roman"/>
          <w:bCs/>
          <w:color w:val="000000"/>
          <w:szCs w:val="28"/>
        </w:rPr>
        <w:t xml:space="preserve"> under 10 percent. Please note that indirect cost rates are not calculated as a percentage of the total award but rather as a percentage of the base identified in your Negotiated Indirect Cost Rate Agreement (NICRA)</w:t>
      </w:r>
      <w:r>
        <w:rPr>
          <w:rFonts w:ascii="Calibri" w:eastAsia="Calibri" w:hAnsi="Calibri" w:cs="Times New Roman"/>
          <w:bCs/>
          <w:color w:val="000000"/>
          <w:szCs w:val="28"/>
        </w:rPr>
        <w:t xml:space="preserve"> </w:t>
      </w:r>
      <w:r w:rsidRPr="00CD3DD7">
        <w:rPr>
          <w:rFonts w:ascii="Calibri" w:eastAsia="Calibri" w:hAnsi="Calibri" w:cs="Times New Roman"/>
          <w:bCs/>
          <w:color w:val="000000"/>
          <w:szCs w:val="28"/>
        </w:rPr>
        <w:t>or Cost Allocation Plan (CAP) or for those claiming the 15 percent De minimis rate, as a percentage of Modified Total Direct Costs (MTDC) as defined in 2 CFR 200.68.</w:t>
      </w:r>
    </w:p>
    <w:p w14:paraId="2CF21F69" w14:textId="77777777" w:rsidR="00D859DC" w:rsidRPr="00590488" w:rsidRDefault="00D859DC" w:rsidP="00D859DC">
      <w:pPr>
        <w:spacing w:after="0" w:line="240" w:lineRule="auto"/>
        <w:ind w:left="360"/>
        <w:contextualSpacing/>
        <w:rPr>
          <w:rFonts w:ascii="Calibri" w:eastAsia="Calibri" w:hAnsi="Calibri" w:cs="Times New Roman"/>
          <w:bCs/>
          <w:color w:val="000000"/>
          <w:szCs w:val="28"/>
        </w:rPr>
      </w:pPr>
    </w:p>
    <w:p w14:paraId="5FABCB32" w14:textId="6E939A26" w:rsidR="00D859DC" w:rsidRDefault="00D859DC" w:rsidP="003B6EAD">
      <w:pPr>
        <w:pStyle w:val="ListParagraph"/>
        <w:numPr>
          <w:ilvl w:val="0"/>
          <w:numId w:val="4"/>
        </w:numPr>
        <w:spacing w:after="0" w:line="276" w:lineRule="auto"/>
        <w:rPr>
          <w:rFonts w:ascii="Calibri" w:eastAsia="Calibri" w:hAnsi="Calibri" w:cs="Times New Roman"/>
          <w:b/>
          <w:color w:val="000000"/>
          <w:szCs w:val="28"/>
        </w:rPr>
      </w:pPr>
      <w:r w:rsidRPr="00553B2D">
        <w:rPr>
          <w:rFonts w:ascii="Calibri" w:eastAsia="Calibri" w:hAnsi="Calibri" w:cs="Times New Roman"/>
          <w:b/>
          <w:color w:val="000000"/>
          <w:szCs w:val="28"/>
        </w:rPr>
        <w:t>Did the federal government increase the De minimis rate to 15% effective October 1, 2024?</w:t>
      </w:r>
    </w:p>
    <w:p w14:paraId="5C9F2503" w14:textId="77777777" w:rsidR="00D859DC" w:rsidRPr="00553B2D" w:rsidRDefault="00D859DC" w:rsidP="00D859DC">
      <w:pPr>
        <w:pStyle w:val="ListParagraph"/>
        <w:spacing w:after="0" w:line="276" w:lineRule="auto"/>
        <w:rPr>
          <w:rFonts w:ascii="Calibri" w:eastAsia="Calibri" w:hAnsi="Calibri" w:cs="Times New Roman"/>
          <w:b/>
          <w:color w:val="000000"/>
          <w:szCs w:val="28"/>
        </w:rPr>
      </w:pPr>
    </w:p>
    <w:p w14:paraId="605BDAD9" w14:textId="77777777" w:rsidR="00D859DC" w:rsidRPr="00553B2D" w:rsidRDefault="00D859DC" w:rsidP="00D859DC">
      <w:pPr>
        <w:pStyle w:val="ListParagraph"/>
        <w:spacing w:after="0" w:line="240" w:lineRule="auto"/>
        <w:rPr>
          <w:rFonts w:ascii="Calibri" w:eastAsia="Calibri" w:hAnsi="Calibri" w:cs="Times New Roman"/>
          <w:bCs/>
          <w:color w:val="000000"/>
          <w:szCs w:val="28"/>
        </w:rPr>
      </w:pPr>
      <w:r w:rsidRPr="00553B2D">
        <w:rPr>
          <w:rFonts w:ascii="Calibri" w:eastAsia="Calibri" w:hAnsi="Calibri" w:cs="Times New Roman"/>
          <w:bCs/>
          <w:color w:val="000000"/>
          <w:szCs w:val="28"/>
        </w:rPr>
        <w:t>Yes, recipients and subrecipients who do not have a current federal Negotiated Indirect Cost Rate (including provisional rate) may elect to charge a De minimis rate of up to 15 percent of the Modified Total Direct Costs.</w:t>
      </w:r>
    </w:p>
    <w:p w14:paraId="3EE7B337" w14:textId="77777777" w:rsidR="00D859DC" w:rsidRDefault="00D859DC" w:rsidP="00D859DC">
      <w:pPr>
        <w:spacing w:after="0" w:line="240" w:lineRule="auto"/>
        <w:ind w:left="360"/>
        <w:contextualSpacing/>
        <w:rPr>
          <w:rFonts w:ascii="Calibri" w:eastAsia="Calibri" w:hAnsi="Calibri" w:cs="Times New Roman"/>
          <w:bCs/>
          <w:color w:val="000000"/>
          <w:szCs w:val="28"/>
        </w:rPr>
      </w:pPr>
    </w:p>
    <w:p w14:paraId="59D30C89" w14:textId="77777777" w:rsidR="00D859DC" w:rsidRDefault="00D859DC" w:rsidP="003B6EAD">
      <w:pPr>
        <w:pStyle w:val="ListParagraph"/>
        <w:numPr>
          <w:ilvl w:val="0"/>
          <w:numId w:val="4"/>
        </w:numPr>
        <w:spacing w:after="0" w:line="276" w:lineRule="auto"/>
        <w:rPr>
          <w:rFonts w:ascii="Calibri" w:eastAsia="Calibri" w:hAnsi="Calibri" w:cs="Times New Roman"/>
          <w:b/>
          <w:color w:val="000000"/>
          <w:szCs w:val="28"/>
        </w:rPr>
      </w:pPr>
      <w:r>
        <w:rPr>
          <w:rFonts w:ascii="Calibri" w:eastAsia="Calibri" w:hAnsi="Calibri" w:cs="Times New Roman"/>
          <w:b/>
          <w:color w:val="000000"/>
          <w:szCs w:val="28"/>
        </w:rPr>
        <w:t>What is</w:t>
      </w:r>
      <w:r w:rsidRPr="00553B2D">
        <w:rPr>
          <w:rFonts w:ascii="Calibri" w:eastAsia="Calibri" w:hAnsi="Calibri" w:cs="Times New Roman"/>
          <w:b/>
          <w:color w:val="000000"/>
          <w:szCs w:val="28"/>
        </w:rPr>
        <w:t xml:space="preserve"> the total number of CoP convenings the TA provider must provide?</w:t>
      </w:r>
    </w:p>
    <w:p w14:paraId="1094CF85" w14:textId="77777777" w:rsidR="00D859DC" w:rsidRPr="00553B2D" w:rsidRDefault="00D859DC" w:rsidP="00D859DC">
      <w:pPr>
        <w:pStyle w:val="ListParagraph"/>
        <w:spacing w:after="0" w:line="276" w:lineRule="auto"/>
        <w:rPr>
          <w:rFonts w:ascii="Calibri" w:eastAsia="Calibri" w:hAnsi="Calibri" w:cs="Times New Roman"/>
          <w:b/>
          <w:color w:val="000000"/>
          <w:szCs w:val="28"/>
        </w:rPr>
      </w:pPr>
    </w:p>
    <w:p w14:paraId="37E9DC70" w14:textId="77777777" w:rsidR="00D859DC" w:rsidRPr="00CD3DD7" w:rsidRDefault="00D859DC" w:rsidP="00D859DC">
      <w:pPr>
        <w:pStyle w:val="ListParagraph"/>
        <w:spacing w:after="0" w:line="240" w:lineRule="auto"/>
        <w:rPr>
          <w:rFonts w:ascii="Calibri" w:eastAsia="Calibri" w:hAnsi="Calibri" w:cs="Times New Roman"/>
          <w:bCs/>
          <w:color w:val="000000"/>
          <w:szCs w:val="28"/>
        </w:rPr>
      </w:pPr>
      <w:r>
        <w:rPr>
          <w:rFonts w:ascii="Calibri" w:eastAsia="Calibri" w:hAnsi="Calibri" w:cs="Times New Roman"/>
          <w:bCs/>
          <w:color w:val="000000"/>
          <w:szCs w:val="28"/>
        </w:rPr>
        <w:t>The selected technical assistance and developmental evaluation provider mus</w:t>
      </w:r>
      <w:r w:rsidRPr="00553B2D">
        <w:rPr>
          <w:rFonts w:ascii="Calibri" w:eastAsia="Calibri" w:hAnsi="Calibri" w:cs="Times New Roman"/>
          <w:bCs/>
          <w:color w:val="000000"/>
          <w:szCs w:val="28"/>
        </w:rPr>
        <w:t>t</w:t>
      </w:r>
      <w:r>
        <w:rPr>
          <w:rFonts w:ascii="Calibri" w:eastAsia="Calibri" w:hAnsi="Calibri" w:cs="Times New Roman"/>
          <w:bCs/>
          <w:color w:val="000000"/>
          <w:szCs w:val="28"/>
        </w:rPr>
        <w:t xml:space="preserve"> provide at</w:t>
      </w:r>
      <w:r w:rsidRPr="00553B2D">
        <w:rPr>
          <w:rFonts w:ascii="Calibri" w:eastAsia="Calibri" w:hAnsi="Calibri" w:cs="Times New Roman"/>
          <w:bCs/>
          <w:color w:val="000000"/>
          <w:szCs w:val="28"/>
        </w:rPr>
        <w:t xml:space="preserve"> least four convenings in a year, at least one</w:t>
      </w:r>
      <w:r>
        <w:rPr>
          <w:rFonts w:ascii="Calibri" w:eastAsia="Calibri" w:hAnsi="Calibri" w:cs="Times New Roman"/>
          <w:bCs/>
          <w:color w:val="000000"/>
          <w:szCs w:val="28"/>
        </w:rPr>
        <w:t xml:space="preserve"> convening</w:t>
      </w:r>
      <w:r w:rsidRPr="00553B2D">
        <w:rPr>
          <w:rFonts w:ascii="Calibri" w:eastAsia="Calibri" w:hAnsi="Calibri" w:cs="Times New Roman"/>
          <w:bCs/>
          <w:color w:val="000000"/>
          <w:szCs w:val="28"/>
        </w:rPr>
        <w:t xml:space="preserve"> each quarter of the year.</w:t>
      </w:r>
    </w:p>
    <w:p w14:paraId="21BA743B" w14:textId="77777777" w:rsidR="00D859DC" w:rsidRPr="00553B2D" w:rsidRDefault="00D859DC" w:rsidP="00D859DC">
      <w:pPr>
        <w:pStyle w:val="ListParagraph"/>
        <w:spacing w:line="240" w:lineRule="auto"/>
        <w:rPr>
          <w:rFonts w:ascii="Calibri" w:hAnsi="Calibri" w:cs="Calibri"/>
          <w:szCs w:val="24"/>
        </w:rPr>
      </w:pPr>
    </w:p>
    <w:p w14:paraId="0909B01D" w14:textId="77777777" w:rsidR="00D859DC" w:rsidRPr="00553B2D" w:rsidRDefault="00D859DC" w:rsidP="003B6EAD">
      <w:pPr>
        <w:pStyle w:val="ListParagraph"/>
        <w:numPr>
          <w:ilvl w:val="0"/>
          <w:numId w:val="4"/>
        </w:numPr>
        <w:spacing w:before="40" w:after="0" w:line="276" w:lineRule="auto"/>
        <w:rPr>
          <w:rFonts w:ascii="Calibri" w:hAnsi="Calibri" w:cs="Calibri"/>
          <w:szCs w:val="24"/>
        </w:rPr>
      </w:pPr>
      <w:r w:rsidRPr="00553B2D">
        <w:rPr>
          <w:rFonts w:ascii="Calibri" w:hAnsi="Calibri" w:cs="Calibri"/>
          <w:b/>
          <w:bCs/>
          <w:szCs w:val="24"/>
        </w:rPr>
        <w:t>Can you</w:t>
      </w:r>
      <w:r>
        <w:rPr>
          <w:rFonts w:ascii="Calibri" w:hAnsi="Calibri" w:cs="Calibri"/>
          <w:b/>
          <w:bCs/>
          <w:szCs w:val="24"/>
        </w:rPr>
        <w:t xml:space="preserve"> </w:t>
      </w:r>
      <w:r w:rsidRPr="00553B2D">
        <w:rPr>
          <w:rFonts w:ascii="Calibri" w:hAnsi="Calibri" w:cs="Calibri"/>
          <w:b/>
          <w:bCs/>
          <w:szCs w:val="24"/>
        </w:rPr>
        <w:t>provide an example of a similar project or program where funds were successfully braided/leveraged?</w:t>
      </w:r>
    </w:p>
    <w:p w14:paraId="53B5F03F" w14:textId="77777777" w:rsidR="00D859DC" w:rsidRPr="00553B2D" w:rsidRDefault="00D859DC" w:rsidP="00D859DC">
      <w:pPr>
        <w:pStyle w:val="ListParagraph"/>
        <w:spacing w:after="0" w:line="276" w:lineRule="auto"/>
        <w:rPr>
          <w:rFonts w:ascii="Calibri" w:hAnsi="Calibri" w:cs="Calibri"/>
          <w:szCs w:val="24"/>
        </w:rPr>
      </w:pPr>
    </w:p>
    <w:p w14:paraId="05CE8512" w14:textId="77777777" w:rsidR="00D859DC" w:rsidRDefault="00D859DC" w:rsidP="00D859DC">
      <w:pPr>
        <w:pStyle w:val="ListParagraph"/>
        <w:rPr>
          <w:rFonts w:ascii="Calibri" w:hAnsi="Calibri" w:cs="Calibri"/>
          <w:szCs w:val="24"/>
        </w:rPr>
      </w:pPr>
      <w:r w:rsidRPr="00553B2D">
        <w:rPr>
          <w:rFonts w:ascii="Calibri" w:hAnsi="Calibri" w:cs="Calibri"/>
          <w:szCs w:val="24"/>
        </w:rPr>
        <w:t>The term "leverage" is not defined in regulation or any related administrative requirements. For EDD-funded programs, the term refers to all resources the recipient uses to support grant activity and outcomes, regardless of whether those resources meet the matching standards. The</w:t>
      </w:r>
      <w:r>
        <w:rPr>
          <w:rFonts w:ascii="Calibri" w:hAnsi="Calibri" w:cs="Calibri"/>
          <w:szCs w:val="24"/>
        </w:rPr>
        <w:t xml:space="preserve"> </w:t>
      </w:r>
      <w:r w:rsidRPr="001175A8">
        <w:rPr>
          <w:rFonts w:ascii="Calibri" w:hAnsi="Calibri" w:cs="Calibri"/>
          <w:szCs w:val="24"/>
        </w:rPr>
        <w:t xml:space="preserve">Employment Program Technical Assistance Program Year 2025-26 (EPTA PY 25-26) </w:t>
      </w:r>
      <w:r>
        <w:rPr>
          <w:rFonts w:ascii="Calibri" w:hAnsi="Calibri" w:cs="Calibri"/>
          <w:szCs w:val="24"/>
        </w:rPr>
        <w:t>grant is unique and not similar to other grant initiatives</w:t>
      </w:r>
      <w:r w:rsidRPr="00553B2D">
        <w:rPr>
          <w:rFonts w:ascii="Calibri" w:hAnsi="Calibri" w:cs="Calibri"/>
          <w:szCs w:val="24"/>
        </w:rPr>
        <w:t>. Applicants are not required to demonstrate the ability to leverage resources from other sources to support the goals and objectives of the EPTA PY 25-26 grant.</w:t>
      </w:r>
    </w:p>
    <w:p w14:paraId="5ED3B165" w14:textId="77777777" w:rsidR="00D859DC" w:rsidRPr="00553B2D" w:rsidRDefault="00D859DC" w:rsidP="00D859DC">
      <w:pPr>
        <w:pStyle w:val="ListParagraph"/>
        <w:rPr>
          <w:rFonts w:ascii="Calibri" w:hAnsi="Calibri" w:cs="Calibri"/>
          <w:szCs w:val="24"/>
        </w:rPr>
      </w:pPr>
      <w:r w:rsidRPr="00553B2D">
        <w:rPr>
          <w:rFonts w:ascii="Calibri" w:hAnsi="Calibri" w:cs="Calibri"/>
          <w:szCs w:val="24"/>
        </w:rPr>
        <w:t xml:space="preserve">   </w:t>
      </w:r>
    </w:p>
    <w:p w14:paraId="0A7DC16B" w14:textId="7495DFD2" w:rsidR="004B121A" w:rsidRDefault="00D859DC" w:rsidP="003B6EAD">
      <w:pPr>
        <w:pStyle w:val="ListParagraph"/>
        <w:numPr>
          <w:ilvl w:val="0"/>
          <w:numId w:val="4"/>
        </w:numPr>
        <w:spacing w:before="40" w:after="0" w:line="276" w:lineRule="auto"/>
        <w:rPr>
          <w:rFonts w:ascii="Calibri" w:hAnsi="Calibri" w:cs="Calibri"/>
          <w:b/>
          <w:bCs/>
          <w:szCs w:val="24"/>
        </w:rPr>
      </w:pPr>
      <w:r w:rsidRPr="00553B2D">
        <w:rPr>
          <w:rFonts w:ascii="Calibri" w:hAnsi="Calibri" w:cs="Calibri"/>
          <w:b/>
          <w:bCs/>
          <w:szCs w:val="24"/>
        </w:rPr>
        <w:t xml:space="preserve">Are there any limitations on the type of funding that can be braided or leveraged for this project?  </w:t>
      </w:r>
    </w:p>
    <w:p w14:paraId="20B4AD25" w14:textId="77777777" w:rsidR="004B121A" w:rsidRPr="004B121A" w:rsidRDefault="004B121A" w:rsidP="004B121A">
      <w:pPr>
        <w:pStyle w:val="ListParagraph"/>
        <w:spacing w:before="40" w:after="0" w:line="276" w:lineRule="auto"/>
        <w:rPr>
          <w:rFonts w:ascii="Calibri" w:hAnsi="Calibri" w:cs="Calibri"/>
          <w:b/>
          <w:bCs/>
          <w:szCs w:val="24"/>
        </w:rPr>
      </w:pPr>
    </w:p>
    <w:p w14:paraId="283B6F9F" w14:textId="77777777" w:rsidR="00D859DC" w:rsidRDefault="00D859DC" w:rsidP="00D859DC">
      <w:pPr>
        <w:pStyle w:val="ListParagraph"/>
        <w:spacing w:after="0"/>
        <w:rPr>
          <w:rFonts w:ascii="Calibri" w:hAnsi="Calibri" w:cs="Calibri"/>
          <w:szCs w:val="24"/>
        </w:rPr>
      </w:pPr>
      <w:r w:rsidRPr="00553B2D">
        <w:rPr>
          <w:rFonts w:ascii="Calibri" w:hAnsi="Calibri" w:cs="Calibri"/>
          <w:szCs w:val="24"/>
        </w:rPr>
        <w:t xml:space="preserve">Leveraged resources can come from a variety of sources. Leveraged resources can include non-cash contributions or third-party in-kind contributions for the purposes of sharing in infrastructure costs. All leveraged resources will be subject to the reporting requirements contained in Workforce Services Directive WSD19-05 Subject: Monthly and Quarterly Financial </w:t>
      </w:r>
      <w:r w:rsidRPr="00553B2D">
        <w:rPr>
          <w:rFonts w:ascii="Calibri" w:hAnsi="Calibri" w:cs="Calibri"/>
          <w:szCs w:val="24"/>
        </w:rPr>
        <w:lastRenderedPageBreak/>
        <w:t>Reporting Requirements (December 4, 2019) and Title 2 Code of Federal Regulations (CFR) Part 200: Uniform Administrative Requirements, Cost Principles, and Audit Requirements for Federal Awards (Uniform Guidance), Section 200.306 Cost sharing or leveraging.</w:t>
      </w:r>
    </w:p>
    <w:p w14:paraId="0B35FC09" w14:textId="77777777" w:rsidR="00D859DC" w:rsidRDefault="00D859DC" w:rsidP="00D859DC">
      <w:pPr>
        <w:spacing w:after="0"/>
        <w:rPr>
          <w:rFonts w:ascii="Calibri" w:hAnsi="Calibri" w:cs="Calibri"/>
          <w:szCs w:val="24"/>
        </w:rPr>
      </w:pPr>
    </w:p>
    <w:p w14:paraId="31128D82" w14:textId="77777777" w:rsidR="00D859DC" w:rsidRPr="00A17B0D" w:rsidRDefault="00D859DC" w:rsidP="003B6EAD">
      <w:pPr>
        <w:pStyle w:val="ListParagraph"/>
        <w:numPr>
          <w:ilvl w:val="0"/>
          <w:numId w:val="4"/>
        </w:numPr>
        <w:spacing w:before="40" w:after="0"/>
        <w:rPr>
          <w:rFonts w:ascii="Calibri" w:hAnsi="Calibri" w:cs="Calibri"/>
          <w:b/>
          <w:bCs/>
          <w:szCs w:val="24"/>
        </w:rPr>
      </w:pPr>
      <w:r w:rsidRPr="00A17B0D">
        <w:rPr>
          <w:rFonts w:ascii="Calibri" w:hAnsi="Calibri" w:cs="Calibri"/>
          <w:b/>
          <w:bCs/>
          <w:szCs w:val="24"/>
        </w:rPr>
        <w:t xml:space="preserve">Could you please clarify if the </w:t>
      </w:r>
      <w:r>
        <w:rPr>
          <w:rFonts w:ascii="Calibri" w:hAnsi="Calibri" w:cs="Calibri"/>
          <w:b/>
          <w:bCs/>
          <w:szCs w:val="24"/>
        </w:rPr>
        <w:t>c</w:t>
      </w:r>
      <w:r w:rsidRPr="00A17B0D">
        <w:rPr>
          <w:rFonts w:ascii="Calibri" w:hAnsi="Calibri" w:cs="Calibri"/>
          <w:b/>
          <w:bCs/>
          <w:szCs w:val="24"/>
        </w:rPr>
        <w:t xml:space="preserve">ommunity of </w:t>
      </w:r>
      <w:r>
        <w:rPr>
          <w:rFonts w:ascii="Calibri" w:hAnsi="Calibri" w:cs="Calibri"/>
          <w:b/>
          <w:bCs/>
          <w:szCs w:val="24"/>
        </w:rPr>
        <w:t>p</w:t>
      </w:r>
      <w:r w:rsidRPr="00A17B0D">
        <w:rPr>
          <w:rFonts w:ascii="Calibri" w:hAnsi="Calibri" w:cs="Calibri"/>
          <w:b/>
          <w:bCs/>
          <w:szCs w:val="24"/>
        </w:rPr>
        <w:t>ractice for the TA providers should be fully virtual?</w:t>
      </w:r>
      <w:r>
        <w:rPr>
          <w:rFonts w:ascii="Calibri" w:hAnsi="Calibri" w:cs="Calibri"/>
          <w:b/>
          <w:bCs/>
          <w:szCs w:val="24"/>
        </w:rPr>
        <w:t xml:space="preserve"> </w:t>
      </w:r>
      <w:r w:rsidRPr="00A17B0D">
        <w:rPr>
          <w:rFonts w:ascii="Calibri" w:hAnsi="Calibri" w:cs="Calibri"/>
          <w:b/>
          <w:bCs/>
          <w:szCs w:val="24"/>
        </w:rPr>
        <w:t>If an in-person convening is an option, would the TA providers already have a travel budget to attend</w:t>
      </w:r>
      <w:r>
        <w:rPr>
          <w:rFonts w:ascii="Calibri" w:hAnsi="Calibri" w:cs="Calibri"/>
          <w:b/>
          <w:bCs/>
          <w:szCs w:val="24"/>
        </w:rPr>
        <w:t>,</w:t>
      </w:r>
      <w:r w:rsidRPr="00A17B0D">
        <w:rPr>
          <w:rFonts w:ascii="Calibri" w:hAnsi="Calibri" w:cs="Calibri"/>
          <w:b/>
          <w:bCs/>
          <w:szCs w:val="24"/>
        </w:rPr>
        <w:t xml:space="preserve"> or would those costs be estimated in the TADE provider’s proposed budget?</w:t>
      </w:r>
    </w:p>
    <w:p w14:paraId="2FCB7C75" w14:textId="77777777" w:rsidR="00D859DC" w:rsidRDefault="00D859DC" w:rsidP="00D859DC">
      <w:pPr>
        <w:pStyle w:val="ListParagraph"/>
        <w:spacing w:after="0"/>
        <w:rPr>
          <w:rFonts w:ascii="Calibri" w:hAnsi="Calibri" w:cs="Calibri"/>
          <w:szCs w:val="24"/>
        </w:rPr>
      </w:pPr>
    </w:p>
    <w:p w14:paraId="2C72723E" w14:textId="77777777" w:rsidR="00D859DC" w:rsidRPr="00132801" w:rsidRDefault="00D859DC" w:rsidP="00D859DC">
      <w:pPr>
        <w:pStyle w:val="ListParagraph"/>
        <w:spacing w:after="0"/>
        <w:rPr>
          <w:rFonts w:ascii="Calibri" w:hAnsi="Calibri" w:cs="Calibri"/>
          <w:szCs w:val="24"/>
        </w:rPr>
      </w:pPr>
      <w:r w:rsidRPr="00A17B0D">
        <w:rPr>
          <w:rFonts w:ascii="Calibri" w:hAnsi="Calibri" w:cs="Calibri"/>
          <w:szCs w:val="24"/>
        </w:rPr>
        <w:t xml:space="preserve">The grant awardee is expected to facilitate quarterly convenings, which may be held virtually or in-person, as determined by the awardee. Depending on the project expectations outlined by the organization, please include a budget for </w:t>
      </w:r>
      <w:r>
        <w:rPr>
          <w:rFonts w:ascii="Calibri" w:hAnsi="Calibri" w:cs="Calibri"/>
          <w:szCs w:val="24"/>
        </w:rPr>
        <w:t>such</w:t>
      </w:r>
      <w:r w:rsidRPr="00A17B0D">
        <w:rPr>
          <w:rFonts w:ascii="Calibri" w:hAnsi="Calibri" w:cs="Calibri"/>
          <w:szCs w:val="24"/>
        </w:rPr>
        <w:t xml:space="preserve"> events using Exhibit F and Exhibit F2.</w:t>
      </w:r>
    </w:p>
    <w:p w14:paraId="3D9570EB" w14:textId="77777777" w:rsidR="00D859DC" w:rsidRPr="00A17B0D" w:rsidRDefault="00D859DC" w:rsidP="00D859DC">
      <w:pPr>
        <w:pStyle w:val="ListParagraph"/>
        <w:spacing w:after="0"/>
        <w:rPr>
          <w:rFonts w:ascii="Calibri" w:hAnsi="Calibri" w:cs="Calibri"/>
          <w:b/>
          <w:bCs/>
          <w:szCs w:val="24"/>
        </w:rPr>
      </w:pPr>
    </w:p>
    <w:p w14:paraId="2919AA49" w14:textId="77777777" w:rsidR="00D859DC" w:rsidRPr="00132801" w:rsidRDefault="00D859DC" w:rsidP="003B6EAD">
      <w:pPr>
        <w:pStyle w:val="ListParagraph"/>
        <w:numPr>
          <w:ilvl w:val="0"/>
          <w:numId w:val="4"/>
        </w:numPr>
        <w:spacing w:after="240" w:line="240" w:lineRule="auto"/>
        <w:rPr>
          <w:rFonts w:ascii="Calibri" w:eastAsia="Calibri" w:hAnsi="Calibri" w:cs="Times New Roman"/>
          <w:bCs/>
          <w:color w:val="000000"/>
          <w:szCs w:val="28"/>
        </w:rPr>
      </w:pPr>
      <w:r w:rsidRPr="00132801">
        <w:rPr>
          <w:rFonts w:ascii="Calibri" w:eastAsia="Calibri" w:hAnsi="Calibri" w:cs="Times New Roman"/>
          <w:b/>
          <w:color w:val="000000"/>
          <w:szCs w:val="28"/>
        </w:rPr>
        <w:t xml:space="preserve">Please clarify if an applicant can attach “letters of support” (separate from the partnership letters and commitment of resources letters)?  And if so, would these also be one continuous PDF document? </w:t>
      </w:r>
    </w:p>
    <w:p w14:paraId="58A66DDD" w14:textId="77777777" w:rsidR="00D859DC" w:rsidRPr="000458F1" w:rsidRDefault="00D859DC" w:rsidP="00D859DC">
      <w:pPr>
        <w:pStyle w:val="ListParagraph"/>
        <w:spacing w:line="240" w:lineRule="auto"/>
        <w:ind w:left="360"/>
        <w:rPr>
          <w:rFonts w:ascii="Calibri" w:eastAsia="Calibri" w:hAnsi="Calibri" w:cs="Times New Roman"/>
          <w:bCs/>
          <w:color w:val="000000"/>
          <w:szCs w:val="28"/>
        </w:rPr>
      </w:pPr>
      <w:r w:rsidRPr="000458F1">
        <w:rPr>
          <w:rFonts w:ascii="Calibri" w:eastAsia="Calibri" w:hAnsi="Calibri" w:cs="Times New Roman"/>
          <w:b/>
          <w:color w:val="000000"/>
          <w:szCs w:val="28"/>
        </w:rPr>
        <w:t xml:space="preserve">   </w:t>
      </w:r>
    </w:p>
    <w:p w14:paraId="03D18BBC" w14:textId="5C705F49" w:rsidR="00D859DC" w:rsidRDefault="00D859DC" w:rsidP="00806961">
      <w:pPr>
        <w:pStyle w:val="ListParagraph"/>
        <w:spacing w:line="240" w:lineRule="auto"/>
        <w:rPr>
          <w:rFonts w:ascii="Calibri" w:eastAsia="Calibri" w:hAnsi="Calibri" w:cs="Times New Roman"/>
          <w:bCs/>
          <w:color w:val="000000"/>
          <w:szCs w:val="28"/>
        </w:rPr>
      </w:pPr>
      <w:r>
        <w:rPr>
          <w:rFonts w:ascii="Calibri" w:eastAsia="Calibri" w:hAnsi="Calibri" w:cs="Times New Roman"/>
          <w:bCs/>
          <w:color w:val="000000"/>
          <w:szCs w:val="28"/>
        </w:rPr>
        <w:t xml:space="preserve"> </w:t>
      </w:r>
      <w:r w:rsidRPr="000458F1">
        <w:rPr>
          <w:rFonts w:ascii="Calibri" w:eastAsia="Calibri" w:hAnsi="Calibri" w:cs="Times New Roman"/>
          <w:bCs/>
          <w:color w:val="000000"/>
          <w:szCs w:val="28"/>
        </w:rPr>
        <w:t xml:space="preserve">Yes, applicants can </w:t>
      </w:r>
      <w:r>
        <w:rPr>
          <w:rFonts w:ascii="Calibri" w:eastAsia="Calibri" w:hAnsi="Calibri" w:cs="Times New Roman"/>
          <w:bCs/>
          <w:color w:val="000000"/>
          <w:szCs w:val="28"/>
        </w:rPr>
        <w:t>include</w:t>
      </w:r>
      <w:r w:rsidRPr="000458F1">
        <w:rPr>
          <w:rFonts w:ascii="Calibri" w:eastAsia="Calibri" w:hAnsi="Calibri" w:cs="Times New Roman"/>
          <w:bCs/>
          <w:color w:val="000000"/>
          <w:szCs w:val="28"/>
        </w:rPr>
        <w:t xml:space="preserve"> Letters of Support as one continuous PDF document</w:t>
      </w:r>
      <w:r>
        <w:rPr>
          <w:rFonts w:ascii="Calibri" w:eastAsia="Calibri" w:hAnsi="Calibri" w:cs="Times New Roman"/>
          <w:bCs/>
          <w:color w:val="000000"/>
          <w:szCs w:val="28"/>
        </w:rPr>
        <w:t xml:space="preserve"> in their proposal application package</w:t>
      </w:r>
      <w:r w:rsidRPr="000458F1">
        <w:rPr>
          <w:rFonts w:ascii="Calibri" w:eastAsia="Calibri" w:hAnsi="Calibri" w:cs="Times New Roman"/>
          <w:bCs/>
          <w:color w:val="000000"/>
          <w:szCs w:val="28"/>
        </w:rPr>
        <w:t>.</w:t>
      </w:r>
    </w:p>
    <w:p w14:paraId="18EA539C" w14:textId="77777777" w:rsidR="00D859DC" w:rsidRDefault="00D859DC" w:rsidP="00D859DC">
      <w:pPr>
        <w:pStyle w:val="ListParagraph"/>
        <w:spacing w:line="240" w:lineRule="auto"/>
        <w:ind w:left="360"/>
        <w:rPr>
          <w:rFonts w:ascii="Calibri" w:eastAsia="Calibri" w:hAnsi="Calibri" w:cs="Times New Roman"/>
          <w:bCs/>
          <w:color w:val="000000"/>
          <w:szCs w:val="28"/>
        </w:rPr>
      </w:pPr>
    </w:p>
    <w:p w14:paraId="709656DE" w14:textId="77777777" w:rsidR="00D859DC" w:rsidRPr="00BA1FEF"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BA1FEF">
        <w:rPr>
          <w:rFonts w:ascii="Calibri" w:eastAsia="Calibri" w:hAnsi="Calibri" w:cs="Times New Roman"/>
          <w:b/>
          <w:color w:val="000000"/>
          <w:szCs w:val="28"/>
        </w:rPr>
        <w:t>For the facilitation of a COP to TA providers, will the EDD provide funding to the TA providers to support participation and/or to travel to in-person CoPs?</w:t>
      </w:r>
    </w:p>
    <w:p w14:paraId="34B031F0" w14:textId="77777777" w:rsidR="00BA1FEF" w:rsidRDefault="00BA1FEF" w:rsidP="00BA1FEF">
      <w:pPr>
        <w:pStyle w:val="ListParagraph"/>
        <w:spacing w:after="240" w:line="240" w:lineRule="auto"/>
        <w:rPr>
          <w:rFonts w:ascii="Calibri" w:eastAsia="Calibri" w:hAnsi="Calibri" w:cs="Times New Roman"/>
          <w:bCs/>
          <w:color w:val="000000"/>
          <w:szCs w:val="28"/>
        </w:rPr>
      </w:pPr>
    </w:p>
    <w:p w14:paraId="528F82A0" w14:textId="057B912B" w:rsidR="00D859DC" w:rsidRDefault="00BA1FEF" w:rsidP="00BA1FEF">
      <w:pPr>
        <w:pStyle w:val="ListParagraph"/>
        <w:spacing w:after="240" w:line="240" w:lineRule="auto"/>
        <w:rPr>
          <w:rFonts w:ascii="Calibri" w:eastAsia="Calibri" w:hAnsi="Calibri" w:cs="Times New Roman"/>
          <w:bCs/>
          <w:color w:val="000000"/>
          <w:szCs w:val="28"/>
        </w:rPr>
      </w:pPr>
      <w:r w:rsidRPr="00BA1FEF">
        <w:rPr>
          <w:rFonts w:ascii="Calibri" w:eastAsia="Calibri" w:hAnsi="Calibri" w:cs="Times New Roman"/>
          <w:bCs/>
          <w:color w:val="000000"/>
          <w:szCs w:val="28"/>
        </w:rPr>
        <w:t xml:space="preserve">Current TA providers have funding set-aside for </w:t>
      </w:r>
      <w:r w:rsidR="005C10E8" w:rsidRPr="00BA1FEF">
        <w:rPr>
          <w:rFonts w:ascii="Calibri" w:eastAsia="Calibri" w:hAnsi="Calibri" w:cs="Times New Roman"/>
          <w:bCs/>
          <w:color w:val="000000"/>
          <w:szCs w:val="28"/>
        </w:rPr>
        <w:t>travel;</w:t>
      </w:r>
      <w:r w:rsidRPr="00BA1FEF">
        <w:rPr>
          <w:rFonts w:ascii="Calibri" w:eastAsia="Calibri" w:hAnsi="Calibri" w:cs="Times New Roman"/>
          <w:bCs/>
          <w:color w:val="000000"/>
          <w:szCs w:val="28"/>
        </w:rPr>
        <w:t xml:space="preserve"> however, not all COPs should be in person.</w:t>
      </w:r>
    </w:p>
    <w:p w14:paraId="70C5107A" w14:textId="77777777" w:rsidR="00BA1FEF" w:rsidRPr="00BA1FEF" w:rsidRDefault="00BA1FEF" w:rsidP="00BA1FEF">
      <w:pPr>
        <w:pStyle w:val="ListParagraph"/>
        <w:spacing w:after="240" w:line="240" w:lineRule="auto"/>
        <w:rPr>
          <w:rFonts w:ascii="Calibri" w:eastAsia="Calibri" w:hAnsi="Calibri" w:cs="Times New Roman"/>
          <w:bCs/>
          <w:color w:val="000000"/>
          <w:szCs w:val="28"/>
        </w:rPr>
      </w:pPr>
    </w:p>
    <w:p w14:paraId="66931741" w14:textId="77777777" w:rsidR="00D859DC" w:rsidRPr="00BA1FEF"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BA1FEF">
        <w:rPr>
          <w:rFonts w:ascii="Calibri" w:eastAsia="Calibri" w:hAnsi="Calibri" w:cs="Times New Roman"/>
          <w:b/>
          <w:color w:val="000000"/>
          <w:szCs w:val="28"/>
        </w:rPr>
        <w:t>Can the EDD clarify how many performance quarters the TA provider should scope for planning, reporting, and evaluation purposes?</w:t>
      </w:r>
    </w:p>
    <w:p w14:paraId="1D3731C5" w14:textId="77777777" w:rsidR="00BA1FEF" w:rsidRDefault="00BA1FEF" w:rsidP="00BA1FEF">
      <w:pPr>
        <w:pStyle w:val="ListParagraph"/>
        <w:spacing w:after="240" w:line="240" w:lineRule="auto"/>
        <w:rPr>
          <w:rFonts w:ascii="Calibri" w:eastAsia="Calibri" w:hAnsi="Calibri" w:cs="Times New Roman"/>
          <w:bCs/>
          <w:color w:val="000000"/>
          <w:szCs w:val="28"/>
        </w:rPr>
      </w:pPr>
    </w:p>
    <w:p w14:paraId="2D652F21" w14:textId="4B7CAFF1" w:rsidR="00BA1FEF" w:rsidRDefault="00806961" w:rsidP="00BA1FEF">
      <w:pPr>
        <w:pStyle w:val="ListParagraph"/>
        <w:spacing w:after="240" w:line="240" w:lineRule="auto"/>
        <w:rPr>
          <w:rFonts w:ascii="Calibri" w:eastAsia="Calibri" w:hAnsi="Calibri" w:cs="Times New Roman"/>
          <w:bCs/>
          <w:color w:val="000000"/>
          <w:szCs w:val="28"/>
        </w:rPr>
      </w:pPr>
      <w:r w:rsidRPr="00806961">
        <w:rPr>
          <w:rFonts w:ascii="Calibri" w:eastAsia="Calibri" w:hAnsi="Calibri" w:cs="Times New Roman"/>
          <w:bCs/>
          <w:color w:val="000000"/>
          <w:szCs w:val="28"/>
        </w:rPr>
        <w:t>The grantee should expect to have approximately 6–7 quarters, depending on the TADE workplan.</w:t>
      </w:r>
    </w:p>
    <w:p w14:paraId="2251DF64" w14:textId="77777777" w:rsidR="00806961" w:rsidRDefault="00806961" w:rsidP="00BA1FEF">
      <w:pPr>
        <w:pStyle w:val="ListParagraph"/>
        <w:spacing w:after="240" w:line="240" w:lineRule="auto"/>
        <w:rPr>
          <w:rFonts w:ascii="Calibri" w:eastAsia="Calibri" w:hAnsi="Calibri" w:cs="Times New Roman"/>
          <w:b/>
          <w:color w:val="000000"/>
          <w:szCs w:val="28"/>
        </w:rPr>
      </w:pPr>
    </w:p>
    <w:p w14:paraId="18FE2941"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Can EDD clarify whether the developmental evaluation is expected to include assessment of outcomes related to the effectiveness of the Cross-Program CoP for TA providers, in addition to outcomes for ETPP grantees?</w:t>
      </w:r>
    </w:p>
    <w:p w14:paraId="69815291" w14:textId="77777777" w:rsidR="00D859DC" w:rsidRPr="0039263D" w:rsidRDefault="00D859DC" w:rsidP="00D859DC">
      <w:pPr>
        <w:spacing w:line="240" w:lineRule="auto"/>
        <w:ind w:left="720"/>
        <w:rPr>
          <w:rFonts w:ascii="Calibri" w:eastAsia="Calibri" w:hAnsi="Calibri" w:cs="Times New Roman"/>
          <w:bCs/>
          <w:color w:val="000000"/>
          <w:szCs w:val="28"/>
        </w:rPr>
      </w:pPr>
      <w:r w:rsidRPr="0039263D">
        <w:rPr>
          <w:rFonts w:ascii="Calibri" w:eastAsia="Calibri" w:hAnsi="Calibri" w:cs="Times New Roman"/>
          <w:bCs/>
          <w:color w:val="000000"/>
          <w:szCs w:val="28"/>
        </w:rPr>
        <w:t>The project design integrates developmental evaluation</w:t>
      </w:r>
      <w:r>
        <w:rPr>
          <w:rFonts w:ascii="Calibri" w:eastAsia="Calibri" w:hAnsi="Calibri" w:cs="Times New Roman"/>
          <w:bCs/>
          <w:color w:val="000000"/>
          <w:szCs w:val="28"/>
        </w:rPr>
        <w:t xml:space="preserve"> </w:t>
      </w:r>
      <w:r w:rsidRPr="0039263D">
        <w:rPr>
          <w:rFonts w:ascii="Calibri" w:eastAsia="Calibri" w:hAnsi="Calibri" w:cs="Times New Roman"/>
          <w:bCs/>
          <w:color w:val="000000"/>
          <w:szCs w:val="28"/>
        </w:rPr>
        <w:t xml:space="preserve">to strengthen the effectiveness and impact of </w:t>
      </w:r>
      <w:r>
        <w:rPr>
          <w:rFonts w:ascii="Calibri" w:eastAsia="Calibri" w:hAnsi="Calibri" w:cs="Times New Roman"/>
          <w:bCs/>
          <w:color w:val="000000"/>
          <w:szCs w:val="28"/>
        </w:rPr>
        <w:t xml:space="preserve">PY 25-26 </w:t>
      </w:r>
      <w:r w:rsidRPr="0039263D">
        <w:rPr>
          <w:rFonts w:ascii="Calibri" w:eastAsia="Calibri" w:hAnsi="Calibri" w:cs="Times New Roman"/>
          <w:bCs/>
          <w:color w:val="000000"/>
          <w:szCs w:val="28"/>
        </w:rPr>
        <w:t>ETPP grantees and related workforce initiatives.</w:t>
      </w:r>
    </w:p>
    <w:p w14:paraId="2149681C"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Is EDD open to having one organization lead the TA portion of this contract and a different organization lead the research portion, or is the preference to contract with a single organization that will lead both TA and research?</w:t>
      </w:r>
    </w:p>
    <w:p w14:paraId="182BAF13" w14:textId="77777777" w:rsidR="00D859DC" w:rsidRPr="008D7273" w:rsidRDefault="00D859DC" w:rsidP="00D859DC">
      <w:pPr>
        <w:spacing w:line="240" w:lineRule="auto"/>
        <w:ind w:left="720"/>
        <w:rPr>
          <w:rFonts w:ascii="Calibri" w:eastAsia="Calibri" w:hAnsi="Calibri" w:cs="Times New Roman"/>
          <w:bCs/>
          <w:color w:val="000000"/>
          <w:szCs w:val="28"/>
        </w:rPr>
      </w:pPr>
      <w:r w:rsidRPr="008D7273">
        <w:rPr>
          <w:rFonts w:ascii="Calibri" w:eastAsia="Calibri" w:hAnsi="Calibri" w:cs="Times New Roman"/>
          <w:bCs/>
          <w:color w:val="000000"/>
          <w:szCs w:val="28"/>
        </w:rPr>
        <w:t xml:space="preserve">Applicants must have the capacity, relationships, and expertise to deliver </w:t>
      </w:r>
      <w:r>
        <w:rPr>
          <w:rFonts w:ascii="Calibri" w:eastAsia="Calibri" w:hAnsi="Calibri" w:cs="Times New Roman"/>
          <w:bCs/>
          <w:color w:val="000000"/>
          <w:szCs w:val="28"/>
        </w:rPr>
        <w:t>technical assistance and developmental evaluation (</w:t>
      </w:r>
      <w:r w:rsidRPr="008D7273">
        <w:rPr>
          <w:rFonts w:ascii="Calibri" w:eastAsia="Calibri" w:hAnsi="Calibri" w:cs="Times New Roman"/>
          <w:bCs/>
          <w:color w:val="000000"/>
          <w:szCs w:val="28"/>
        </w:rPr>
        <w:t>TADE</w:t>
      </w:r>
      <w:r>
        <w:rPr>
          <w:rFonts w:ascii="Calibri" w:eastAsia="Calibri" w:hAnsi="Calibri" w:cs="Times New Roman"/>
          <w:bCs/>
          <w:color w:val="000000"/>
          <w:szCs w:val="28"/>
        </w:rPr>
        <w:t>)</w:t>
      </w:r>
      <w:r w:rsidRPr="008D7273">
        <w:rPr>
          <w:rFonts w:ascii="Calibri" w:eastAsia="Calibri" w:hAnsi="Calibri" w:cs="Times New Roman"/>
          <w:bCs/>
          <w:color w:val="000000"/>
          <w:szCs w:val="28"/>
        </w:rPr>
        <w:t xml:space="preserve"> to PY 25-26 ETPP</w:t>
      </w:r>
      <w:r>
        <w:rPr>
          <w:rFonts w:ascii="Calibri" w:eastAsia="Calibri" w:hAnsi="Calibri" w:cs="Times New Roman"/>
          <w:bCs/>
          <w:color w:val="000000"/>
          <w:szCs w:val="28"/>
        </w:rPr>
        <w:t xml:space="preserve"> grant</w:t>
      </w:r>
      <w:r w:rsidRPr="008D7273">
        <w:rPr>
          <w:rFonts w:ascii="Calibri" w:eastAsia="Calibri" w:hAnsi="Calibri" w:cs="Times New Roman"/>
          <w:bCs/>
          <w:color w:val="000000"/>
          <w:szCs w:val="28"/>
        </w:rPr>
        <w:t xml:space="preserve">ees and coordinate </w:t>
      </w:r>
      <w:r>
        <w:rPr>
          <w:rFonts w:ascii="Calibri" w:eastAsia="Calibri" w:hAnsi="Calibri" w:cs="Times New Roman"/>
          <w:bCs/>
          <w:color w:val="000000"/>
          <w:szCs w:val="28"/>
        </w:rPr>
        <w:t>a community of practice (COP)</w:t>
      </w:r>
      <w:r w:rsidRPr="008D7273">
        <w:rPr>
          <w:rFonts w:ascii="Calibri" w:eastAsia="Calibri" w:hAnsi="Calibri" w:cs="Times New Roman"/>
          <w:bCs/>
          <w:color w:val="000000"/>
          <w:szCs w:val="28"/>
        </w:rPr>
        <w:t xml:space="preserve"> with other </w:t>
      </w:r>
      <w:r>
        <w:rPr>
          <w:rFonts w:ascii="Calibri" w:eastAsia="Calibri" w:hAnsi="Calibri" w:cs="Times New Roman"/>
          <w:bCs/>
          <w:color w:val="000000"/>
          <w:szCs w:val="28"/>
        </w:rPr>
        <w:t>technical assistance (</w:t>
      </w:r>
      <w:r w:rsidRPr="008D7273">
        <w:rPr>
          <w:rFonts w:ascii="Calibri" w:eastAsia="Calibri" w:hAnsi="Calibri" w:cs="Times New Roman"/>
          <w:bCs/>
          <w:color w:val="000000"/>
          <w:szCs w:val="28"/>
        </w:rPr>
        <w:t>TA</w:t>
      </w:r>
      <w:r>
        <w:rPr>
          <w:rFonts w:ascii="Calibri" w:eastAsia="Calibri" w:hAnsi="Calibri" w:cs="Times New Roman"/>
          <w:bCs/>
          <w:color w:val="000000"/>
          <w:szCs w:val="28"/>
        </w:rPr>
        <w:t>)</w:t>
      </w:r>
      <w:r w:rsidRPr="008D7273">
        <w:rPr>
          <w:rFonts w:ascii="Calibri" w:eastAsia="Calibri" w:hAnsi="Calibri" w:cs="Times New Roman"/>
          <w:bCs/>
          <w:color w:val="000000"/>
          <w:szCs w:val="28"/>
        </w:rPr>
        <w:t xml:space="preserve"> providers across the state.</w:t>
      </w:r>
    </w:p>
    <w:p w14:paraId="5EE82885"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lastRenderedPageBreak/>
        <w:t>Is th</w:t>
      </w:r>
      <w:r>
        <w:rPr>
          <w:rFonts w:ascii="Calibri" w:eastAsia="Calibri" w:hAnsi="Calibri" w:cs="Times New Roman"/>
          <w:b/>
          <w:color w:val="000000"/>
          <w:szCs w:val="28"/>
        </w:rPr>
        <w:t>e</w:t>
      </w:r>
      <w:r w:rsidRPr="00132801">
        <w:rPr>
          <w:rFonts w:ascii="Calibri" w:eastAsia="Calibri" w:hAnsi="Calibri" w:cs="Times New Roman"/>
          <w:b/>
          <w:color w:val="000000"/>
          <w:szCs w:val="28"/>
        </w:rPr>
        <w:t xml:space="preserve"> administrative cost limitation applicable </w:t>
      </w:r>
      <w:r>
        <w:rPr>
          <w:rFonts w:ascii="Calibri" w:eastAsia="Calibri" w:hAnsi="Calibri" w:cs="Times New Roman"/>
          <w:b/>
          <w:color w:val="000000"/>
          <w:szCs w:val="28"/>
        </w:rPr>
        <w:t>since</w:t>
      </w:r>
      <w:r w:rsidRPr="00132801">
        <w:rPr>
          <w:rFonts w:ascii="Calibri" w:eastAsia="Calibri" w:hAnsi="Calibri" w:cs="Times New Roman"/>
          <w:b/>
          <w:color w:val="000000"/>
          <w:szCs w:val="28"/>
        </w:rPr>
        <w:t xml:space="preserve"> the objectives of the RFP are not administrative in nature? </w:t>
      </w:r>
    </w:p>
    <w:p w14:paraId="048AD93C" w14:textId="5279680A" w:rsidR="00D859DC" w:rsidRPr="00496649" w:rsidRDefault="00D859DC" w:rsidP="00BA1FEF">
      <w:pPr>
        <w:spacing w:line="240" w:lineRule="auto"/>
        <w:ind w:left="720"/>
        <w:rPr>
          <w:rFonts w:ascii="Calibri" w:eastAsia="Calibri" w:hAnsi="Calibri" w:cs="Times New Roman"/>
          <w:bCs/>
          <w:color w:val="000000"/>
          <w:szCs w:val="28"/>
        </w:rPr>
      </w:pPr>
      <w:r w:rsidRPr="006F21A7">
        <w:rPr>
          <w:rFonts w:ascii="Calibri" w:eastAsia="Calibri" w:hAnsi="Calibri" w:cs="Times New Roman"/>
          <w:bCs/>
          <w:color w:val="000000"/>
          <w:szCs w:val="28"/>
        </w:rPr>
        <w:t>A maximum of 10 percent of the total requested grant amount will be allowed for administrative costs.</w:t>
      </w:r>
    </w:p>
    <w:p w14:paraId="5DBC96E8" w14:textId="77777777" w:rsidR="00D859DC" w:rsidRPr="00B62F8E"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B62F8E">
        <w:rPr>
          <w:rFonts w:ascii="Calibri" w:eastAsia="Calibri" w:hAnsi="Calibri" w:cs="Times New Roman"/>
          <w:b/>
          <w:color w:val="000000"/>
          <w:szCs w:val="28"/>
        </w:rPr>
        <w:t xml:space="preserve">What is the purpose of EDD’s formal approval before deliverables are considered final? </w:t>
      </w:r>
    </w:p>
    <w:p w14:paraId="3983B3EE" w14:textId="77777777" w:rsidR="00B62F8E" w:rsidRDefault="00B62F8E" w:rsidP="00B62F8E">
      <w:pPr>
        <w:pStyle w:val="ListParagraph"/>
        <w:spacing w:after="240" w:line="240" w:lineRule="auto"/>
        <w:rPr>
          <w:rFonts w:ascii="Calibri" w:eastAsia="Calibri" w:hAnsi="Calibri" w:cs="Times New Roman"/>
          <w:bCs/>
          <w:color w:val="000000"/>
          <w:szCs w:val="28"/>
        </w:rPr>
      </w:pPr>
    </w:p>
    <w:p w14:paraId="26F62065" w14:textId="0C9A80F7" w:rsidR="00D859DC" w:rsidRDefault="00B62F8E" w:rsidP="00B62F8E">
      <w:pPr>
        <w:pStyle w:val="ListParagraph"/>
        <w:spacing w:after="240" w:line="240" w:lineRule="auto"/>
        <w:rPr>
          <w:rFonts w:ascii="Calibri" w:eastAsia="Calibri" w:hAnsi="Calibri" w:cs="Times New Roman"/>
          <w:bCs/>
          <w:color w:val="000000"/>
          <w:szCs w:val="28"/>
        </w:rPr>
      </w:pPr>
      <w:r w:rsidRPr="00B62F8E">
        <w:rPr>
          <w:rFonts w:ascii="Calibri" w:eastAsia="Calibri" w:hAnsi="Calibri" w:cs="Times New Roman"/>
          <w:bCs/>
          <w:color w:val="000000"/>
          <w:szCs w:val="28"/>
        </w:rPr>
        <w:t>This provides an opportunity for EDD to review, provide feedback, and/or confirm that the deliverable submitted aligns with the requirements of the deliverable.</w:t>
      </w:r>
    </w:p>
    <w:p w14:paraId="5181B06B" w14:textId="77777777" w:rsidR="00B62F8E" w:rsidRPr="00B62F8E" w:rsidRDefault="00B62F8E" w:rsidP="00B62F8E">
      <w:pPr>
        <w:pStyle w:val="ListParagraph"/>
        <w:spacing w:after="240" w:line="240" w:lineRule="auto"/>
        <w:rPr>
          <w:rFonts w:ascii="Calibri" w:eastAsia="Calibri" w:hAnsi="Calibri" w:cs="Times New Roman"/>
          <w:bCs/>
          <w:color w:val="000000"/>
          <w:szCs w:val="28"/>
        </w:rPr>
      </w:pPr>
    </w:p>
    <w:p w14:paraId="4B457B90"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Who will receive the TA - the ETPP grantees, their participants, or both?</w:t>
      </w:r>
    </w:p>
    <w:p w14:paraId="43A217FB" w14:textId="1F8810B5" w:rsidR="00D859DC" w:rsidRPr="00F63FA9" w:rsidRDefault="00D859DC" w:rsidP="00FA7F5D">
      <w:pPr>
        <w:spacing w:line="240" w:lineRule="auto"/>
        <w:ind w:left="720"/>
        <w:rPr>
          <w:rFonts w:ascii="Calibri" w:eastAsia="Calibri" w:hAnsi="Calibri" w:cs="Times New Roman"/>
          <w:bCs/>
          <w:color w:val="000000"/>
          <w:szCs w:val="28"/>
        </w:rPr>
      </w:pPr>
      <w:r w:rsidRPr="00F63FA9">
        <w:rPr>
          <w:rFonts w:ascii="Calibri" w:eastAsia="Calibri" w:hAnsi="Calibri" w:cs="Times New Roman"/>
          <w:bCs/>
          <w:color w:val="000000"/>
          <w:szCs w:val="28"/>
        </w:rPr>
        <w:t xml:space="preserve">Technical assistance (TA) </w:t>
      </w:r>
      <w:r>
        <w:rPr>
          <w:rFonts w:ascii="Calibri" w:eastAsia="Calibri" w:hAnsi="Calibri" w:cs="Times New Roman"/>
          <w:bCs/>
          <w:color w:val="000000"/>
          <w:szCs w:val="28"/>
        </w:rPr>
        <w:t xml:space="preserve">will be provided </w:t>
      </w:r>
      <w:r w:rsidRPr="00F63FA9">
        <w:rPr>
          <w:rFonts w:ascii="Calibri" w:eastAsia="Calibri" w:hAnsi="Calibri" w:cs="Times New Roman"/>
          <w:bCs/>
          <w:color w:val="000000"/>
          <w:szCs w:val="28"/>
        </w:rPr>
        <w:t xml:space="preserve">to </w:t>
      </w:r>
      <w:r>
        <w:rPr>
          <w:rFonts w:ascii="Calibri" w:eastAsia="Calibri" w:hAnsi="Calibri" w:cs="Times New Roman"/>
          <w:bCs/>
          <w:color w:val="000000"/>
          <w:szCs w:val="28"/>
        </w:rPr>
        <w:t>grant</w:t>
      </w:r>
      <w:r w:rsidRPr="00F63FA9">
        <w:rPr>
          <w:rFonts w:ascii="Calibri" w:eastAsia="Calibri" w:hAnsi="Calibri" w:cs="Times New Roman"/>
          <w:bCs/>
          <w:color w:val="000000"/>
          <w:szCs w:val="28"/>
        </w:rPr>
        <w:t>ees of the PY 25-26 Employment and Training Pathways Program (ETPP)</w:t>
      </w:r>
      <w:r>
        <w:rPr>
          <w:rFonts w:ascii="Calibri" w:eastAsia="Calibri" w:hAnsi="Calibri" w:cs="Times New Roman"/>
          <w:bCs/>
          <w:color w:val="000000"/>
          <w:szCs w:val="28"/>
        </w:rPr>
        <w:t xml:space="preserve"> </w:t>
      </w:r>
      <w:r w:rsidRPr="00F63FA9">
        <w:rPr>
          <w:rFonts w:ascii="Calibri" w:eastAsia="Calibri" w:hAnsi="Calibri" w:cs="Times New Roman"/>
          <w:bCs/>
          <w:color w:val="000000"/>
          <w:szCs w:val="28"/>
        </w:rPr>
        <w:t>grants.</w:t>
      </w:r>
    </w:p>
    <w:p w14:paraId="3C7EDBC4"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Is it expected that</w:t>
      </w:r>
      <w:r>
        <w:rPr>
          <w:rFonts w:ascii="Calibri" w:eastAsia="Calibri" w:hAnsi="Calibri" w:cs="Times New Roman"/>
          <w:b/>
          <w:color w:val="000000"/>
          <w:szCs w:val="28"/>
        </w:rPr>
        <w:t xml:space="preserve"> the</w:t>
      </w:r>
      <w:r w:rsidRPr="00132801">
        <w:rPr>
          <w:rFonts w:ascii="Calibri" w:eastAsia="Calibri" w:hAnsi="Calibri" w:cs="Times New Roman"/>
          <w:b/>
          <w:color w:val="000000"/>
          <w:szCs w:val="28"/>
        </w:rPr>
        <w:t xml:space="preserve"> TA will focus on workforce-related topics, data-related topics, both areas, or other </w:t>
      </w:r>
      <w:r>
        <w:rPr>
          <w:rFonts w:ascii="Calibri" w:eastAsia="Calibri" w:hAnsi="Calibri" w:cs="Times New Roman"/>
          <w:b/>
          <w:color w:val="000000"/>
          <w:szCs w:val="28"/>
        </w:rPr>
        <w:t>topics</w:t>
      </w:r>
      <w:r w:rsidRPr="00132801">
        <w:rPr>
          <w:rFonts w:ascii="Calibri" w:eastAsia="Calibri" w:hAnsi="Calibri" w:cs="Times New Roman"/>
          <w:b/>
          <w:color w:val="000000"/>
          <w:szCs w:val="28"/>
        </w:rPr>
        <w:t>?</w:t>
      </w:r>
    </w:p>
    <w:p w14:paraId="69C1B109" w14:textId="77777777" w:rsidR="00D859DC" w:rsidRPr="00021922" w:rsidRDefault="00D859DC" w:rsidP="00D859DC">
      <w:pPr>
        <w:spacing w:line="240" w:lineRule="auto"/>
        <w:ind w:left="720"/>
        <w:rPr>
          <w:rFonts w:ascii="Calibri" w:eastAsia="Calibri" w:hAnsi="Calibri" w:cs="Times New Roman"/>
          <w:bCs/>
          <w:color w:val="000000"/>
          <w:szCs w:val="28"/>
        </w:rPr>
      </w:pPr>
      <w:r w:rsidRPr="00021922">
        <w:rPr>
          <w:rFonts w:ascii="Calibri" w:eastAsia="Calibri" w:hAnsi="Calibri" w:cs="Times New Roman"/>
          <w:bCs/>
          <w:color w:val="000000"/>
          <w:szCs w:val="28"/>
        </w:rPr>
        <w:t>The</w:t>
      </w:r>
      <w:r>
        <w:rPr>
          <w:rFonts w:ascii="Calibri" w:eastAsia="Calibri" w:hAnsi="Calibri" w:cs="Times New Roman"/>
          <w:bCs/>
          <w:color w:val="000000"/>
          <w:szCs w:val="28"/>
        </w:rPr>
        <w:t xml:space="preserve"> selected</w:t>
      </w:r>
      <w:r w:rsidRPr="00021922">
        <w:rPr>
          <w:rFonts w:ascii="Calibri" w:eastAsia="Calibri" w:hAnsi="Calibri" w:cs="Times New Roman"/>
          <w:bCs/>
          <w:color w:val="000000"/>
          <w:szCs w:val="28"/>
        </w:rPr>
        <w:t xml:space="preserve"> </w:t>
      </w:r>
      <w:r>
        <w:rPr>
          <w:rFonts w:ascii="Calibri" w:eastAsia="Calibri" w:hAnsi="Calibri" w:cs="Times New Roman"/>
          <w:bCs/>
          <w:color w:val="000000"/>
          <w:szCs w:val="28"/>
        </w:rPr>
        <w:t>technical assistance and developmental evaluation (TADE)</w:t>
      </w:r>
      <w:r w:rsidRPr="00021922">
        <w:rPr>
          <w:rFonts w:ascii="Calibri" w:eastAsia="Calibri" w:hAnsi="Calibri" w:cs="Times New Roman"/>
          <w:bCs/>
          <w:color w:val="000000"/>
          <w:szCs w:val="28"/>
        </w:rPr>
        <w:t xml:space="preserve"> provider will deliver customized technical assistance that is informed by grantee needs and grounded in inclusive, participant-centered practices.</w:t>
      </w:r>
      <w:r>
        <w:rPr>
          <w:rFonts w:ascii="Calibri" w:eastAsia="Calibri" w:hAnsi="Calibri" w:cs="Times New Roman"/>
          <w:bCs/>
          <w:color w:val="000000"/>
          <w:szCs w:val="28"/>
        </w:rPr>
        <w:t xml:space="preserve"> </w:t>
      </w:r>
      <w:r w:rsidRPr="00021922">
        <w:rPr>
          <w:rFonts w:ascii="Calibri" w:eastAsia="Calibri" w:hAnsi="Calibri" w:cs="Times New Roman"/>
          <w:bCs/>
          <w:color w:val="000000"/>
          <w:szCs w:val="28"/>
        </w:rPr>
        <w:t>Key elements include</w:t>
      </w:r>
      <w:r>
        <w:rPr>
          <w:rFonts w:ascii="Calibri" w:eastAsia="Calibri" w:hAnsi="Calibri" w:cs="Times New Roman"/>
          <w:bCs/>
          <w:color w:val="000000"/>
          <w:szCs w:val="28"/>
        </w:rPr>
        <w:t xml:space="preserve"> conducting </w:t>
      </w:r>
      <w:r w:rsidRPr="00021922">
        <w:rPr>
          <w:rFonts w:ascii="Calibri" w:eastAsia="Calibri" w:hAnsi="Calibri" w:cs="Times New Roman"/>
          <w:bCs/>
          <w:color w:val="000000"/>
          <w:szCs w:val="28"/>
        </w:rPr>
        <w:t>TA needs assessments and offering tailored support</w:t>
      </w:r>
      <w:r>
        <w:rPr>
          <w:rFonts w:ascii="Calibri" w:eastAsia="Calibri" w:hAnsi="Calibri" w:cs="Times New Roman"/>
          <w:bCs/>
          <w:color w:val="000000"/>
          <w:szCs w:val="28"/>
        </w:rPr>
        <w:t xml:space="preserve">, facilitating </w:t>
      </w:r>
      <w:r w:rsidRPr="00021922">
        <w:rPr>
          <w:rFonts w:ascii="Calibri" w:eastAsia="Calibri" w:hAnsi="Calibri" w:cs="Times New Roman"/>
          <w:bCs/>
          <w:color w:val="000000"/>
          <w:szCs w:val="28"/>
        </w:rPr>
        <w:t>training sessions on emerging topics identified through evaluation and grantee feedback</w:t>
      </w:r>
      <w:r>
        <w:rPr>
          <w:rFonts w:ascii="Calibri" w:eastAsia="Calibri" w:hAnsi="Calibri" w:cs="Times New Roman"/>
          <w:bCs/>
          <w:color w:val="000000"/>
          <w:szCs w:val="28"/>
        </w:rPr>
        <w:t xml:space="preserve">, supporting </w:t>
      </w:r>
      <w:r w:rsidRPr="00021922">
        <w:rPr>
          <w:rFonts w:ascii="Calibri" w:eastAsia="Calibri" w:hAnsi="Calibri" w:cs="Times New Roman"/>
          <w:bCs/>
          <w:color w:val="000000"/>
          <w:szCs w:val="28"/>
        </w:rPr>
        <w:t>the development of practical data tools</w:t>
      </w:r>
      <w:r>
        <w:rPr>
          <w:rFonts w:ascii="Calibri" w:eastAsia="Calibri" w:hAnsi="Calibri" w:cs="Times New Roman"/>
          <w:bCs/>
          <w:color w:val="000000"/>
          <w:szCs w:val="28"/>
        </w:rPr>
        <w:t xml:space="preserve">, and elevating </w:t>
      </w:r>
      <w:r w:rsidRPr="00021922">
        <w:rPr>
          <w:rFonts w:ascii="Calibri" w:eastAsia="Calibri" w:hAnsi="Calibri" w:cs="Times New Roman"/>
          <w:bCs/>
          <w:color w:val="000000"/>
          <w:szCs w:val="28"/>
        </w:rPr>
        <w:t>participant and community voice through focus groups, interviews, and other feedback mechanisms</w:t>
      </w:r>
      <w:r>
        <w:rPr>
          <w:rFonts w:ascii="Calibri" w:eastAsia="Calibri" w:hAnsi="Calibri" w:cs="Times New Roman"/>
          <w:bCs/>
          <w:color w:val="000000"/>
          <w:szCs w:val="28"/>
        </w:rPr>
        <w:t>.</w:t>
      </w:r>
    </w:p>
    <w:p w14:paraId="46B1A75F"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Is the TADE provider expected to directly provide TA, coordinate the provision of TA with TA provided by other contracted entities or individuals, or a combination of both?</w:t>
      </w:r>
    </w:p>
    <w:p w14:paraId="286EC014" w14:textId="7FEB16DF" w:rsidR="00D859DC" w:rsidRPr="00094B3F" w:rsidRDefault="00D859DC" w:rsidP="00D859DC">
      <w:pPr>
        <w:spacing w:line="240" w:lineRule="auto"/>
        <w:ind w:left="720"/>
        <w:rPr>
          <w:rFonts w:ascii="Calibri" w:eastAsia="Calibri" w:hAnsi="Calibri" w:cs="Times New Roman"/>
          <w:bCs/>
          <w:color w:val="000000"/>
          <w:szCs w:val="28"/>
        </w:rPr>
      </w:pPr>
      <w:r w:rsidRPr="00094B3F">
        <w:rPr>
          <w:rFonts w:ascii="Calibri" w:eastAsia="Calibri" w:hAnsi="Calibri" w:cs="Times New Roman"/>
          <w:bCs/>
          <w:color w:val="000000"/>
          <w:szCs w:val="28"/>
        </w:rPr>
        <w:t xml:space="preserve">The TADE provider will deliver customized technical assistance that is informed </w:t>
      </w:r>
      <w:r w:rsidR="005C10E8" w:rsidRPr="00094B3F">
        <w:rPr>
          <w:rFonts w:ascii="Calibri" w:eastAsia="Calibri" w:hAnsi="Calibri" w:cs="Times New Roman"/>
          <w:bCs/>
          <w:color w:val="000000"/>
          <w:szCs w:val="28"/>
        </w:rPr>
        <w:t>of</w:t>
      </w:r>
      <w:r w:rsidRPr="00094B3F">
        <w:rPr>
          <w:rFonts w:ascii="Calibri" w:eastAsia="Calibri" w:hAnsi="Calibri" w:cs="Times New Roman"/>
          <w:bCs/>
          <w:color w:val="000000"/>
          <w:szCs w:val="28"/>
        </w:rPr>
        <w:t xml:space="preserve"> grantee needs and grounded in inclusive, participant-centered practices</w:t>
      </w:r>
      <w:r>
        <w:rPr>
          <w:rFonts w:ascii="Calibri" w:eastAsia="Calibri" w:hAnsi="Calibri" w:cs="Times New Roman"/>
          <w:bCs/>
          <w:color w:val="000000"/>
          <w:szCs w:val="28"/>
        </w:rPr>
        <w:t xml:space="preserve">. They will implement an </w:t>
      </w:r>
      <w:r w:rsidRPr="00094B3F">
        <w:rPr>
          <w:rFonts w:ascii="Calibri" w:eastAsia="Calibri" w:hAnsi="Calibri" w:cs="Times New Roman"/>
          <w:bCs/>
          <w:color w:val="000000"/>
          <w:szCs w:val="28"/>
        </w:rPr>
        <w:t>overarching evaluation framework that defines shared goals, core indicators, and statewide learning questions to ensure alignment across all PY 25-26 ETPP grantees and support system-level learning</w:t>
      </w:r>
      <w:r>
        <w:rPr>
          <w:rFonts w:ascii="Calibri" w:eastAsia="Calibri" w:hAnsi="Calibri" w:cs="Times New Roman"/>
          <w:bCs/>
          <w:color w:val="000000"/>
          <w:szCs w:val="28"/>
        </w:rPr>
        <w:t xml:space="preserve">. </w:t>
      </w:r>
      <w:r w:rsidRPr="00094B3F">
        <w:rPr>
          <w:rFonts w:ascii="Calibri" w:eastAsia="Calibri" w:hAnsi="Calibri" w:cs="Times New Roman"/>
          <w:bCs/>
          <w:color w:val="000000"/>
          <w:szCs w:val="28"/>
        </w:rPr>
        <w:t xml:space="preserve">To promote alignment and shared learning across state-funded workforce programs, the TADE provider will convene a </w:t>
      </w:r>
      <w:r>
        <w:rPr>
          <w:rFonts w:ascii="Calibri" w:eastAsia="Calibri" w:hAnsi="Calibri" w:cs="Times New Roman"/>
          <w:bCs/>
          <w:color w:val="000000"/>
          <w:szCs w:val="28"/>
        </w:rPr>
        <w:t>community of practice</w:t>
      </w:r>
      <w:r w:rsidRPr="00094B3F">
        <w:rPr>
          <w:rFonts w:ascii="Calibri" w:eastAsia="Calibri" w:hAnsi="Calibri" w:cs="Times New Roman"/>
          <w:bCs/>
          <w:color w:val="000000"/>
          <w:szCs w:val="28"/>
        </w:rPr>
        <w:t xml:space="preserve"> among technical assistance providers supporting</w:t>
      </w:r>
      <w:r>
        <w:rPr>
          <w:rFonts w:ascii="Calibri" w:eastAsia="Calibri" w:hAnsi="Calibri" w:cs="Times New Roman"/>
          <w:bCs/>
          <w:color w:val="000000"/>
          <w:szCs w:val="28"/>
        </w:rPr>
        <w:t xml:space="preserve"> the </w:t>
      </w:r>
      <w:r w:rsidRPr="00094B3F">
        <w:rPr>
          <w:rFonts w:ascii="Calibri" w:eastAsia="Calibri" w:hAnsi="Calibri" w:cs="Times New Roman"/>
          <w:bCs/>
          <w:color w:val="000000"/>
          <w:szCs w:val="28"/>
        </w:rPr>
        <w:t xml:space="preserve">Displaced Oil and Gas Workers Fund, </w:t>
      </w:r>
      <w:r>
        <w:rPr>
          <w:rFonts w:ascii="Calibri" w:eastAsia="Calibri" w:hAnsi="Calibri" w:cs="Times New Roman"/>
          <w:bCs/>
          <w:color w:val="000000"/>
          <w:szCs w:val="28"/>
        </w:rPr>
        <w:t xml:space="preserve">the </w:t>
      </w:r>
      <w:r w:rsidRPr="00094B3F">
        <w:rPr>
          <w:rFonts w:ascii="Calibri" w:eastAsia="Calibri" w:hAnsi="Calibri" w:cs="Times New Roman"/>
          <w:bCs/>
          <w:color w:val="000000"/>
          <w:szCs w:val="28"/>
        </w:rPr>
        <w:t>English Language Learners grant,</w:t>
      </w:r>
      <w:r>
        <w:rPr>
          <w:rFonts w:ascii="Calibri" w:eastAsia="Calibri" w:hAnsi="Calibri" w:cs="Times New Roman"/>
          <w:bCs/>
          <w:color w:val="000000"/>
          <w:szCs w:val="28"/>
        </w:rPr>
        <w:t xml:space="preserve"> the</w:t>
      </w:r>
      <w:r w:rsidRPr="00094B3F">
        <w:rPr>
          <w:rFonts w:ascii="Calibri" w:eastAsia="Calibri" w:hAnsi="Calibri" w:cs="Times New Roman"/>
          <w:bCs/>
          <w:color w:val="000000"/>
          <w:szCs w:val="28"/>
        </w:rPr>
        <w:t xml:space="preserve"> Farmworkers Advancement Program grant, </w:t>
      </w:r>
      <w:r>
        <w:rPr>
          <w:rFonts w:ascii="Calibri" w:eastAsia="Calibri" w:hAnsi="Calibri" w:cs="Times New Roman"/>
          <w:bCs/>
          <w:color w:val="000000"/>
          <w:szCs w:val="28"/>
        </w:rPr>
        <w:t xml:space="preserve">the </w:t>
      </w:r>
      <w:r w:rsidRPr="00094B3F">
        <w:rPr>
          <w:rFonts w:ascii="Calibri" w:eastAsia="Calibri" w:hAnsi="Calibri" w:cs="Times New Roman"/>
          <w:bCs/>
          <w:color w:val="000000"/>
          <w:szCs w:val="28"/>
        </w:rPr>
        <w:t xml:space="preserve">Employment Social Enterprise grant, </w:t>
      </w:r>
      <w:r>
        <w:rPr>
          <w:rFonts w:ascii="Calibri" w:eastAsia="Calibri" w:hAnsi="Calibri" w:cs="Times New Roman"/>
          <w:bCs/>
          <w:color w:val="000000"/>
          <w:szCs w:val="28"/>
        </w:rPr>
        <w:t xml:space="preserve">the </w:t>
      </w:r>
      <w:r w:rsidRPr="00094B3F">
        <w:rPr>
          <w:rFonts w:ascii="Calibri" w:eastAsia="Calibri" w:hAnsi="Calibri" w:cs="Times New Roman"/>
          <w:bCs/>
          <w:color w:val="000000"/>
          <w:szCs w:val="28"/>
        </w:rPr>
        <w:t>Opportunity Young Adult Career Pathways Program grant, and</w:t>
      </w:r>
      <w:r>
        <w:rPr>
          <w:rFonts w:ascii="Calibri" w:eastAsia="Calibri" w:hAnsi="Calibri" w:cs="Times New Roman"/>
          <w:bCs/>
          <w:color w:val="000000"/>
          <w:szCs w:val="28"/>
        </w:rPr>
        <w:t xml:space="preserve"> the</w:t>
      </w:r>
      <w:r w:rsidRPr="00094B3F">
        <w:rPr>
          <w:rFonts w:ascii="Calibri" w:eastAsia="Calibri" w:hAnsi="Calibri" w:cs="Times New Roman"/>
          <w:bCs/>
          <w:color w:val="000000"/>
          <w:szCs w:val="28"/>
        </w:rPr>
        <w:t xml:space="preserve"> D</w:t>
      </w:r>
      <w:r>
        <w:rPr>
          <w:rFonts w:ascii="Calibri" w:eastAsia="Calibri" w:hAnsi="Calibri" w:cs="Times New Roman"/>
          <w:bCs/>
          <w:color w:val="000000"/>
          <w:szCs w:val="28"/>
        </w:rPr>
        <w:t xml:space="preserve">epartment of </w:t>
      </w:r>
      <w:r w:rsidRPr="00094B3F">
        <w:rPr>
          <w:rFonts w:ascii="Calibri" w:eastAsia="Calibri" w:hAnsi="Calibri" w:cs="Times New Roman"/>
          <w:bCs/>
          <w:color w:val="000000"/>
          <w:szCs w:val="28"/>
        </w:rPr>
        <w:t>R</w:t>
      </w:r>
      <w:r>
        <w:rPr>
          <w:rFonts w:ascii="Calibri" w:eastAsia="Calibri" w:hAnsi="Calibri" w:cs="Times New Roman"/>
          <w:bCs/>
          <w:color w:val="000000"/>
          <w:szCs w:val="28"/>
        </w:rPr>
        <w:t>ehabilitation</w:t>
      </w:r>
      <w:r w:rsidRPr="00094B3F">
        <w:rPr>
          <w:rFonts w:ascii="Calibri" w:eastAsia="Calibri" w:hAnsi="Calibri" w:cs="Times New Roman"/>
          <w:bCs/>
          <w:color w:val="000000"/>
          <w:szCs w:val="28"/>
        </w:rPr>
        <w:t xml:space="preserve"> AJCC Collaboration Project</w:t>
      </w:r>
      <w:r>
        <w:rPr>
          <w:rFonts w:ascii="Calibri" w:eastAsia="Calibri" w:hAnsi="Calibri" w:cs="Times New Roman"/>
          <w:bCs/>
          <w:color w:val="000000"/>
          <w:szCs w:val="28"/>
        </w:rPr>
        <w:t>.</w:t>
      </w:r>
    </w:p>
    <w:p w14:paraId="3BCB8D91" w14:textId="77777777" w:rsidR="00D859DC" w:rsidRPr="00FA7F5D"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FA7F5D">
        <w:rPr>
          <w:rFonts w:ascii="Calibri" w:eastAsia="Calibri" w:hAnsi="Calibri" w:cs="Times New Roman"/>
          <w:b/>
          <w:color w:val="000000"/>
          <w:szCs w:val="28"/>
        </w:rPr>
        <w:t>Are current TADE providers for similar TADE grants eligible to apply for this SFP?</w:t>
      </w:r>
    </w:p>
    <w:p w14:paraId="098668F6" w14:textId="77777777" w:rsidR="00FA7F5D" w:rsidRPr="00FA7F5D" w:rsidRDefault="00FA7F5D" w:rsidP="00FA7F5D">
      <w:pPr>
        <w:pStyle w:val="ListParagraph"/>
        <w:spacing w:after="240" w:line="240" w:lineRule="auto"/>
        <w:rPr>
          <w:rFonts w:ascii="Calibri" w:eastAsia="Calibri" w:hAnsi="Calibri" w:cs="Times New Roman"/>
          <w:b/>
          <w:color w:val="000000"/>
          <w:szCs w:val="28"/>
        </w:rPr>
      </w:pPr>
    </w:p>
    <w:p w14:paraId="0B02C666" w14:textId="6BABEF11" w:rsidR="00D859DC" w:rsidRDefault="00FA7F5D" w:rsidP="00FA7F5D">
      <w:pPr>
        <w:pStyle w:val="ListParagraph"/>
        <w:spacing w:after="240" w:line="240" w:lineRule="auto"/>
        <w:rPr>
          <w:rFonts w:ascii="Calibri" w:eastAsia="Calibri" w:hAnsi="Calibri" w:cs="Times New Roman"/>
          <w:bCs/>
          <w:color w:val="000000"/>
          <w:szCs w:val="28"/>
        </w:rPr>
      </w:pPr>
      <w:r w:rsidRPr="00FA7F5D">
        <w:rPr>
          <w:rFonts w:ascii="Calibri" w:eastAsia="Calibri" w:hAnsi="Calibri" w:cs="Times New Roman"/>
          <w:bCs/>
          <w:color w:val="000000"/>
          <w:szCs w:val="28"/>
        </w:rPr>
        <w:t xml:space="preserve">Yes, current EDD Technical Assistance awardees </w:t>
      </w:r>
      <w:r>
        <w:rPr>
          <w:rFonts w:ascii="Calibri" w:eastAsia="Calibri" w:hAnsi="Calibri" w:cs="Times New Roman"/>
          <w:bCs/>
          <w:color w:val="000000"/>
          <w:szCs w:val="28"/>
        </w:rPr>
        <w:t>are eligible to apply</w:t>
      </w:r>
      <w:r w:rsidRPr="00FA7F5D">
        <w:rPr>
          <w:rFonts w:ascii="Calibri" w:eastAsia="Calibri" w:hAnsi="Calibri" w:cs="Times New Roman"/>
          <w:bCs/>
          <w:color w:val="000000"/>
          <w:szCs w:val="28"/>
        </w:rPr>
        <w:t xml:space="preserve"> for this grant. </w:t>
      </w:r>
    </w:p>
    <w:p w14:paraId="09625955" w14:textId="77777777" w:rsidR="00FA7F5D" w:rsidRPr="00FA7F5D" w:rsidRDefault="00FA7F5D" w:rsidP="00FA7F5D">
      <w:pPr>
        <w:pStyle w:val="ListParagraph"/>
        <w:spacing w:after="240" w:line="240" w:lineRule="auto"/>
        <w:rPr>
          <w:rFonts w:ascii="Calibri" w:eastAsia="Calibri" w:hAnsi="Calibri" w:cs="Times New Roman"/>
          <w:bCs/>
          <w:color w:val="000000"/>
          <w:szCs w:val="28"/>
        </w:rPr>
      </w:pPr>
    </w:p>
    <w:p w14:paraId="0481FEEA" w14:textId="77777777" w:rsidR="00D859DC" w:rsidRPr="004B121A"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4B121A">
        <w:rPr>
          <w:rFonts w:ascii="Calibri" w:eastAsia="Calibri" w:hAnsi="Calibri" w:cs="Times New Roman"/>
          <w:b/>
          <w:color w:val="000000"/>
          <w:szCs w:val="28"/>
        </w:rPr>
        <w:t>What organization(s) have served as the TADE provider(s) for prior ETPP grantees?</w:t>
      </w:r>
    </w:p>
    <w:p w14:paraId="1CA291B0" w14:textId="77777777" w:rsidR="00FA7F5D" w:rsidRDefault="00FA7F5D" w:rsidP="00FA7F5D">
      <w:pPr>
        <w:pStyle w:val="ListParagraph"/>
        <w:spacing w:after="240" w:line="240" w:lineRule="auto"/>
        <w:rPr>
          <w:rFonts w:ascii="Calibri" w:eastAsia="Calibri" w:hAnsi="Calibri" w:cs="Times New Roman"/>
          <w:b/>
          <w:color w:val="000000"/>
          <w:szCs w:val="28"/>
          <w:highlight w:val="cyan"/>
        </w:rPr>
      </w:pPr>
    </w:p>
    <w:p w14:paraId="0A1D11E8" w14:textId="5106AD72" w:rsidR="00D859DC" w:rsidRDefault="004B121A" w:rsidP="004B121A">
      <w:pPr>
        <w:pStyle w:val="ListParagraph"/>
        <w:spacing w:after="240" w:line="240" w:lineRule="auto"/>
        <w:rPr>
          <w:rFonts w:ascii="Calibri" w:eastAsia="Calibri" w:hAnsi="Calibri" w:cs="Times New Roman"/>
          <w:bCs/>
          <w:color w:val="000000"/>
          <w:szCs w:val="28"/>
        </w:rPr>
      </w:pPr>
      <w:r w:rsidRPr="004B121A">
        <w:rPr>
          <w:rFonts w:ascii="Calibri" w:eastAsia="Calibri" w:hAnsi="Calibri" w:cs="Times New Roman"/>
          <w:bCs/>
          <w:color w:val="000000"/>
          <w:szCs w:val="28"/>
        </w:rPr>
        <w:lastRenderedPageBreak/>
        <w:t>For information about awardees, please visit the Employment Development Department’s Workforce Development Solicitations for Proposals page.</w:t>
      </w:r>
      <w:r w:rsidR="00FA7F5D" w:rsidRPr="004B121A">
        <w:rPr>
          <w:rFonts w:ascii="Calibri" w:eastAsia="Calibri" w:hAnsi="Calibri" w:cs="Times New Roman"/>
          <w:bCs/>
          <w:color w:val="000000"/>
          <w:szCs w:val="28"/>
        </w:rPr>
        <w:t xml:space="preserve"> </w:t>
      </w:r>
    </w:p>
    <w:p w14:paraId="27B0950C" w14:textId="77777777" w:rsidR="004B121A" w:rsidRPr="004B121A" w:rsidRDefault="004B121A" w:rsidP="004B121A">
      <w:pPr>
        <w:pStyle w:val="ListParagraph"/>
        <w:spacing w:after="240" w:line="240" w:lineRule="auto"/>
        <w:rPr>
          <w:rFonts w:ascii="Calibri" w:eastAsia="Calibri" w:hAnsi="Calibri" w:cs="Times New Roman"/>
          <w:bCs/>
          <w:color w:val="000000"/>
          <w:szCs w:val="28"/>
        </w:rPr>
      </w:pPr>
    </w:p>
    <w:p w14:paraId="18449BEB"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The ETPP program SFP indicates that an estimated 8 to 32 awards will be funded. Are there any updates on the expected number of ETPP grantees?</w:t>
      </w:r>
    </w:p>
    <w:p w14:paraId="4EF50B76" w14:textId="24405A43" w:rsidR="00D859DC" w:rsidRPr="00BA1FEF" w:rsidRDefault="00D859DC" w:rsidP="005C10E8">
      <w:pPr>
        <w:spacing w:line="240" w:lineRule="auto"/>
        <w:ind w:left="180"/>
        <w:rPr>
          <w:rFonts w:ascii="Calibri" w:eastAsia="Calibri" w:hAnsi="Calibri" w:cs="Times New Roman"/>
          <w:bCs/>
          <w:color w:val="000000"/>
          <w:szCs w:val="28"/>
        </w:rPr>
      </w:pPr>
      <w:r>
        <w:rPr>
          <w:rFonts w:ascii="Calibri" w:eastAsia="Calibri" w:hAnsi="Calibri" w:cs="Times New Roman"/>
          <w:b/>
          <w:color w:val="000000"/>
          <w:szCs w:val="28"/>
        </w:rPr>
        <w:t xml:space="preserve">         </w:t>
      </w:r>
      <w:r>
        <w:rPr>
          <w:rFonts w:ascii="Calibri" w:eastAsia="Calibri" w:hAnsi="Calibri" w:cs="Times New Roman"/>
          <w:bCs/>
          <w:color w:val="000000"/>
          <w:szCs w:val="28"/>
        </w:rPr>
        <w:t>We are not able to provide any updates regarding the expected number of ETPP grantees.</w:t>
      </w:r>
    </w:p>
    <w:p w14:paraId="29C599B1"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 xml:space="preserve">For this SFP, who is considered a partner? </w:t>
      </w:r>
    </w:p>
    <w:p w14:paraId="1CA5DD64" w14:textId="77777777" w:rsidR="00D859DC" w:rsidRPr="000138DF" w:rsidRDefault="00D859DC" w:rsidP="005C10E8">
      <w:pPr>
        <w:tabs>
          <w:tab w:val="left" w:pos="720"/>
        </w:tabs>
        <w:spacing w:line="240" w:lineRule="auto"/>
        <w:ind w:left="630"/>
        <w:rPr>
          <w:rFonts w:ascii="Calibri" w:eastAsia="Calibri" w:hAnsi="Calibri" w:cs="Times New Roman"/>
          <w:bCs/>
          <w:color w:val="000000"/>
          <w:szCs w:val="28"/>
        </w:rPr>
      </w:pPr>
      <w:r>
        <w:rPr>
          <w:rFonts w:ascii="Calibri" w:eastAsia="Calibri" w:hAnsi="Calibri" w:cs="Times New Roman"/>
          <w:bCs/>
          <w:color w:val="000000"/>
          <w:szCs w:val="28"/>
        </w:rPr>
        <w:t>For this SFP, a partner is an organization outlined in the proposal package as a partner with an accompanying Partnership Agreement Letter that includes a description of the partnership, the partner’s organization type, the specific roles and responsibilities of the partner, the extent of the partnership, and the name and telephone number for the contact person of the partner organization.</w:t>
      </w:r>
    </w:p>
    <w:p w14:paraId="222B00C0"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Are there any mandatory partnerships for this grant?</w:t>
      </w:r>
    </w:p>
    <w:p w14:paraId="66C87ACC" w14:textId="77777777" w:rsidR="00D859DC" w:rsidRPr="000138DF" w:rsidRDefault="00D859DC" w:rsidP="005C10E8">
      <w:pPr>
        <w:spacing w:line="240" w:lineRule="auto"/>
        <w:ind w:left="360"/>
        <w:rPr>
          <w:rFonts w:ascii="Calibri" w:eastAsia="Calibri" w:hAnsi="Calibri" w:cs="Times New Roman"/>
          <w:bCs/>
          <w:color w:val="000000"/>
          <w:szCs w:val="28"/>
        </w:rPr>
      </w:pPr>
      <w:r>
        <w:rPr>
          <w:rFonts w:ascii="Calibri" w:eastAsia="Calibri" w:hAnsi="Calibri" w:cs="Times New Roman"/>
          <w:b/>
          <w:color w:val="000000"/>
          <w:szCs w:val="28"/>
        </w:rPr>
        <w:t xml:space="preserve">       </w:t>
      </w:r>
      <w:r w:rsidRPr="000138DF">
        <w:rPr>
          <w:rFonts w:ascii="Calibri" w:eastAsia="Calibri" w:hAnsi="Calibri" w:cs="Times New Roman"/>
          <w:bCs/>
          <w:color w:val="000000"/>
          <w:szCs w:val="28"/>
        </w:rPr>
        <w:t>No, there are no required partnerships when applying for this grant.</w:t>
      </w:r>
    </w:p>
    <w:p w14:paraId="341BD507"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Who will implement the program-specific evaluation plans</w:t>
      </w:r>
      <w:r>
        <w:rPr>
          <w:rFonts w:ascii="Calibri" w:eastAsia="Calibri" w:hAnsi="Calibri" w:cs="Times New Roman"/>
          <w:b/>
          <w:color w:val="000000"/>
          <w:szCs w:val="28"/>
        </w:rPr>
        <w:t>,</w:t>
      </w:r>
      <w:r w:rsidRPr="00132801">
        <w:rPr>
          <w:rFonts w:ascii="Calibri" w:eastAsia="Calibri" w:hAnsi="Calibri" w:cs="Times New Roman"/>
          <w:b/>
          <w:color w:val="000000"/>
          <w:szCs w:val="28"/>
        </w:rPr>
        <w:t xml:space="preserve"> the grantees, the TADE provider, or another external evaluator?</w:t>
      </w:r>
    </w:p>
    <w:p w14:paraId="723747CC" w14:textId="629A8F25" w:rsidR="00D859DC" w:rsidRPr="00BA1FEF" w:rsidRDefault="00D859DC" w:rsidP="00BA1FEF">
      <w:pPr>
        <w:spacing w:line="240" w:lineRule="auto"/>
        <w:ind w:left="720"/>
        <w:rPr>
          <w:rFonts w:ascii="Calibri" w:eastAsia="Calibri" w:hAnsi="Calibri" w:cs="Times New Roman"/>
          <w:bCs/>
          <w:color w:val="000000"/>
          <w:szCs w:val="28"/>
        </w:rPr>
      </w:pPr>
      <w:r>
        <w:rPr>
          <w:rFonts w:ascii="Calibri" w:eastAsia="Calibri" w:hAnsi="Calibri" w:cs="Times New Roman"/>
          <w:bCs/>
          <w:color w:val="000000"/>
          <w:szCs w:val="28"/>
        </w:rPr>
        <w:t xml:space="preserve">The selected TADE provider will co-design </w:t>
      </w:r>
      <w:r w:rsidRPr="003362CB">
        <w:rPr>
          <w:rFonts w:ascii="Calibri" w:eastAsia="Calibri" w:hAnsi="Calibri" w:cs="Times New Roman"/>
          <w:bCs/>
          <w:color w:val="000000"/>
          <w:szCs w:val="28"/>
        </w:rPr>
        <w:t>and implement program-specific evaluation plans that align with an overarching evaluation framework, allowing for local adaptation while supporting shared learning across the initiative.</w:t>
      </w:r>
    </w:p>
    <w:p w14:paraId="4DCA44BC"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Is the TADE provider or the PY 25-26 ETPP grantee responsible for collecting data outlined in the evaluation plans?</w:t>
      </w:r>
    </w:p>
    <w:p w14:paraId="63BBC23A" w14:textId="77777777" w:rsidR="00D859DC" w:rsidRPr="009F5035" w:rsidRDefault="00D859DC" w:rsidP="00D859DC">
      <w:pPr>
        <w:spacing w:line="240" w:lineRule="auto"/>
        <w:ind w:left="720"/>
        <w:rPr>
          <w:rFonts w:ascii="Calibri" w:eastAsia="Calibri" w:hAnsi="Calibri" w:cs="Times New Roman"/>
          <w:bCs/>
          <w:color w:val="000000"/>
          <w:szCs w:val="28"/>
        </w:rPr>
      </w:pPr>
      <w:r>
        <w:rPr>
          <w:rFonts w:ascii="Calibri" w:eastAsia="Calibri" w:hAnsi="Calibri" w:cs="Times New Roman"/>
          <w:bCs/>
          <w:color w:val="000000"/>
          <w:szCs w:val="28"/>
        </w:rPr>
        <w:t>The TADE provider will conduct real-time data collection and analysis to identify implementation challenges, emerging innovations, and opportunities for improvement</w:t>
      </w:r>
      <w:r w:rsidRPr="009F5035">
        <w:rPr>
          <w:rFonts w:ascii="Calibri" w:eastAsia="Calibri" w:hAnsi="Calibri" w:cs="Times New Roman"/>
          <w:bCs/>
          <w:color w:val="000000"/>
          <w:szCs w:val="28"/>
        </w:rPr>
        <w:t>.</w:t>
      </w:r>
    </w:p>
    <w:p w14:paraId="3517146C"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Is the TADE provider supporting grantees in developing their dashboards, or is the TADE provider developing the grantees’ dashboards</w:t>
      </w:r>
      <w:r>
        <w:rPr>
          <w:rFonts w:ascii="Calibri" w:eastAsia="Calibri" w:hAnsi="Calibri" w:cs="Times New Roman"/>
          <w:b/>
          <w:color w:val="000000"/>
          <w:szCs w:val="28"/>
        </w:rPr>
        <w:t xml:space="preserve"> for them</w:t>
      </w:r>
      <w:r w:rsidRPr="00132801">
        <w:rPr>
          <w:rFonts w:ascii="Calibri" w:eastAsia="Calibri" w:hAnsi="Calibri" w:cs="Times New Roman"/>
          <w:b/>
          <w:color w:val="000000"/>
          <w:szCs w:val="28"/>
        </w:rPr>
        <w:t>?</w:t>
      </w:r>
    </w:p>
    <w:p w14:paraId="5177358C" w14:textId="77777777" w:rsidR="00D859DC" w:rsidRPr="00D93648" w:rsidRDefault="00D859DC" w:rsidP="00D859DC">
      <w:pPr>
        <w:spacing w:line="240" w:lineRule="auto"/>
        <w:ind w:left="720"/>
        <w:rPr>
          <w:rFonts w:ascii="Calibri" w:eastAsia="Calibri" w:hAnsi="Calibri" w:cs="Times New Roman"/>
          <w:bCs/>
          <w:color w:val="000000"/>
          <w:szCs w:val="28"/>
        </w:rPr>
      </w:pPr>
      <w:r w:rsidRPr="00D93648">
        <w:rPr>
          <w:rFonts w:ascii="Calibri" w:eastAsia="Calibri" w:hAnsi="Calibri" w:cs="Times New Roman"/>
          <w:bCs/>
          <w:color w:val="000000"/>
          <w:szCs w:val="28"/>
        </w:rPr>
        <w:t>The TADE provider will deliver customized technical assistance that is informed by grantee needs, supporting the development of practical data tools such as dashboards.</w:t>
      </w:r>
    </w:p>
    <w:p w14:paraId="654E0C2E" w14:textId="77777777" w:rsidR="00D859DC" w:rsidRPr="00B62F8E"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B62F8E">
        <w:rPr>
          <w:rFonts w:ascii="Calibri" w:eastAsia="Calibri" w:hAnsi="Calibri" w:cs="Times New Roman"/>
          <w:b/>
          <w:color w:val="000000"/>
          <w:szCs w:val="28"/>
        </w:rPr>
        <w:t>Are there any format requirements or expectations for dashboards?</w:t>
      </w:r>
    </w:p>
    <w:p w14:paraId="40E9F65C" w14:textId="77777777" w:rsidR="00B62F8E" w:rsidRDefault="00B62F8E" w:rsidP="00B62F8E">
      <w:pPr>
        <w:pStyle w:val="ListParagraph"/>
        <w:spacing w:after="240" w:line="240" w:lineRule="auto"/>
        <w:rPr>
          <w:rFonts w:ascii="Calibri" w:eastAsia="Calibri" w:hAnsi="Calibri" w:cs="Times New Roman"/>
          <w:bCs/>
          <w:color w:val="000000"/>
          <w:szCs w:val="28"/>
        </w:rPr>
      </w:pPr>
    </w:p>
    <w:p w14:paraId="7E36361F" w14:textId="6A9CF532" w:rsidR="00D859DC" w:rsidRDefault="00B62F8E" w:rsidP="00B62F8E">
      <w:pPr>
        <w:pStyle w:val="ListParagraph"/>
        <w:spacing w:after="240" w:line="240" w:lineRule="auto"/>
        <w:rPr>
          <w:rFonts w:ascii="Calibri" w:eastAsia="Calibri" w:hAnsi="Calibri" w:cs="Times New Roman"/>
          <w:bCs/>
          <w:color w:val="000000"/>
          <w:szCs w:val="28"/>
        </w:rPr>
      </w:pPr>
      <w:r w:rsidRPr="00B62F8E">
        <w:rPr>
          <w:rFonts w:ascii="Calibri" w:eastAsia="Calibri" w:hAnsi="Calibri" w:cs="Times New Roman"/>
          <w:bCs/>
          <w:color w:val="000000"/>
          <w:szCs w:val="28"/>
        </w:rPr>
        <w:t>No, the grantee will be expected to submit their proposed dashboards.</w:t>
      </w:r>
    </w:p>
    <w:p w14:paraId="5ABD6915" w14:textId="77777777" w:rsidR="00B62F8E" w:rsidRPr="00B62F8E" w:rsidRDefault="00B62F8E" w:rsidP="00B62F8E">
      <w:pPr>
        <w:pStyle w:val="ListParagraph"/>
        <w:spacing w:after="240" w:line="240" w:lineRule="auto"/>
        <w:rPr>
          <w:rFonts w:ascii="Calibri" w:eastAsia="Calibri" w:hAnsi="Calibri" w:cs="Times New Roman"/>
          <w:bCs/>
          <w:color w:val="000000"/>
          <w:szCs w:val="28"/>
        </w:rPr>
      </w:pPr>
    </w:p>
    <w:p w14:paraId="00C7354F"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What support can the TADE provider expect in gaining access and receiving critical evaluation data?</w:t>
      </w:r>
    </w:p>
    <w:p w14:paraId="7554B67E" w14:textId="77777777" w:rsidR="00D859DC" w:rsidRPr="001C5CCC" w:rsidRDefault="00D859DC" w:rsidP="00D859DC">
      <w:pPr>
        <w:spacing w:line="240" w:lineRule="auto"/>
        <w:ind w:left="720"/>
        <w:rPr>
          <w:rFonts w:ascii="Calibri" w:eastAsia="Calibri" w:hAnsi="Calibri" w:cs="Times New Roman"/>
          <w:bCs/>
          <w:color w:val="000000"/>
          <w:szCs w:val="28"/>
        </w:rPr>
      </w:pPr>
      <w:r w:rsidRPr="001C5CCC">
        <w:rPr>
          <w:rFonts w:ascii="Calibri" w:eastAsia="Calibri" w:hAnsi="Calibri" w:cs="Times New Roman"/>
          <w:bCs/>
          <w:color w:val="000000"/>
          <w:szCs w:val="28"/>
        </w:rPr>
        <w:t>The TADE provider will be expected to collect, analyze, and synthesize data from</w:t>
      </w:r>
      <w:r>
        <w:rPr>
          <w:rFonts w:ascii="Calibri" w:eastAsia="Calibri" w:hAnsi="Calibri" w:cs="Times New Roman"/>
          <w:bCs/>
          <w:color w:val="000000"/>
          <w:szCs w:val="28"/>
        </w:rPr>
        <w:t xml:space="preserve"> a variety of sources, including</w:t>
      </w:r>
      <w:r w:rsidRPr="001C5CCC">
        <w:rPr>
          <w:rFonts w:ascii="Calibri" w:eastAsia="Calibri" w:hAnsi="Calibri" w:cs="Times New Roman"/>
          <w:bCs/>
          <w:color w:val="000000"/>
          <w:szCs w:val="28"/>
        </w:rPr>
        <w:t xml:space="preserve"> administrative data systems such as CalJOBS</w:t>
      </w:r>
      <w:r w:rsidRPr="001C5CCC">
        <w:rPr>
          <w:rFonts w:ascii="Calibri" w:eastAsia="Calibri" w:hAnsi="Calibri" w:cs="Times New Roman"/>
          <w:bCs/>
          <w:color w:val="000000"/>
          <w:szCs w:val="28"/>
          <w:vertAlign w:val="superscript"/>
        </w:rPr>
        <w:t>SM</w:t>
      </w:r>
      <w:r w:rsidRPr="001C5CCC">
        <w:rPr>
          <w:rFonts w:ascii="Calibri" w:eastAsia="Calibri" w:hAnsi="Calibri" w:cs="Times New Roman"/>
          <w:bCs/>
          <w:color w:val="000000"/>
          <w:szCs w:val="28"/>
        </w:rPr>
        <w:t>, grantee-reported data, participant and community feedback, staff and stakeholder reflections, and custom data tools such as dashboards.</w:t>
      </w:r>
    </w:p>
    <w:p w14:paraId="4DE9F2B7"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lastRenderedPageBreak/>
        <w:t>Does the required organizational chart count toward the 10-page limit?</w:t>
      </w:r>
    </w:p>
    <w:p w14:paraId="23112DED" w14:textId="4747331F" w:rsidR="00D859DC" w:rsidRPr="00F12639" w:rsidRDefault="00D859DC" w:rsidP="005C10E8">
      <w:pPr>
        <w:spacing w:line="240" w:lineRule="auto"/>
        <w:ind w:left="720"/>
        <w:rPr>
          <w:rFonts w:ascii="Calibri" w:eastAsia="Calibri" w:hAnsi="Calibri" w:cs="Times New Roman"/>
          <w:bCs/>
          <w:color w:val="000000"/>
          <w:szCs w:val="28"/>
        </w:rPr>
      </w:pPr>
      <w:r>
        <w:rPr>
          <w:rFonts w:ascii="Calibri" w:eastAsia="Calibri" w:hAnsi="Calibri" w:cs="Times New Roman"/>
          <w:bCs/>
          <w:color w:val="000000"/>
          <w:szCs w:val="28"/>
        </w:rPr>
        <w:t>The required organizational chart does not count toward the 10-page limit for the Project Narrative, Exhibit A.</w:t>
      </w:r>
    </w:p>
    <w:p w14:paraId="651B8F99" w14:textId="77777777" w:rsidR="00D859DC" w:rsidRPr="00B62F8E"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B62F8E">
        <w:rPr>
          <w:rFonts w:ascii="Calibri" w:eastAsia="Calibri" w:hAnsi="Calibri" w:cs="Times New Roman"/>
          <w:b/>
          <w:color w:val="000000"/>
          <w:szCs w:val="28"/>
        </w:rPr>
        <w:t>Do grantees have any travel budget for non-mandatory/mandatory travel? Will the TADE provider determine what is mandatory?</w:t>
      </w:r>
    </w:p>
    <w:p w14:paraId="5E8D27C5" w14:textId="77777777" w:rsidR="00B62F8E" w:rsidRDefault="00B62F8E" w:rsidP="00B62F8E">
      <w:pPr>
        <w:pStyle w:val="ListParagraph"/>
        <w:spacing w:after="240" w:line="240" w:lineRule="auto"/>
        <w:rPr>
          <w:rFonts w:ascii="Calibri" w:eastAsia="Calibri" w:hAnsi="Calibri" w:cs="Times New Roman"/>
          <w:bCs/>
          <w:color w:val="000000"/>
          <w:szCs w:val="28"/>
        </w:rPr>
      </w:pPr>
    </w:p>
    <w:p w14:paraId="59B824DE" w14:textId="77777777" w:rsidR="00B62F8E" w:rsidRDefault="00B62F8E" w:rsidP="00B62F8E">
      <w:pPr>
        <w:pStyle w:val="ListParagraph"/>
        <w:spacing w:after="240" w:line="240" w:lineRule="auto"/>
        <w:rPr>
          <w:rFonts w:ascii="Calibri" w:eastAsia="Calibri" w:hAnsi="Calibri" w:cs="Times New Roman"/>
          <w:bCs/>
          <w:color w:val="000000"/>
          <w:szCs w:val="28"/>
        </w:rPr>
      </w:pPr>
      <w:r w:rsidRPr="00B62F8E">
        <w:rPr>
          <w:rFonts w:ascii="Calibri" w:eastAsia="Calibri" w:hAnsi="Calibri" w:cs="Times New Roman"/>
          <w:bCs/>
          <w:color w:val="000000"/>
          <w:szCs w:val="28"/>
        </w:rPr>
        <w:t>ETPP grantees are expected to include funding for travel. The TADE provider, in collaboration with the EDD, will determine which meetings are mandatory.</w:t>
      </w:r>
    </w:p>
    <w:p w14:paraId="6D60CAC1" w14:textId="3E3A32B5" w:rsidR="00D859DC" w:rsidRPr="00F12639" w:rsidRDefault="00D859DC" w:rsidP="00B62F8E">
      <w:pPr>
        <w:pStyle w:val="ListParagraph"/>
        <w:spacing w:after="240" w:line="240" w:lineRule="auto"/>
        <w:rPr>
          <w:rFonts w:ascii="Calibri" w:eastAsia="Calibri" w:hAnsi="Calibri" w:cs="Times New Roman"/>
          <w:bCs/>
          <w:color w:val="000000"/>
          <w:szCs w:val="28"/>
        </w:rPr>
      </w:pPr>
      <w:r>
        <w:rPr>
          <w:rFonts w:ascii="Calibri" w:eastAsia="Calibri" w:hAnsi="Calibri" w:cs="Times New Roman"/>
          <w:b/>
          <w:color w:val="000000"/>
          <w:szCs w:val="28"/>
        </w:rPr>
        <w:t xml:space="preserve">    </w:t>
      </w:r>
    </w:p>
    <w:p w14:paraId="354F36B7" w14:textId="77777777" w:rsidR="00D859DC" w:rsidRPr="00132801"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32801">
        <w:rPr>
          <w:rFonts w:ascii="Calibri" w:eastAsia="Calibri" w:hAnsi="Calibri" w:cs="Times New Roman"/>
          <w:b/>
          <w:color w:val="000000"/>
          <w:szCs w:val="28"/>
        </w:rPr>
        <w:t>Will grantees be required by EDD to participate in TA activities? If so, which ones?</w:t>
      </w:r>
    </w:p>
    <w:p w14:paraId="3AF2D3D6" w14:textId="77777777" w:rsidR="00D859DC" w:rsidRPr="000734C1" w:rsidRDefault="00D859DC" w:rsidP="00D859DC">
      <w:pPr>
        <w:spacing w:line="240" w:lineRule="auto"/>
        <w:ind w:left="720"/>
        <w:rPr>
          <w:rFonts w:ascii="Calibri" w:eastAsia="Calibri" w:hAnsi="Calibri" w:cs="Times New Roman"/>
          <w:bCs/>
          <w:color w:val="000000"/>
          <w:szCs w:val="28"/>
        </w:rPr>
      </w:pPr>
      <w:r w:rsidRPr="000734C1">
        <w:rPr>
          <w:rFonts w:ascii="Calibri" w:eastAsia="Calibri" w:hAnsi="Calibri" w:cs="Times New Roman"/>
          <w:bCs/>
          <w:color w:val="000000"/>
          <w:szCs w:val="28"/>
        </w:rPr>
        <w:t xml:space="preserve">The TADE provider </w:t>
      </w:r>
      <w:r>
        <w:rPr>
          <w:rFonts w:ascii="Calibri" w:eastAsia="Calibri" w:hAnsi="Calibri" w:cs="Times New Roman"/>
          <w:bCs/>
          <w:color w:val="000000"/>
          <w:szCs w:val="28"/>
        </w:rPr>
        <w:t>will deliver a coordinated set of activities that support both program-level learning and system-level collaboration. Activities will</w:t>
      </w:r>
      <w:r w:rsidRPr="000734C1">
        <w:rPr>
          <w:rFonts w:ascii="Calibri" w:eastAsia="Calibri" w:hAnsi="Calibri" w:cs="Times New Roman"/>
          <w:bCs/>
          <w:color w:val="000000"/>
          <w:szCs w:val="28"/>
        </w:rPr>
        <w:t xml:space="preserve"> includ</w:t>
      </w:r>
      <w:r>
        <w:rPr>
          <w:rFonts w:ascii="Calibri" w:eastAsia="Calibri" w:hAnsi="Calibri" w:cs="Times New Roman"/>
          <w:bCs/>
          <w:color w:val="000000"/>
          <w:szCs w:val="28"/>
        </w:rPr>
        <w:t>e</w:t>
      </w:r>
      <w:r w:rsidRPr="000734C1">
        <w:rPr>
          <w:rFonts w:ascii="Calibri" w:eastAsia="Calibri" w:hAnsi="Calibri" w:cs="Times New Roman"/>
          <w:bCs/>
          <w:color w:val="000000"/>
          <w:szCs w:val="28"/>
        </w:rPr>
        <w:t xml:space="preserve"> customized TA that includes one-on-one coaching, training sessions, and pe</w:t>
      </w:r>
      <w:r>
        <w:rPr>
          <w:rFonts w:ascii="Calibri" w:eastAsia="Calibri" w:hAnsi="Calibri" w:cs="Times New Roman"/>
          <w:bCs/>
          <w:color w:val="000000"/>
          <w:szCs w:val="28"/>
        </w:rPr>
        <w:t>e</w:t>
      </w:r>
      <w:r w:rsidRPr="000734C1">
        <w:rPr>
          <w:rFonts w:ascii="Calibri" w:eastAsia="Calibri" w:hAnsi="Calibri" w:cs="Times New Roman"/>
          <w:bCs/>
          <w:color w:val="000000"/>
          <w:szCs w:val="28"/>
        </w:rPr>
        <w:t>r learning opportunities.</w:t>
      </w:r>
    </w:p>
    <w:p w14:paraId="10B58BEA" w14:textId="77777777" w:rsidR="00D859DC"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Does EDD want the TA provider to support grantees in CalJOBS data entry/compliance?</w:t>
      </w:r>
    </w:p>
    <w:p w14:paraId="582A386F"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1FC55B50" w14:textId="11FCAECD" w:rsidR="00D859DC" w:rsidRDefault="00111EE4" w:rsidP="00111EE4">
      <w:pPr>
        <w:pStyle w:val="ListParagraph"/>
        <w:spacing w:after="240" w:line="240" w:lineRule="auto"/>
        <w:rPr>
          <w:rFonts w:ascii="Calibri" w:eastAsia="Calibri" w:hAnsi="Calibri" w:cs="Times New Roman"/>
          <w:bCs/>
          <w:color w:val="000000"/>
          <w:szCs w:val="28"/>
        </w:rPr>
      </w:pPr>
      <w:r w:rsidRPr="00111EE4">
        <w:rPr>
          <w:rFonts w:ascii="Calibri" w:eastAsia="Calibri" w:hAnsi="Calibri" w:cs="Times New Roman"/>
          <w:bCs/>
          <w:color w:val="000000"/>
          <w:szCs w:val="28"/>
        </w:rPr>
        <w:t>It is possible, as this will depend on the need</w:t>
      </w:r>
      <w:r>
        <w:rPr>
          <w:rFonts w:ascii="Calibri" w:eastAsia="Calibri" w:hAnsi="Calibri" w:cs="Times New Roman"/>
          <w:bCs/>
          <w:color w:val="000000"/>
          <w:szCs w:val="28"/>
        </w:rPr>
        <w:t>s</w:t>
      </w:r>
      <w:r w:rsidRPr="00111EE4">
        <w:rPr>
          <w:rFonts w:ascii="Calibri" w:eastAsia="Calibri" w:hAnsi="Calibri" w:cs="Times New Roman"/>
          <w:bCs/>
          <w:color w:val="000000"/>
          <w:szCs w:val="28"/>
        </w:rPr>
        <w:t xml:space="preserve"> of the ETPP grantees.</w:t>
      </w:r>
    </w:p>
    <w:p w14:paraId="445BD4BA" w14:textId="77777777" w:rsidR="00111EE4" w:rsidRPr="00111EE4" w:rsidRDefault="00111EE4" w:rsidP="00111EE4">
      <w:pPr>
        <w:pStyle w:val="ListParagraph"/>
        <w:spacing w:after="240" w:line="240" w:lineRule="auto"/>
        <w:rPr>
          <w:rFonts w:ascii="Calibri" w:eastAsia="Calibri" w:hAnsi="Calibri" w:cs="Times New Roman"/>
          <w:bCs/>
          <w:color w:val="000000"/>
          <w:szCs w:val="28"/>
        </w:rPr>
      </w:pPr>
    </w:p>
    <w:p w14:paraId="714CD497" w14:textId="77777777" w:rsidR="00D859DC"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Does the EDD approval described in the materials include approval of specific findings or research results?</w:t>
      </w:r>
    </w:p>
    <w:p w14:paraId="620B0622"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2B849E77" w14:textId="5BF72390" w:rsidR="00D859DC" w:rsidRDefault="00111EE4" w:rsidP="00111EE4">
      <w:pPr>
        <w:pStyle w:val="ListParagraph"/>
        <w:spacing w:after="240" w:line="240" w:lineRule="auto"/>
        <w:rPr>
          <w:rFonts w:ascii="Calibri" w:eastAsia="Calibri" w:hAnsi="Calibri" w:cs="Times New Roman"/>
          <w:bCs/>
          <w:color w:val="000000"/>
          <w:szCs w:val="28"/>
        </w:rPr>
      </w:pPr>
      <w:r w:rsidRPr="00111EE4">
        <w:rPr>
          <w:rFonts w:ascii="Calibri" w:eastAsia="Calibri" w:hAnsi="Calibri" w:cs="Times New Roman"/>
          <w:bCs/>
          <w:color w:val="000000"/>
          <w:szCs w:val="28"/>
        </w:rPr>
        <w:t>Approvals are specific to deliverables submitted. The EDD and the selected applicant will review and discuss the deliverables that will require approval.</w:t>
      </w:r>
    </w:p>
    <w:p w14:paraId="59909D6D" w14:textId="77777777" w:rsidR="00111EE4" w:rsidRPr="00111EE4" w:rsidRDefault="00111EE4" w:rsidP="00111EE4">
      <w:pPr>
        <w:pStyle w:val="ListParagraph"/>
        <w:spacing w:after="240" w:line="240" w:lineRule="auto"/>
        <w:rPr>
          <w:rFonts w:ascii="Calibri" w:eastAsia="Calibri" w:hAnsi="Calibri" w:cs="Times New Roman"/>
          <w:bCs/>
          <w:color w:val="000000"/>
          <w:szCs w:val="28"/>
        </w:rPr>
      </w:pPr>
    </w:p>
    <w:p w14:paraId="19C00D94" w14:textId="77777777" w:rsidR="00D859DC"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On what basis will EDD approve to disseminate deliverables from this award? Could we request that the approval for dissemination be included in the award agreement?</w:t>
      </w:r>
    </w:p>
    <w:p w14:paraId="67A5CF7B"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77D5B224" w14:textId="5F15961F" w:rsidR="00D859DC" w:rsidRDefault="00111EE4" w:rsidP="00111EE4">
      <w:pPr>
        <w:pStyle w:val="ListParagraph"/>
        <w:spacing w:after="240" w:line="240" w:lineRule="auto"/>
        <w:rPr>
          <w:rFonts w:ascii="Calibri" w:eastAsia="Calibri" w:hAnsi="Calibri" w:cs="Times New Roman"/>
          <w:bCs/>
          <w:color w:val="000000"/>
          <w:szCs w:val="28"/>
        </w:rPr>
      </w:pPr>
      <w:r w:rsidRPr="00111EE4">
        <w:rPr>
          <w:rFonts w:ascii="Calibri" w:eastAsia="Calibri" w:hAnsi="Calibri" w:cs="Times New Roman"/>
          <w:bCs/>
          <w:color w:val="000000"/>
          <w:szCs w:val="28"/>
        </w:rPr>
        <w:t>Reviews will be conducted as deliverables are submitted.</w:t>
      </w:r>
    </w:p>
    <w:p w14:paraId="0C834E46" w14:textId="77777777" w:rsidR="00111EE4" w:rsidRPr="00111EE4" w:rsidRDefault="00111EE4" w:rsidP="00111EE4">
      <w:pPr>
        <w:pStyle w:val="ListParagraph"/>
        <w:spacing w:after="240" w:line="240" w:lineRule="auto"/>
        <w:rPr>
          <w:rFonts w:ascii="Calibri" w:eastAsia="Calibri" w:hAnsi="Calibri" w:cs="Times New Roman"/>
          <w:bCs/>
          <w:color w:val="000000"/>
          <w:szCs w:val="28"/>
        </w:rPr>
      </w:pPr>
    </w:p>
    <w:p w14:paraId="5A5BB917" w14:textId="464D443F" w:rsidR="00111EE4"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 xml:space="preserve">Is the financial report due on 3/31/28, or is 3/31/28 the last day of the POP, and </w:t>
      </w:r>
      <w:r w:rsidR="005C10E8" w:rsidRPr="00111EE4">
        <w:rPr>
          <w:rFonts w:ascii="Calibri" w:eastAsia="Calibri" w:hAnsi="Calibri" w:cs="Times New Roman"/>
          <w:b/>
          <w:color w:val="000000"/>
          <w:szCs w:val="28"/>
        </w:rPr>
        <w:t>are funds</w:t>
      </w:r>
      <w:r w:rsidRPr="00111EE4">
        <w:rPr>
          <w:rFonts w:ascii="Calibri" w:eastAsia="Calibri" w:hAnsi="Calibri" w:cs="Times New Roman"/>
          <w:b/>
          <w:color w:val="000000"/>
          <w:szCs w:val="28"/>
        </w:rPr>
        <w:t xml:space="preserve"> accessible beyond that date? </w:t>
      </w:r>
    </w:p>
    <w:p w14:paraId="482880EE"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5C2004F0" w14:textId="3BCE0477" w:rsidR="00D859DC" w:rsidRDefault="00111EE4" w:rsidP="00111EE4">
      <w:pPr>
        <w:pStyle w:val="ListParagraph"/>
        <w:spacing w:after="240" w:line="240" w:lineRule="auto"/>
        <w:rPr>
          <w:rFonts w:ascii="Calibri" w:eastAsia="Calibri" w:hAnsi="Calibri" w:cs="Times New Roman"/>
          <w:b/>
          <w:color w:val="000000"/>
          <w:szCs w:val="28"/>
        </w:rPr>
      </w:pPr>
      <w:r>
        <w:rPr>
          <w:rFonts w:ascii="Calibri" w:eastAsia="Calibri" w:hAnsi="Calibri" w:cs="Times New Roman"/>
          <w:bCs/>
          <w:color w:val="000000"/>
          <w:szCs w:val="28"/>
        </w:rPr>
        <w:t>This grant will end on 03/31/2028; the grantee will have 60-days to complete their close-out.</w:t>
      </w:r>
      <w:r w:rsidR="00D859DC">
        <w:rPr>
          <w:rFonts w:ascii="Calibri" w:eastAsia="Calibri" w:hAnsi="Calibri" w:cs="Times New Roman"/>
          <w:b/>
          <w:color w:val="000000"/>
          <w:szCs w:val="28"/>
        </w:rPr>
        <w:t xml:space="preserve">  </w:t>
      </w:r>
    </w:p>
    <w:p w14:paraId="536A60C0" w14:textId="77777777" w:rsidR="00D859DC" w:rsidRPr="00F5125E" w:rsidRDefault="00D859DC" w:rsidP="00D859DC">
      <w:pPr>
        <w:pStyle w:val="ListParagraph"/>
        <w:rPr>
          <w:rFonts w:ascii="Calibri" w:eastAsia="Calibri" w:hAnsi="Calibri" w:cs="Times New Roman"/>
          <w:b/>
          <w:color w:val="000000"/>
          <w:szCs w:val="28"/>
        </w:rPr>
      </w:pPr>
    </w:p>
    <w:p w14:paraId="330E7F5E" w14:textId="77777777" w:rsidR="00D859DC"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Can an organization submit one application for both pre-apprentice and apprenticeship programs with the same occupation?</w:t>
      </w:r>
    </w:p>
    <w:p w14:paraId="05A83337"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7A3EF7C2" w14:textId="6B748497" w:rsidR="00D859DC" w:rsidRPr="00111EE4" w:rsidRDefault="00111EE4" w:rsidP="00111EE4">
      <w:pPr>
        <w:pStyle w:val="ListParagraph"/>
        <w:spacing w:after="240" w:line="240" w:lineRule="auto"/>
        <w:rPr>
          <w:rFonts w:ascii="Calibri" w:eastAsia="Calibri" w:hAnsi="Calibri" w:cs="Times New Roman"/>
          <w:bCs/>
          <w:color w:val="000000"/>
          <w:szCs w:val="28"/>
        </w:rPr>
      </w:pPr>
      <w:r w:rsidRPr="00111EE4">
        <w:rPr>
          <w:rFonts w:ascii="Calibri" w:eastAsia="Calibri" w:hAnsi="Calibri" w:cs="Times New Roman"/>
          <w:bCs/>
          <w:color w:val="000000"/>
          <w:szCs w:val="28"/>
        </w:rPr>
        <w:t>An organization may submit only one application and should clearly describe the project it intend</w:t>
      </w:r>
      <w:r>
        <w:rPr>
          <w:rFonts w:ascii="Calibri" w:eastAsia="Calibri" w:hAnsi="Calibri" w:cs="Times New Roman"/>
          <w:bCs/>
          <w:color w:val="000000"/>
          <w:szCs w:val="28"/>
        </w:rPr>
        <w:t>s</w:t>
      </w:r>
      <w:r w:rsidRPr="00111EE4">
        <w:rPr>
          <w:rFonts w:ascii="Calibri" w:eastAsia="Calibri" w:hAnsi="Calibri" w:cs="Times New Roman"/>
          <w:bCs/>
          <w:color w:val="000000"/>
          <w:szCs w:val="28"/>
        </w:rPr>
        <w:t xml:space="preserve"> to deliver.</w:t>
      </w:r>
    </w:p>
    <w:p w14:paraId="5CB3C0F1" w14:textId="77777777" w:rsidR="00D859DC" w:rsidRPr="00F5125E" w:rsidRDefault="00D859DC" w:rsidP="00D859DC">
      <w:pPr>
        <w:pStyle w:val="ListParagraph"/>
        <w:rPr>
          <w:rFonts w:ascii="Calibri" w:eastAsia="Calibri" w:hAnsi="Calibri" w:cs="Times New Roman"/>
          <w:b/>
          <w:color w:val="000000"/>
          <w:szCs w:val="28"/>
        </w:rPr>
      </w:pPr>
    </w:p>
    <w:p w14:paraId="76FDB3F1" w14:textId="77777777" w:rsidR="00D859DC" w:rsidRDefault="00D859DC" w:rsidP="003B6EAD">
      <w:pPr>
        <w:pStyle w:val="ListParagraph"/>
        <w:numPr>
          <w:ilvl w:val="0"/>
          <w:numId w:val="4"/>
        </w:numPr>
        <w:spacing w:after="240" w:line="240" w:lineRule="auto"/>
        <w:rPr>
          <w:rFonts w:ascii="Calibri" w:eastAsia="Calibri" w:hAnsi="Calibri" w:cs="Times New Roman"/>
          <w:b/>
          <w:color w:val="000000"/>
          <w:szCs w:val="28"/>
        </w:rPr>
      </w:pPr>
      <w:r>
        <w:rPr>
          <w:rFonts w:ascii="Calibri" w:eastAsia="Calibri" w:hAnsi="Calibri" w:cs="Times New Roman"/>
          <w:b/>
          <w:color w:val="000000"/>
          <w:szCs w:val="28"/>
        </w:rPr>
        <w:t>Can you provide a list of the grant programs that were named during the presentation?</w:t>
      </w:r>
    </w:p>
    <w:p w14:paraId="7DED0EF2" w14:textId="77777777" w:rsidR="00D859DC" w:rsidRPr="00F300C0" w:rsidRDefault="00D859DC" w:rsidP="00D859DC">
      <w:pPr>
        <w:pStyle w:val="ListParagraph"/>
        <w:rPr>
          <w:rFonts w:ascii="Calibri" w:eastAsia="Calibri" w:hAnsi="Calibri" w:cs="Times New Roman"/>
          <w:b/>
          <w:color w:val="000000"/>
          <w:szCs w:val="28"/>
        </w:rPr>
      </w:pPr>
    </w:p>
    <w:p w14:paraId="0A63576C" w14:textId="77777777" w:rsidR="00D859DC" w:rsidRPr="00F300C0" w:rsidRDefault="00D859DC" w:rsidP="00D859DC">
      <w:pPr>
        <w:pStyle w:val="ListParagraph"/>
        <w:spacing w:line="240" w:lineRule="auto"/>
        <w:rPr>
          <w:rFonts w:ascii="Calibri" w:eastAsia="Calibri" w:hAnsi="Calibri" w:cs="Times New Roman"/>
          <w:bCs/>
          <w:color w:val="000000"/>
          <w:szCs w:val="28"/>
        </w:rPr>
      </w:pPr>
      <w:r>
        <w:rPr>
          <w:rFonts w:ascii="Calibri" w:eastAsia="Calibri" w:hAnsi="Calibri" w:cs="Times New Roman"/>
          <w:bCs/>
          <w:color w:val="000000"/>
          <w:szCs w:val="28"/>
        </w:rPr>
        <w:t>T</w:t>
      </w:r>
      <w:r w:rsidRPr="00F300C0">
        <w:rPr>
          <w:rFonts w:ascii="Calibri" w:eastAsia="Calibri" w:hAnsi="Calibri" w:cs="Times New Roman"/>
          <w:bCs/>
          <w:color w:val="000000"/>
          <w:szCs w:val="28"/>
        </w:rPr>
        <w:t xml:space="preserve">he Displaced Oil and Gas Workers Fund, the English Language Learners grant, the Farmworkers Advancement Program grant, the Employment Social Enterprise grant, the Opportunity Young </w:t>
      </w:r>
      <w:r w:rsidRPr="00F300C0">
        <w:rPr>
          <w:rFonts w:ascii="Calibri" w:eastAsia="Calibri" w:hAnsi="Calibri" w:cs="Times New Roman"/>
          <w:bCs/>
          <w:color w:val="000000"/>
          <w:szCs w:val="28"/>
        </w:rPr>
        <w:lastRenderedPageBreak/>
        <w:t xml:space="preserve">Adult Career Pathways Program grant, and the </w:t>
      </w:r>
      <w:r>
        <w:rPr>
          <w:rFonts w:ascii="Calibri" w:eastAsia="Calibri" w:hAnsi="Calibri" w:cs="Times New Roman"/>
          <w:bCs/>
          <w:color w:val="000000"/>
          <w:szCs w:val="28"/>
        </w:rPr>
        <w:t>D</w:t>
      </w:r>
      <w:r w:rsidRPr="00F300C0">
        <w:rPr>
          <w:rFonts w:ascii="Calibri" w:eastAsia="Calibri" w:hAnsi="Calibri" w:cs="Times New Roman"/>
          <w:bCs/>
          <w:color w:val="000000"/>
          <w:szCs w:val="28"/>
        </w:rPr>
        <w:t xml:space="preserve">epartment of </w:t>
      </w:r>
      <w:r>
        <w:rPr>
          <w:rFonts w:ascii="Calibri" w:eastAsia="Calibri" w:hAnsi="Calibri" w:cs="Times New Roman"/>
          <w:bCs/>
          <w:color w:val="000000"/>
          <w:szCs w:val="28"/>
        </w:rPr>
        <w:t>R</w:t>
      </w:r>
      <w:r w:rsidRPr="00F300C0">
        <w:rPr>
          <w:rFonts w:ascii="Calibri" w:eastAsia="Calibri" w:hAnsi="Calibri" w:cs="Times New Roman"/>
          <w:bCs/>
          <w:color w:val="000000"/>
          <w:szCs w:val="28"/>
        </w:rPr>
        <w:t>ehabilitation AJCC Collaboration Project</w:t>
      </w:r>
      <w:r>
        <w:rPr>
          <w:rFonts w:ascii="Calibri" w:eastAsia="Calibri" w:hAnsi="Calibri" w:cs="Times New Roman"/>
          <w:bCs/>
          <w:color w:val="000000"/>
          <w:szCs w:val="28"/>
        </w:rPr>
        <w:t>.</w:t>
      </w:r>
    </w:p>
    <w:p w14:paraId="201D874E" w14:textId="77777777" w:rsidR="00D859DC" w:rsidRPr="00F5125E" w:rsidRDefault="00D859DC" w:rsidP="00D859DC">
      <w:pPr>
        <w:pStyle w:val="ListParagraph"/>
        <w:rPr>
          <w:rFonts w:ascii="Calibri" w:eastAsia="Calibri" w:hAnsi="Calibri" w:cs="Times New Roman"/>
          <w:b/>
          <w:color w:val="000000"/>
          <w:szCs w:val="28"/>
        </w:rPr>
      </w:pPr>
    </w:p>
    <w:p w14:paraId="27DC703D" w14:textId="77777777" w:rsidR="00D859DC" w:rsidRDefault="00D859DC" w:rsidP="003B6EAD">
      <w:pPr>
        <w:pStyle w:val="ListParagraph"/>
        <w:numPr>
          <w:ilvl w:val="0"/>
          <w:numId w:val="4"/>
        </w:numPr>
        <w:spacing w:after="240" w:line="240" w:lineRule="auto"/>
        <w:rPr>
          <w:rFonts w:ascii="Calibri" w:eastAsia="Calibri" w:hAnsi="Calibri" w:cs="Times New Roman"/>
          <w:b/>
          <w:color w:val="000000"/>
          <w:szCs w:val="28"/>
        </w:rPr>
      </w:pPr>
      <w:r>
        <w:rPr>
          <w:rFonts w:ascii="Calibri" w:eastAsia="Calibri" w:hAnsi="Calibri" w:cs="Times New Roman"/>
          <w:b/>
          <w:color w:val="000000"/>
          <w:szCs w:val="28"/>
        </w:rPr>
        <w:t>Does the selected provider need to be based in California?</w:t>
      </w:r>
    </w:p>
    <w:p w14:paraId="4ECA90C7" w14:textId="77777777" w:rsidR="00D859DC" w:rsidRDefault="00D859DC" w:rsidP="00D859DC">
      <w:pPr>
        <w:pStyle w:val="ListParagraph"/>
        <w:spacing w:line="240" w:lineRule="auto"/>
        <w:rPr>
          <w:rFonts w:ascii="Calibri" w:eastAsia="Calibri" w:hAnsi="Calibri" w:cs="Times New Roman"/>
          <w:bCs/>
          <w:color w:val="000000"/>
          <w:szCs w:val="28"/>
        </w:rPr>
      </w:pPr>
    </w:p>
    <w:p w14:paraId="4C20FA1C" w14:textId="77777777" w:rsidR="00D859DC" w:rsidRPr="002250EF" w:rsidRDefault="00D859DC" w:rsidP="00D859DC">
      <w:pPr>
        <w:pStyle w:val="ListParagraph"/>
        <w:spacing w:line="240" w:lineRule="auto"/>
        <w:rPr>
          <w:rFonts w:ascii="Calibri" w:eastAsia="Calibri" w:hAnsi="Calibri" w:cs="Times New Roman"/>
          <w:bCs/>
          <w:color w:val="000000"/>
          <w:szCs w:val="28"/>
        </w:rPr>
      </w:pPr>
      <w:r>
        <w:rPr>
          <w:rFonts w:ascii="Calibri" w:eastAsia="Calibri" w:hAnsi="Calibri" w:cs="Times New Roman"/>
          <w:bCs/>
          <w:color w:val="000000"/>
          <w:szCs w:val="28"/>
        </w:rPr>
        <w:t>A</w:t>
      </w:r>
      <w:r w:rsidRPr="002250EF">
        <w:rPr>
          <w:rFonts w:ascii="Calibri" w:eastAsia="Calibri" w:hAnsi="Calibri" w:cs="Times New Roman"/>
          <w:bCs/>
          <w:color w:val="000000"/>
          <w:szCs w:val="28"/>
        </w:rPr>
        <w:t>n organization headquartered outside of California is eligible to receive funding from this grant if it follows California State requirements and serves participants in California.</w:t>
      </w:r>
    </w:p>
    <w:p w14:paraId="2827D984" w14:textId="77777777" w:rsidR="00D859DC" w:rsidRPr="00F5125E" w:rsidRDefault="00D859DC" w:rsidP="00D859DC">
      <w:pPr>
        <w:pStyle w:val="ListParagraph"/>
        <w:rPr>
          <w:rFonts w:ascii="Calibri" w:eastAsia="Calibri" w:hAnsi="Calibri" w:cs="Times New Roman"/>
          <w:b/>
          <w:color w:val="000000"/>
          <w:szCs w:val="28"/>
        </w:rPr>
      </w:pPr>
    </w:p>
    <w:p w14:paraId="1BD07286" w14:textId="700F76C9" w:rsidR="00D859DC"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What will be the intervals for data availability from ETPP grantees to the TADE provider?</w:t>
      </w:r>
      <w:r w:rsidR="00111EE4" w:rsidRPr="00111EE4">
        <w:rPr>
          <w:rFonts w:ascii="Calibri" w:eastAsia="Calibri" w:hAnsi="Calibri" w:cs="Times New Roman"/>
          <w:b/>
          <w:color w:val="000000"/>
          <w:szCs w:val="28"/>
        </w:rPr>
        <w:t xml:space="preserve"> </w:t>
      </w:r>
    </w:p>
    <w:p w14:paraId="39D65E1F"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4D316CC5" w14:textId="01050D28" w:rsidR="00111EE4" w:rsidRPr="00111EE4" w:rsidRDefault="00111EE4" w:rsidP="00111EE4">
      <w:pPr>
        <w:pStyle w:val="ListParagraph"/>
        <w:spacing w:after="240" w:line="240" w:lineRule="auto"/>
        <w:rPr>
          <w:rFonts w:ascii="Calibri" w:eastAsia="Calibri" w:hAnsi="Calibri" w:cs="Times New Roman"/>
          <w:bCs/>
          <w:color w:val="000000"/>
          <w:szCs w:val="28"/>
        </w:rPr>
      </w:pPr>
      <w:r w:rsidRPr="00111EE4">
        <w:rPr>
          <w:rFonts w:ascii="Calibri" w:eastAsia="Calibri" w:hAnsi="Calibri" w:cs="Times New Roman"/>
          <w:bCs/>
          <w:color w:val="000000"/>
          <w:szCs w:val="28"/>
        </w:rPr>
        <w:t>Data may be provided on a monthly or quarterly basis. A specific interval will be discussed with the selected TADE provider.</w:t>
      </w:r>
    </w:p>
    <w:p w14:paraId="26C642CB" w14:textId="77777777" w:rsidR="00D859DC" w:rsidRPr="00F5125E" w:rsidRDefault="00D859DC" w:rsidP="00D859DC">
      <w:pPr>
        <w:pStyle w:val="ListParagraph"/>
        <w:rPr>
          <w:rFonts w:ascii="Calibri" w:eastAsia="Calibri" w:hAnsi="Calibri" w:cs="Times New Roman"/>
          <w:b/>
          <w:color w:val="000000"/>
          <w:szCs w:val="28"/>
        </w:rPr>
      </w:pPr>
    </w:p>
    <w:p w14:paraId="1EFD1D7F" w14:textId="77777777" w:rsidR="00D859DC" w:rsidRDefault="00D859DC" w:rsidP="003B6EAD">
      <w:pPr>
        <w:pStyle w:val="ListParagraph"/>
        <w:numPr>
          <w:ilvl w:val="0"/>
          <w:numId w:val="4"/>
        </w:numPr>
        <w:spacing w:after="240" w:line="240" w:lineRule="auto"/>
        <w:rPr>
          <w:rFonts w:ascii="Calibri" w:eastAsia="Calibri" w:hAnsi="Calibri" w:cs="Times New Roman"/>
          <w:b/>
          <w:color w:val="000000"/>
          <w:szCs w:val="28"/>
        </w:rPr>
      </w:pPr>
      <w:r>
        <w:rPr>
          <w:rFonts w:ascii="Calibri" w:eastAsia="Calibri" w:hAnsi="Calibri" w:cs="Times New Roman"/>
          <w:b/>
          <w:color w:val="000000"/>
          <w:szCs w:val="28"/>
        </w:rPr>
        <w:t>Who will be the intended users of the dashboards, and who will need to have access to them?</w:t>
      </w:r>
    </w:p>
    <w:p w14:paraId="6F614A01" w14:textId="77777777" w:rsidR="00D859DC" w:rsidRPr="00DE4162" w:rsidRDefault="00D859DC" w:rsidP="00D859DC">
      <w:pPr>
        <w:pStyle w:val="ListParagraph"/>
        <w:rPr>
          <w:rFonts w:ascii="Calibri" w:eastAsia="Calibri" w:hAnsi="Calibri" w:cs="Times New Roman"/>
          <w:b/>
          <w:color w:val="000000"/>
          <w:szCs w:val="28"/>
        </w:rPr>
      </w:pPr>
    </w:p>
    <w:p w14:paraId="02610366" w14:textId="77777777" w:rsidR="00D859DC" w:rsidRPr="00DE4162" w:rsidRDefault="00D859DC" w:rsidP="00D859DC">
      <w:pPr>
        <w:pStyle w:val="ListParagraph"/>
        <w:spacing w:line="240" w:lineRule="auto"/>
        <w:rPr>
          <w:rFonts w:ascii="Calibri" w:eastAsia="Calibri" w:hAnsi="Calibri" w:cs="Times New Roman"/>
          <w:bCs/>
          <w:color w:val="000000"/>
          <w:szCs w:val="28"/>
        </w:rPr>
      </w:pPr>
      <w:r>
        <w:rPr>
          <w:rFonts w:ascii="Calibri" w:eastAsia="Calibri" w:hAnsi="Calibri" w:cs="Times New Roman"/>
          <w:bCs/>
          <w:color w:val="000000"/>
          <w:szCs w:val="28"/>
        </w:rPr>
        <w:t>The selected TADE provider, grounded in inclusive participant-centered practices, will support the development of practical data tools, such as dashboards, using CalJOBS</w:t>
      </w:r>
      <w:r w:rsidRPr="00DE4162">
        <w:rPr>
          <w:rFonts w:ascii="Calibri" w:eastAsia="Calibri" w:hAnsi="Calibri" w:cs="Times New Roman"/>
          <w:bCs/>
          <w:color w:val="000000"/>
          <w:szCs w:val="28"/>
          <w:vertAlign w:val="superscript"/>
        </w:rPr>
        <w:t>SM</w:t>
      </w:r>
      <w:r>
        <w:rPr>
          <w:rFonts w:ascii="Calibri" w:eastAsia="Calibri" w:hAnsi="Calibri" w:cs="Times New Roman"/>
          <w:bCs/>
          <w:color w:val="000000"/>
          <w:szCs w:val="28"/>
        </w:rPr>
        <w:t xml:space="preserve"> to enhance data use and accessibility.</w:t>
      </w:r>
    </w:p>
    <w:p w14:paraId="5ECC1D6B" w14:textId="77777777" w:rsidR="00D859DC" w:rsidRPr="0008454D" w:rsidRDefault="00D859DC" w:rsidP="00D859DC">
      <w:pPr>
        <w:pStyle w:val="ListParagraph"/>
        <w:rPr>
          <w:rFonts w:ascii="Calibri" w:eastAsia="Calibri" w:hAnsi="Calibri" w:cs="Times New Roman"/>
          <w:b/>
          <w:color w:val="000000"/>
          <w:szCs w:val="28"/>
        </w:rPr>
      </w:pPr>
    </w:p>
    <w:p w14:paraId="57918902" w14:textId="77777777" w:rsidR="00D859DC" w:rsidRDefault="00D859DC" w:rsidP="003B6EAD">
      <w:pPr>
        <w:pStyle w:val="ListParagraph"/>
        <w:numPr>
          <w:ilvl w:val="0"/>
          <w:numId w:val="4"/>
        </w:numPr>
        <w:spacing w:after="240" w:line="240" w:lineRule="auto"/>
        <w:rPr>
          <w:rFonts w:ascii="Calibri" w:eastAsia="Calibri" w:hAnsi="Calibri" w:cs="Times New Roman"/>
          <w:b/>
          <w:color w:val="000000"/>
          <w:szCs w:val="28"/>
        </w:rPr>
      </w:pPr>
      <w:r>
        <w:rPr>
          <w:rFonts w:ascii="Calibri" w:eastAsia="Calibri" w:hAnsi="Calibri" w:cs="Times New Roman"/>
          <w:b/>
          <w:color w:val="000000"/>
          <w:szCs w:val="28"/>
        </w:rPr>
        <w:t>For the Notice of Intent to apply, is a letter signed by the organization’s authorized signatory needed?</w:t>
      </w:r>
    </w:p>
    <w:p w14:paraId="0541FB3B" w14:textId="77777777" w:rsidR="00D859DC" w:rsidRDefault="00D859DC" w:rsidP="00D859DC">
      <w:pPr>
        <w:pStyle w:val="ListParagraph"/>
        <w:spacing w:line="240" w:lineRule="auto"/>
        <w:rPr>
          <w:rFonts w:ascii="Calibri" w:eastAsia="Calibri" w:hAnsi="Calibri" w:cs="Times New Roman"/>
          <w:bCs/>
          <w:color w:val="000000"/>
          <w:szCs w:val="28"/>
        </w:rPr>
      </w:pPr>
    </w:p>
    <w:p w14:paraId="4F4FB051" w14:textId="77777777" w:rsidR="00D859DC" w:rsidRPr="00DE4162" w:rsidRDefault="00D859DC" w:rsidP="00D859DC">
      <w:pPr>
        <w:pStyle w:val="ListParagraph"/>
        <w:spacing w:line="240" w:lineRule="auto"/>
        <w:rPr>
          <w:rFonts w:ascii="Calibri" w:eastAsia="Calibri" w:hAnsi="Calibri" w:cs="Times New Roman"/>
          <w:bCs/>
          <w:color w:val="000000"/>
          <w:szCs w:val="28"/>
        </w:rPr>
      </w:pPr>
      <w:r>
        <w:rPr>
          <w:rFonts w:ascii="Calibri" w:eastAsia="Calibri" w:hAnsi="Calibri" w:cs="Times New Roman"/>
          <w:bCs/>
          <w:color w:val="000000"/>
          <w:szCs w:val="28"/>
        </w:rPr>
        <w:t xml:space="preserve">The notice of intent to apply is not required but strongly recommended. Send an email to </w:t>
      </w:r>
      <w:hyperlink r:id="rId14" w:history="1">
        <w:r w:rsidRPr="00A714FD">
          <w:rPr>
            <w:rStyle w:val="Hyperlink"/>
            <w:rFonts w:ascii="Calibri" w:eastAsia="Calibri" w:hAnsi="Calibri" w:cs="Times New Roman"/>
            <w:bCs/>
            <w:szCs w:val="28"/>
          </w:rPr>
          <w:t>WSBSFP3@edd.ca.gov</w:t>
        </w:r>
      </w:hyperlink>
      <w:r>
        <w:rPr>
          <w:rFonts w:ascii="Calibri" w:eastAsia="Calibri" w:hAnsi="Calibri" w:cs="Times New Roman"/>
          <w:bCs/>
          <w:color w:val="000000"/>
          <w:szCs w:val="28"/>
        </w:rPr>
        <w:t xml:space="preserve"> with “Notice of Intent” in the subject line, and in the body of the email, list the name of your organization and a contact person with their contact information. A letter signed by the organization’s authorized signatory is not required.</w:t>
      </w:r>
    </w:p>
    <w:p w14:paraId="3F2C01DF" w14:textId="77777777" w:rsidR="00D859DC" w:rsidRPr="0008454D" w:rsidRDefault="00D859DC" w:rsidP="00D859DC">
      <w:pPr>
        <w:pStyle w:val="ListParagraph"/>
        <w:rPr>
          <w:rFonts w:ascii="Calibri" w:eastAsia="Calibri" w:hAnsi="Calibri" w:cs="Times New Roman"/>
          <w:b/>
          <w:color w:val="000000"/>
          <w:szCs w:val="28"/>
        </w:rPr>
      </w:pPr>
    </w:p>
    <w:p w14:paraId="165097D0" w14:textId="77777777" w:rsidR="00D859DC" w:rsidRPr="00111EE4" w:rsidRDefault="00D859DC" w:rsidP="003B6EAD">
      <w:pPr>
        <w:pStyle w:val="ListParagraph"/>
        <w:numPr>
          <w:ilvl w:val="0"/>
          <w:numId w:val="4"/>
        </w:numPr>
        <w:spacing w:after="240" w:line="240" w:lineRule="auto"/>
        <w:rPr>
          <w:rFonts w:ascii="Calibri" w:eastAsia="Calibri" w:hAnsi="Calibri" w:cs="Times New Roman"/>
          <w:b/>
          <w:color w:val="000000"/>
          <w:szCs w:val="28"/>
        </w:rPr>
      </w:pPr>
      <w:r w:rsidRPr="00111EE4">
        <w:rPr>
          <w:rFonts w:ascii="Calibri" w:eastAsia="Calibri" w:hAnsi="Calibri" w:cs="Times New Roman"/>
          <w:b/>
          <w:color w:val="000000"/>
          <w:szCs w:val="28"/>
        </w:rPr>
        <w:t>Does a single organization have to provide the TADE, or can a partner research organization be included?</w:t>
      </w:r>
    </w:p>
    <w:p w14:paraId="37EEA6D8" w14:textId="77777777" w:rsidR="00111EE4" w:rsidRDefault="00111EE4" w:rsidP="00111EE4">
      <w:pPr>
        <w:pStyle w:val="ListParagraph"/>
        <w:spacing w:after="240" w:line="240" w:lineRule="auto"/>
        <w:rPr>
          <w:rFonts w:ascii="Calibri" w:eastAsia="Calibri" w:hAnsi="Calibri" w:cs="Times New Roman"/>
          <w:bCs/>
          <w:color w:val="000000"/>
          <w:szCs w:val="28"/>
        </w:rPr>
      </w:pPr>
    </w:p>
    <w:p w14:paraId="555DF1B7" w14:textId="12F40EF6" w:rsidR="00111EE4" w:rsidRPr="00111EE4" w:rsidRDefault="00111EE4" w:rsidP="00111EE4">
      <w:pPr>
        <w:pStyle w:val="ListParagraph"/>
        <w:spacing w:after="240" w:line="240" w:lineRule="auto"/>
        <w:rPr>
          <w:rFonts w:ascii="Calibri" w:eastAsia="Calibri" w:hAnsi="Calibri" w:cs="Times New Roman"/>
          <w:bCs/>
          <w:color w:val="000000"/>
          <w:szCs w:val="28"/>
        </w:rPr>
      </w:pPr>
      <w:r w:rsidRPr="00111EE4">
        <w:rPr>
          <w:rFonts w:ascii="Calibri" w:eastAsia="Calibri" w:hAnsi="Calibri" w:cs="Times New Roman"/>
          <w:bCs/>
          <w:color w:val="000000"/>
          <w:szCs w:val="28"/>
        </w:rPr>
        <w:t>Applicants may include other partners.</w:t>
      </w:r>
    </w:p>
    <w:p w14:paraId="2CDCCB33" w14:textId="77777777" w:rsidR="00D859DC" w:rsidRPr="0008454D" w:rsidRDefault="00D859DC" w:rsidP="00D859DC">
      <w:pPr>
        <w:pStyle w:val="ListParagraph"/>
        <w:rPr>
          <w:rFonts w:ascii="Calibri" w:eastAsia="Calibri" w:hAnsi="Calibri" w:cs="Times New Roman"/>
          <w:b/>
          <w:color w:val="000000"/>
          <w:szCs w:val="28"/>
        </w:rPr>
      </w:pPr>
    </w:p>
    <w:p w14:paraId="2D6C25B1" w14:textId="77777777" w:rsidR="00D859DC" w:rsidRDefault="00D859DC" w:rsidP="003B6EAD">
      <w:pPr>
        <w:pStyle w:val="ListParagraph"/>
        <w:numPr>
          <w:ilvl w:val="0"/>
          <w:numId w:val="4"/>
        </w:numPr>
        <w:spacing w:after="240" w:line="240" w:lineRule="auto"/>
        <w:rPr>
          <w:rFonts w:ascii="Calibri" w:eastAsia="Calibri" w:hAnsi="Calibri" w:cs="Times New Roman"/>
          <w:b/>
          <w:color w:val="000000"/>
          <w:szCs w:val="28"/>
        </w:rPr>
      </w:pPr>
      <w:r>
        <w:rPr>
          <w:rFonts w:ascii="Calibri" w:eastAsia="Calibri" w:hAnsi="Calibri" w:cs="Times New Roman"/>
          <w:b/>
          <w:color w:val="000000"/>
          <w:szCs w:val="28"/>
        </w:rPr>
        <w:t>What is the definition of a Workforce Intermediary?</w:t>
      </w:r>
    </w:p>
    <w:p w14:paraId="28EEB9B0" w14:textId="77777777" w:rsidR="00D859DC" w:rsidRPr="00656E1C" w:rsidRDefault="00D859DC" w:rsidP="00D859DC">
      <w:pPr>
        <w:pStyle w:val="ListParagraph"/>
        <w:rPr>
          <w:rFonts w:ascii="Calibri" w:eastAsia="Calibri" w:hAnsi="Calibri" w:cs="Times New Roman"/>
          <w:b/>
          <w:color w:val="000000"/>
          <w:szCs w:val="28"/>
        </w:rPr>
      </w:pPr>
    </w:p>
    <w:p w14:paraId="69566C3A" w14:textId="77777777" w:rsidR="00D859DC" w:rsidRDefault="00D859DC" w:rsidP="00D859DC">
      <w:pPr>
        <w:pStyle w:val="ListParagraph"/>
        <w:spacing w:line="240" w:lineRule="auto"/>
        <w:rPr>
          <w:rFonts w:ascii="Calibri" w:eastAsia="Calibri" w:hAnsi="Calibri" w:cs="Times New Roman"/>
          <w:bCs/>
          <w:color w:val="000000"/>
          <w:szCs w:val="28"/>
        </w:rPr>
      </w:pPr>
      <w:r>
        <w:rPr>
          <w:rFonts w:ascii="Calibri" w:eastAsia="Calibri" w:hAnsi="Calibri" w:cs="Times New Roman"/>
          <w:bCs/>
          <w:color w:val="000000"/>
          <w:szCs w:val="28"/>
        </w:rPr>
        <w:t>The state of California does not have a single, formal statutory definition for a Workforce Intermediary. In practice, a Workforce Intermediary is an organization that brokers the relationship between employers and job seekers to facilitate job placement, skill development, and career advancement.</w:t>
      </w:r>
    </w:p>
    <w:p w14:paraId="5A70E9F2" w14:textId="77777777" w:rsidR="00806961" w:rsidRDefault="00806961" w:rsidP="00D859DC">
      <w:pPr>
        <w:pStyle w:val="ListParagraph"/>
        <w:spacing w:line="240" w:lineRule="auto"/>
        <w:rPr>
          <w:rFonts w:ascii="Calibri" w:eastAsia="Calibri" w:hAnsi="Calibri" w:cs="Times New Roman"/>
          <w:bCs/>
          <w:color w:val="000000"/>
          <w:szCs w:val="28"/>
        </w:rPr>
      </w:pPr>
    </w:p>
    <w:p w14:paraId="36108ED3" w14:textId="77777777" w:rsidR="00806961" w:rsidRDefault="00806961" w:rsidP="00806961">
      <w:pPr>
        <w:pStyle w:val="ListParagraph"/>
        <w:numPr>
          <w:ilvl w:val="0"/>
          <w:numId w:val="4"/>
        </w:numPr>
        <w:rPr>
          <w:rFonts w:ascii="Calibri" w:hAnsi="Calibri" w:cs="Calibri"/>
          <w:b/>
          <w:bCs/>
        </w:rPr>
      </w:pPr>
      <w:r w:rsidRPr="00806961">
        <w:rPr>
          <w:rFonts w:ascii="Calibri" w:hAnsi="Calibri" w:cs="Calibri"/>
          <w:b/>
          <w:bCs/>
        </w:rPr>
        <w:t>Can you clarify how the Intellectual Property Rights/Creative Commons Attribution License section, which says subrecipients own the intangible property they create, aligns with the Deliverables section that states that deliverables, defined as data and products developed under this grant, “remain the property of the EDD”?</w:t>
      </w:r>
    </w:p>
    <w:p w14:paraId="28CF274F" w14:textId="5D6678E8" w:rsidR="00806961" w:rsidRPr="00806961" w:rsidRDefault="00806961" w:rsidP="00806961">
      <w:pPr>
        <w:ind w:left="720"/>
        <w:rPr>
          <w:rFonts w:ascii="Calibri" w:hAnsi="Calibri" w:cs="Calibri"/>
        </w:rPr>
      </w:pPr>
      <w:r w:rsidRPr="00806961">
        <w:rPr>
          <w:rFonts w:ascii="Calibri" w:hAnsi="Calibri" w:cs="Calibri"/>
        </w:rPr>
        <w:lastRenderedPageBreak/>
        <w:t>The Intellectual Property Rights/Creative Commons Attribution License section and the Deliverables section are intended to work together and are not in conflict. Subrecipients retain ownership of any intellectual or intangible property they create under the grant. However, consistent with federal grant requirements, including U.S. Department of Labor and Uniform Guidance provisions, all deliverables produced with grant funds are subject to a perpetual, royalty-free, nonexclusive license that allows EDD to use, reproduce, publish, and distribute those deliverables without restriction.</w:t>
      </w:r>
    </w:p>
    <w:p w14:paraId="41D2CB4B" w14:textId="2E23D10D" w:rsidR="00806961" w:rsidRPr="00806961" w:rsidRDefault="00806961" w:rsidP="00806961">
      <w:pPr>
        <w:ind w:left="720"/>
        <w:rPr>
          <w:rFonts w:ascii="Calibri" w:hAnsi="Calibri" w:cs="Calibri"/>
        </w:rPr>
      </w:pPr>
      <w:r w:rsidRPr="00806961">
        <w:rPr>
          <w:rFonts w:ascii="Calibri" w:hAnsi="Calibri" w:cs="Calibri"/>
        </w:rPr>
        <w:t>Accordingly, while subrecipients may own the underlying intellectual property, the deliverables developed under this grant must remain available for EDD’s full use and control to meet programmatic, reporting, and public access requirements.</w:t>
      </w:r>
    </w:p>
    <w:p w14:paraId="5A30DC9F" w14:textId="77777777" w:rsidR="00806961" w:rsidRDefault="00806961" w:rsidP="00806961">
      <w:pPr>
        <w:pStyle w:val="ListParagraph"/>
        <w:numPr>
          <w:ilvl w:val="0"/>
          <w:numId w:val="4"/>
        </w:numPr>
        <w:rPr>
          <w:rFonts w:ascii="Calibri" w:hAnsi="Calibri" w:cs="Calibri"/>
          <w:b/>
          <w:bCs/>
        </w:rPr>
      </w:pPr>
      <w:r w:rsidRPr="00806961">
        <w:rPr>
          <w:rFonts w:ascii="Calibri" w:hAnsi="Calibri" w:cs="Calibri"/>
          <w:b/>
          <w:bCs/>
        </w:rPr>
        <w:t>Is providing incentives for program participant engagement in focus groups and/or other data collection an allowable participant cost?</w:t>
      </w:r>
    </w:p>
    <w:p w14:paraId="13A6F4DD" w14:textId="77777777" w:rsidR="00806961" w:rsidRDefault="00806961" w:rsidP="00806961">
      <w:pPr>
        <w:pStyle w:val="ListParagraph"/>
        <w:rPr>
          <w:rFonts w:ascii="Calibri" w:hAnsi="Calibri" w:cs="Calibri"/>
          <w:b/>
          <w:bCs/>
        </w:rPr>
      </w:pPr>
    </w:p>
    <w:p w14:paraId="6098362C" w14:textId="48A752C1" w:rsidR="00806961" w:rsidRDefault="005C10E8" w:rsidP="00806961">
      <w:pPr>
        <w:pStyle w:val="ListParagraph"/>
        <w:rPr>
          <w:rFonts w:ascii="Calibri" w:hAnsi="Calibri" w:cs="Calibri"/>
        </w:rPr>
      </w:pPr>
      <w:r w:rsidRPr="005C10E8">
        <w:rPr>
          <w:rFonts w:ascii="Calibri" w:hAnsi="Calibri" w:cs="Calibri"/>
        </w:rPr>
        <w:t>Please review Workforce Services Directive 16</w:t>
      </w:r>
      <w:r w:rsidRPr="005C10E8">
        <w:rPr>
          <w:rFonts w:ascii="Cambria Math" w:hAnsi="Cambria Math" w:cs="Cambria Math"/>
        </w:rPr>
        <w:t>‑</w:t>
      </w:r>
      <w:r w:rsidRPr="005C10E8">
        <w:rPr>
          <w:rFonts w:ascii="Calibri" w:hAnsi="Calibri" w:cs="Calibri"/>
        </w:rPr>
        <w:t>16, which discusses allowable costs under WIOA.</w:t>
      </w:r>
    </w:p>
    <w:p w14:paraId="6C63025F" w14:textId="77777777" w:rsidR="005C10E8" w:rsidRPr="00806961" w:rsidRDefault="005C10E8" w:rsidP="00806961">
      <w:pPr>
        <w:pStyle w:val="ListParagraph"/>
        <w:rPr>
          <w:rFonts w:ascii="Calibri" w:hAnsi="Calibri" w:cs="Calibri"/>
        </w:rPr>
      </w:pPr>
    </w:p>
    <w:p w14:paraId="37C1B039" w14:textId="77777777" w:rsidR="00806961" w:rsidRPr="00806961" w:rsidRDefault="00806961" w:rsidP="00806961">
      <w:pPr>
        <w:pStyle w:val="ListParagraph"/>
        <w:numPr>
          <w:ilvl w:val="0"/>
          <w:numId w:val="4"/>
        </w:numPr>
        <w:rPr>
          <w:rFonts w:ascii="Calibri" w:hAnsi="Calibri" w:cs="Calibri"/>
          <w:b/>
          <w:bCs/>
        </w:rPr>
      </w:pPr>
      <w:r w:rsidRPr="00806961">
        <w:rPr>
          <w:rFonts w:ascii="Calibri" w:hAnsi="Calibri" w:cs="Calibri"/>
          <w:b/>
          <w:bCs/>
        </w:rPr>
        <w:t>Per the SFP, “the TADE will assess the Labor Workforce Development Agency and the EDD joint TADE strategy to provide recommendations on how TADE investments for future programs can be improved.” Could more information about this part of the project be provided?</w:t>
      </w:r>
    </w:p>
    <w:p w14:paraId="7E59BC7E" w14:textId="325AFD6D" w:rsidR="00806961" w:rsidRPr="00656E1C" w:rsidRDefault="00806961" w:rsidP="00806961">
      <w:pPr>
        <w:pStyle w:val="ListParagraph"/>
        <w:spacing w:line="240" w:lineRule="auto"/>
        <w:rPr>
          <w:rFonts w:ascii="Calibri" w:eastAsia="Calibri" w:hAnsi="Calibri" w:cs="Times New Roman"/>
          <w:bCs/>
          <w:color w:val="000000"/>
          <w:szCs w:val="28"/>
        </w:rPr>
      </w:pPr>
    </w:p>
    <w:p w14:paraId="43F503EA" w14:textId="4CA5A11C" w:rsidR="005C10E8" w:rsidRPr="005C10E8" w:rsidRDefault="005C10E8" w:rsidP="00D859DC">
      <w:pPr>
        <w:pStyle w:val="ListParagraph"/>
        <w:rPr>
          <w:rFonts w:ascii="Calibri" w:eastAsia="Calibri" w:hAnsi="Calibri" w:cs="Times New Roman"/>
          <w:bCs/>
          <w:color w:val="000000"/>
          <w:szCs w:val="28"/>
        </w:rPr>
      </w:pPr>
      <w:r w:rsidRPr="005C10E8">
        <w:rPr>
          <w:rFonts w:ascii="Calibri" w:eastAsia="Calibri" w:hAnsi="Calibri" w:cs="Times New Roman"/>
          <w:bCs/>
          <w:color w:val="000000"/>
          <w:szCs w:val="28"/>
        </w:rPr>
        <w:t>As this is an open and competitive grant process, no additional information is available at this time. Further guidance will be provided to the awardee.</w:t>
      </w:r>
    </w:p>
    <w:p w14:paraId="0C11B3B9" w14:textId="77777777" w:rsidR="005C10E8" w:rsidRPr="0008454D" w:rsidRDefault="005C10E8" w:rsidP="00D859DC">
      <w:pPr>
        <w:pStyle w:val="ListParagraph"/>
        <w:rPr>
          <w:rFonts w:ascii="Calibri" w:eastAsia="Calibri" w:hAnsi="Calibri" w:cs="Times New Roman"/>
          <w:b/>
          <w:color w:val="000000"/>
          <w:szCs w:val="28"/>
        </w:rPr>
      </w:pPr>
    </w:p>
    <w:p w14:paraId="3E9961D6" w14:textId="77777777" w:rsidR="00D859DC" w:rsidRDefault="00D859DC" w:rsidP="003B6EAD">
      <w:pPr>
        <w:pStyle w:val="ListParagraph"/>
        <w:numPr>
          <w:ilvl w:val="0"/>
          <w:numId w:val="4"/>
        </w:numPr>
        <w:spacing w:after="0" w:line="240" w:lineRule="auto"/>
        <w:rPr>
          <w:rFonts w:ascii="Calibri" w:eastAsia="Calibri" w:hAnsi="Calibri" w:cs="Times New Roman"/>
          <w:b/>
          <w:color w:val="000000"/>
          <w:szCs w:val="28"/>
        </w:rPr>
      </w:pPr>
      <w:r>
        <w:rPr>
          <w:rFonts w:ascii="Calibri" w:eastAsia="Calibri" w:hAnsi="Calibri" w:cs="Times New Roman"/>
          <w:b/>
          <w:color w:val="000000"/>
          <w:szCs w:val="28"/>
        </w:rPr>
        <w:t>Will the entire funding amount of $1.5 million be awarded to a single organization?</w:t>
      </w:r>
    </w:p>
    <w:p w14:paraId="1D4B3698" w14:textId="77777777" w:rsidR="00D859DC" w:rsidRPr="00A412EB" w:rsidRDefault="00D859DC" w:rsidP="00D859DC">
      <w:pPr>
        <w:pStyle w:val="ListParagraph"/>
        <w:rPr>
          <w:rFonts w:ascii="Calibri" w:eastAsia="Calibri" w:hAnsi="Calibri" w:cs="Times New Roman"/>
          <w:b/>
          <w:color w:val="000000"/>
          <w:szCs w:val="28"/>
        </w:rPr>
      </w:pPr>
    </w:p>
    <w:p w14:paraId="697A359D" w14:textId="77777777" w:rsidR="00D859DC" w:rsidRDefault="00D859DC" w:rsidP="00D859DC">
      <w:pPr>
        <w:pStyle w:val="ListParagraph"/>
        <w:spacing w:line="240" w:lineRule="auto"/>
        <w:rPr>
          <w:rFonts w:ascii="Calibri" w:eastAsia="Calibri" w:hAnsi="Calibri" w:cs="Times New Roman"/>
          <w:bCs/>
          <w:color w:val="000000"/>
          <w:szCs w:val="28"/>
        </w:rPr>
      </w:pPr>
      <w:r w:rsidRPr="00A412EB">
        <w:rPr>
          <w:rFonts w:ascii="Calibri" w:eastAsia="Calibri" w:hAnsi="Calibri" w:cs="Times New Roman"/>
          <w:bCs/>
          <w:color w:val="000000"/>
          <w:szCs w:val="28"/>
        </w:rPr>
        <w:t>While the state may consider exceeding the maximum award amount based on available resources, only one project is anticipated to be funded through the PY 25-26 EPTA solicitation for proposals.</w:t>
      </w:r>
    </w:p>
    <w:p w14:paraId="33EBFE8C" w14:textId="77777777" w:rsidR="00806961" w:rsidRDefault="00806961" w:rsidP="00D859DC">
      <w:pPr>
        <w:pStyle w:val="ListParagraph"/>
        <w:spacing w:line="240" w:lineRule="auto"/>
        <w:rPr>
          <w:rFonts w:ascii="Calibri" w:eastAsia="Calibri" w:hAnsi="Calibri" w:cs="Times New Roman"/>
          <w:bCs/>
          <w:color w:val="000000"/>
          <w:szCs w:val="28"/>
        </w:rPr>
      </w:pPr>
    </w:p>
    <w:p w14:paraId="598EC76C" w14:textId="77777777" w:rsidR="00806961" w:rsidRPr="00A412EB" w:rsidRDefault="00806961" w:rsidP="00D859DC">
      <w:pPr>
        <w:pStyle w:val="ListParagraph"/>
        <w:spacing w:line="240" w:lineRule="auto"/>
        <w:rPr>
          <w:rFonts w:ascii="Calibri" w:eastAsia="Calibri" w:hAnsi="Calibri" w:cs="Times New Roman"/>
          <w:bCs/>
          <w:color w:val="000000"/>
          <w:szCs w:val="28"/>
        </w:rPr>
      </w:pPr>
    </w:p>
    <w:p w14:paraId="1067C46B" w14:textId="77777777" w:rsidR="00D859DC" w:rsidRDefault="00D859DC" w:rsidP="00D859DC">
      <w:pPr>
        <w:pStyle w:val="ListParagraph"/>
        <w:spacing w:after="0" w:line="240" w:lineRule="auto"/>
        <w:ind w:left="360"/>
        <w:rPr>
          <w:rFonts w:ascii="Calibri" w:eastAsia="Calibri" w:hAnsi="Calibri" w:cs="Times New Roman"/>
          <w:bCs/>
          <w:color w:val="000000"/>
          <w:szCs w:val="28"/>
        </w:rPr>
      </w:pPr>
    </w:p>
    <w:p w14:paraId="75A9F7E0" w14:textId="419581BF" w:rsidR="000A7E79" w:rsidRPr="00D859DC" w:rsidRDefault="000A7E79" w:rsidP="00D859DC">
      <w:pPr>
        <w:spacing w:after="0" w:line="240" w:lineRule="auto"/>
        <w:rPr>
          <w:szCs w:val="24"/>
        </w:rPr>
      </w:pPr>
    </w:p>
    <w:sectPr w:rsidR="000A7E79" w:rsidRPr="00D859DC" w:rsidSect="00C61260">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993B" w14:textId="77777777" w:rsidR="007B003C" w:rsidRDefault="007B003C" w:rsidP="00C4619D">
      <w:pPr>
        <w:spacing w:after="0" w:line="240" w:lineRule="auto"/>
      </w:pPr>
      <w:r>
        <w:separator/>
      </w:r>
    </w:p>
  </w:endnote>
  <w:endnote w:type="continuationSeparator" w:id="0">
    <w:p w14:paraId="33DFA41A" w14:textId="77777777" w:rsidR="007B003C" w:rsidRDefault="007B003C"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BF6E" w14:textId="77777777" w:rsidR="00DB3EBF" w:rsidRDefault="00DB3EBF" w:rsidP="00DB3EBF">
    <w:pPr>
      <w:pStyle w:val="Footer"/>
    </w:pPr>
    <w:r>
      <w:t>EPTA PY 25-26 SFP Q&amp;A</w:t>
    </w:r>
    <w:r>
      <w:ptab w:relativeTo="margin" w:alignment="center" w:leader="none"/>
    </w:r>
    <w:r>
      <w:ptab w:relativeTo="margin" w:alignment="right" w:leader="none"/>
    </w:r>
    <w:r>
      <w:t>J</w:t>
    </w:r>
    <w:sdt>
      <w:sdtPr>
        <w:id w:val="-40909333"/>
        <w:docPartObj>
          <w:docPartGallery w:val="Page Numbers (Top of Page)"/>
          <w:docPartUnique/>
        </w:docPartObj>
      </w:sdtPr>
      <w:sdtEndPr>
        <w:rPr>
          <w:szCs w:val="24"/>
        </w:rPr>
      </w:sdtEndPr>
      <w:sdtContent>
        <w:r>
          <w:t>anuary 2026</w:t>
        </w:r>
      </w:sdtContent>
    </w:sdt>
  </w:p>
  <w:p w14:paraId="78CA5F0D" w14:textId="77777777" w:rsidR="00DB3EBF" w:rsidRDefault="00DB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ED" w14:textId="1F9B164B" w:rsidR="00A20493" w:rsidRDefault="00D772FA">
    <w:pPr>
      <w:pStyle w:val="Footer"/>
    </w:pPr>
    <w:r>
      <w:t>EPTA PY 25-26 SFP Q&amp;A</w:t>
    </w:r>
    <w:r>
      <w:ptab w:relativeTo="margin" w:alignment="center" w:leader="none"/>
    </w:r>
    <w:r>
      <w:ptab w:relativeTo="margin" w:alignment="right" w:leader="none"/>
    </w:r>
    <w:r>
      <w:t>J</w:t>
    </w:r>
    <w:sdt>
      <w:sdtPr>
        <w:id w:val="1728636285"/>
        <w:docPartObj>
          <w:docPartGallery w:val="Page Numbers (Top of Page)"/>
          <w:docPartUnique/>
        </w:docPartObj>
      </w:sdtPr>
      <w:sdtEndPr>
        <w:rPr>
          <w:szCs w:val="24"/>
        </w:rPr>
      </w:sdtEndPr>
      <w:sdtContent>
        <w:r>
          <w:t>anuary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3D14" w14:textId="77777777" w:rsidR="007B003C" w:rsidRDefault="007B003C" w:rsidP="00C4619D">
      <w:pPr>
        <w:spacing w:after="0" w:line="240" w:lineRule="auto"/>
      </w:pPr>
      <w:r>
        <w:separator/>
      </w:r>
    </w:p>
  </w:footnote>
  <w:footnote w:type="continuationSeparator" w:id="0">
    <w:p w14:paraId="163A030A" w14:textId="77777777" w:rsidR="007B003C" w:rsidRDefault="007B003C" w:rsidP="00C4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E5" w14:textId="77777777" w:rsidR="00EB620C" w:rsidRDefault="00EB620C" w:rsidP="00DF7D10">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12B1"/>
    <w:multiLevelType w:val="hybridMultilevel"/>
    <w:tmpl w:val="496C0DA0"/>
    <w:lvl w:ilvl="0" w:tplc="22043D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6495B"/>
    <w:multiLevelType w:val="hybridMultilevel"/>
    <w:tmpl w:val="E258D6D6"/>
    <w:lvl w:ilvl="0" w:tplc="8DCC3CC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F1728"/>
    <w:multiLevelType w:val="hybridMultilevel"/>
    <w:tmpl w:val="652E3232"/>
    <w:lvl w:ilvl="0" w:tplc="2ED06E8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10238">
    <w:abstractNumId w:val="3"/>
  </w:num>
  <w:num w:numId="2" w16cid:durableId="562103451">
    <w:abstractNumId w:val="2"/>
  </w:num>
  <w:num w:numId="3" w16cid:durableId="1407416992">
    <w:abstractNumId w:val="0"/>
  </w:num>
  <w:num w:numId="4" w16cid:durableId="140522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wtzQyMzUyNTIytzRX0lEKTi0uzszPAykwrAUAlL1F7CwAAAA="/>
  </w:docVars>
  <w:rsids>
    <w:rsidRoot w:val="00C4619D"/>
    <w:rsid w:val="00011FF6"/>
    <w:rsid w:val="0005733A"/>
    <w:rsid w:val="00070957"/>
    <w:rsid w:val="00070DF8"/>
    <w:rsid w:val="00077074"/>
    <w:rsid w:val="000907CE"/>
    <w:rsid w:val="000A7E79"/>
    <w:rsid w:val="000C3C5A"/>
    <w:rsid w:val="000D41F4"/>
    <w:rsid w:val="00111EE4"/>
    <w:rsid w:val="00166463"/>
    <w:rsid w:val="00167951"/>
    <w:rsid w:val="001A2FE1"/>
    <w:rsid w:val="001A43A0"/>
    <w:rsid w:val="00233C68"/>
    <w:rsid w:val="00243E97"/>
    <w:rsid w:val="00246560"/>
    <w:rsid w:val="0027732C"/>
    <w:rsid w:val="0029566A"/>
    <w:rsid w:val="002A49F5"/>
    <w:rsid w:val="002D578B"/>
    <w:rsid w:val="002F1B40"/>
    <w:rsid w:val="003A6798"/>
    <w:rsid w:val="003B6EAD"/>
    <w:rsid w:val="003D4C8C"/>
    <w:rsid w:val="003F4960"/>
    <w:rsid w:val="00433441"/>
    <w:rsid w:val="00483BBE"/>
    <w:rsid w:val="004B121A"/>
    <w:rsid w:val="004C54B7"/>
    <w:rsid w:val="004C7A9D"/>
    <w:rsid w:val="004D2C52"/>
    <w:rsid w:val="004D4E7D"/>
    <w:rsid w:val="00544BA0"/>
    <w:rsid w:val="005C10E8"/>
    <w:rsid w:val="005C4514"/>
    <w:rsid w:val="005E57E5"/>
    <w:rsid w:val="00635F03"/>
    <w:rsid w:val="00686543"/>
    <w:rsid w:val="00693DDF"/>
    <w:rsid w:val="006A3FCD"/>
    <w:rsid w:val="006A609C"/>
    <w:rsid w:val="006B415E"/>
    <w:rsid w:val="006D1667"/>
    <w:rsid w:val="0071078A"/>
    <w:rsid w:val="00716669"/>
    <w:rsid w:val="00721970"/>
    <w:rsid w:val="007538F6"/>
    <w:rsid w:val="00771FA8"/>
    <w:rsid w:val="00790215"/>
    <w:rsid w:val="007B003C"/>
    <w:rsid w:val="007C0F9E"/>
    <w:rsid w:val="007D3711"/>
    <w:rsid w:val="008061A0"/>
    <w:rsid w:val="00806961"/>
    <w:rsid w:val="00861DD5"/>
    <w:rsid w:val="008909EA"/>
    <w:rsid w:val="008A2287"/>
    <w:rsid w:val="009632DF"/>
    <w:rsid w:val="00981B51"/>
    <w:rsid w:val="00A11416"/>
    <w:rsid w:val="00A20493"/>
    <w:rsid w:val="00A21B60"/>
    <w:rsid w:val="00A311B3"/>
    <w:rsid w:val="00A53A4A"/>
    <w:rsid w:val="00A73267"/>
    <w:rsid w:val="00A753B5"/>
    <w:rsid w:val="00A86DD1"/>
    <w:rsid w:val="00A87723"/>
    <w:rsid w:val="00AC5AF0"/>
    <w:rsid w:val="00AF6711"/>
    <w:rsid w:val="00B1615B"/>
    <w:rsid w:val="00B329FF"/>
    <w:rsid w:val="00B37BB7"/>
    <w:rsid w:val="00B44FC5"/>
    <w:rsid w:val="00B61E64"/>
    <w:rsid w:val="00B62F8E"/>
    <w:rsid w:val="00B775DE"/>
    <w:rsid w:val="00B814D8"/>
    <w:rsid w:val="00BA1FEF"/>
    <w:rsid w:val="00BC356A"/>
    <w:rsid w:val="00BF7C9C"/>
    <w:rsid w:val="00BF7E4A"/>
    <w:rsid w:val="00C009EC"/>
    <w:rsid w:val="00C343F5"/>
    <w:rsid w:val="00C3686D"/>
    <w:rsid w:val="00C4619D"/>
    <w:rsid w:val="00C61260"/>
    <w:rsid w:val="00C76E65"/>
    <w:rsid w:val="00C77556"/>
    <w:rsid w:val="00C864F3"/>
    <w:rsid w:val="00CF74D4"/>
    <w:rsid w:val="00D00615"/>
    <w:rsid w:val="00D53E91"/>
    <w:rsid w:val="00D7273E"/>
    <w:rsid w:val="00D772FA"/>
    <w:rsid w:val="00D859DC"/>
    <w:rsid w:val="00DB3EBF"/>
    <w:rsid w:val="00DC4413"/>
    <w:rsid w:val="00DD5A7C"/>
    <w:rsid w:val="00DF7D10"/>
    <w:rsid w:val="00E23A28"/>
    <w:rsid w:val="00E52A71"/>
    <w:rsid w:val="00E53985"/>
    <w:rsid w:val="00E62748"/>
    <w:rsid w:val="00E73A76"/>
    <w:rsid w:val="00E81F29"/>
    <w:rsid w:val="00E82CE6"/>
    <w:rsid w:val="00EA22D1"/>
    <w:rsid w:val="00EB620C"/>
    <w:rsid w:val="00EE6F6A"/>
    <w:rsid w:val="00EF2FB1"/>
    <w:rsid w:val="00F510A9"/>
    <w:rsid w:val="00F9480C"/>
    <w:rsid w:val="00FA7F5D"/>
    <w:rsid w:val="00FD56D3"/>
    <w:rsid w:val="00FE11C7"/>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9F7C1"/>
  <w15:chartTrackingRefBased/>
  <w15:docId w15:val="{CD496050-676D-4EE3-823A-B241FE8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8C"/>
    <w:rPr>
      <w:sz w:val="24"/>
    </w:rPr>
  </w:style>
  <w:style w:type="paragraph" w:styleId="Heading1">
    <w:name w:val="heading 1"/>
    <w:basedOn w:val="Header"/>
    <w:next w:val="Normal"/>
    <w:link w:val="Heading1Char"/>
    <w:uiPriority w:val="9"/>
    <w:qFormat/>
    <w:rsid w:val="00167951"/>
    <w:pPr>
      <w:outlineLvl w:val="0"/>
    </w:pPr>
    <w:rPr>
      <w:rFonts w:cstheme="minorHAnsi"/>
      <w:b/>
      <w:color w:val="1F4E79" w:themeColor="accent1" w:themeShade="80"/>
      <w:sz w:val="28"/>
      <w:szCs w:val="28"/>
    </w:rPr>
  </w:style>
  <w:style w:type="paragraph" w:styleId="Heading2">
    <w:name w:val="heading 2"/>
    <w:basedOn w:val="Normal"/>
    <w:next w:val="Normal"/>
    <w:link w:val="Heading2Char"/>
    <w:uiPriority w:val="9"/>
    <w:unhideWhenUsed/>
    <w:qFormat/>
    <w:rsid w:val="00721970"/>
    <w:pPr>
      <w:spacing w:after="0" w:line="240" w:lineRule="auto"/>
      <w:outlineLvl w:val="1"/>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3D4C8C"/>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167951"/>
    <w:rPr>
      <w:rFonts w:cstheme="minorHAnsi"/>
      <w:b/>
      <w:color w:val="1F4E79" w:themeColor="accent1" w:themeShade="80"/>
      <w:sz w:val="28"/>
      <w:szCs w:val="28"/>
    </w:rPr>
  </w:style>
  <w:style w:type="character" w:customStyle="1" w:styleId="Heading2Char">
    <w:name w:val="Heading 2 Char"/>
    <w:basedOn w:val="DefaultParagraphFont"/>
    <w:link w:val="Heading2"/>
    <w:uiPriority w:val="9"/>
    <w:rsid w:val="00721970"/>
    <w:rPr>
      <w:b/>
      <w:sz w:val="28"/>
      <w:szCs w:val="24"/>
    </w:rPr>
  </w:style>
  <w:style w:type="paragraph" w:styleId="ListParagraph">
    <w:name w:val="List Paragraph"/>
    <w:basedOn w:val="Normal"/>
    <w:uiPriority w:val="34"/>
    <w:qFormat/>
    <w:rsid w:val="00C77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SBSFP3@ed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D5071-6FB3-4A08-8C5E-995E261CA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ADBC4-D5A2-437F-94B5-BF32A94331C5}">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87723afd-882f-4d2a-a77d-9bd4bb59c539"/>
    <ds:schemaRef ds:uri="http://purl.org/dc/elements/1.1/"/>
  </ds:schemaRefs>
</ds:datastoreItem>
</file>

<file path=customXml/itemProps3.xml><?xml version="1.0" encoding="utf-8"?>
<ds:datastoreItem xmlns:ds="http://schemas.openxmlformats.org/officeDocument/2006/customXml" ds:itemID="{065D8BBD-2DCF-40F1-946C-4D7C304E1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2437</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EPTA PY 25-26 SFP Q&amp;A</vt:lpstr>
    </vt:vector>
  </TitlesOfParts>
  <Company>Employment Development Department</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EPTA PY 25-26 SFP Q&amp;A</dc:title>
  <dc:subject/>
  <dc:creator>Workforce Services</dc:creator>
  <cp:keywords>EPTA PY 25-26</cp:keywords>
  <dc:description/>
  <cp:lastModifiedBy>Richardson, Jeffrey@EDD</cp:lastModifiedBy>
  <cp:revision>8</cp:revision>
  <cp:lastPrinted>2017-06-15T19:41:00Z</cp:lastPrinted>
  <dcterms:created xsi:type="dcterms:W3CDTF">2026-01-15T21:25:00Z</dcterms:created>
  <dcterms:modified xsi:type="dcterms:W3CDTF">2026-01-21T18:52:00Z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GrammarlyDocumentId">
    <vt:lpwstr>d0f693068978e057ca977d63f5414448b6988f882b2890111b586207be3e81a9</vt:lpwstr>
  </property>
  <property fmtid="{D5CDD505-2E9C-101B-9397-08002B2CF9AE}" pid="4" name="TaxKeywordTaxHTField">
    <vt:lpwstr>EPTA PY 25-26|158c7485-73cf-4da9-b80f-b9c492f9aa31</vt:lpwstr>
  </property>
  <property fmtid="{D5CDD505-2E9C-101B-9397-08002B2CF9AE}" pid="5" name="TaxKeyword">
    <vt:lpwstr>877;#EPTA PY 25-26|158c7485-73cf-4da9-b80f-b9c492f9aa31</vt:lpwstr>
  </property>
  <property fmtid="{D5CDD505-2E9C-101B-9397-08002B2CF9AE}" pid="6" name="TaxCatchAll">
    <vt:lpwstr>877;#EPTA PY 25-26</vt:lpwstr>
  </property>
</Properties>
</file>