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05CC74E0" w:rsidR="00950C8C" w:rsidRPr="00B206CE" w:rsidRDefault="002B0D2A" w:rsidP="00B206CE">
      <w:pPr>
        <w:pStyle w:val="Heading1"/>
      </w:pPr>
      <w:bookmarkStart w:id="0" w:name="_Toc167894585"/>
      <w:bookmarkStart w:id="1" w:name="_Toc167894643"/>
      <w:r w:rsidRPr="00B206CE">
        <w:t>Notice of Availability of Funds</w:t>
      </w:r>
      <w:bookmarkEnd w:id="0"/>
      <w:bookmarkEnd w:id="1"/>
    </w:p>
    <w:p w14:paraId="73CB3E50" w14:textId="5FAF5F00" w:rsidR="002B0D2A" w:rsidRPr="00224092" w:rsidRDefault="002B0D2A" w:rsidP="002B0D2A">
      <w:pPr>
        <w:spacing w:after="0"/>
        <w:jc w:val="center"/>
        <w:rPr>
          <w:rFonts w:ascii="Calibri" w:hAnsi="Calibri" w:cs="Calibri"/>
          <w:sz w:val="24"/>
          <w:szCs w:val="24"/>
        </w:rPr>
      </w:pPr>
      <w:r w:rsidRPr="00224092">
        <w:rPr>
          <w:rFonts w:ascii="Calibri" w:hAnsi="Calibri" w:cs="Calibri"/>
          <w:sz w:val="24"/>
          <w:szCs w:val="24"/>
        </w:rPr>
        <w:t>By the Employment Development Department</w:t>
      </w:r>
    </w:p>
    <w:p w14:paraId="5457F974" w14:textId="4E61CF76" w:rsidR="002B0D2A" w:rsidRPr="00224092" w:rsidRDefault="002B0D2A" w:rsidP="002B0D2A">
      <w:pPr>
        <w:spacing w:after="0"/>
        <w:jc w:val="center"/>
        <w:rPr>
          <w:rFonts w:ascii="Calibri" w:hAnsi="Calibri" w:cs="Calibri"/>
          <w:sz w:val="24"/>
          <w:szCs w:val="24"/>
        </w:rPr>
      </w:pPr>
      <w:r w:rsidRPr="3B72A331">
        <w:rPr>
          <w:rFonts w:ascii="Calibri" w:hAnsi="Calibri" w:cs="Calibri"/>
          <w:sz w:val="24"/>
          <w:szCs w:val="24"/>
        </w:rPr>
        <w:t>On behalf of the California Labor and Workforce Development Agency</w:t>
      </w:r>
      <w:r>
        <w:br/>
      </w:r>
    </w:p>
    <w:p w14:paraId="436D671C" w14:textId="0947A520" w:rsidR="002B0D2A" w:rsidRPr="00224092" w:rsidRDefault="007134DF" w:rsidP="002B0D2A">
      <w:pPr>
        <w:spacing w:after="0"/>
        <w:jc w:val="center"/>
        <w:rPr>
          <w:rFonts w:ascii="Calibri" w:hAnsi="Calibri" w:cs="Calibri"/>
          <w:sz w:val="24"/>
          <w:szCs w:val="24"/>
        </w:rPr>
      </w:pPr>
      <w:r>
        <w:rPr>
          <w:rFonts w:ascii="Calibri" w:hAnsi="Calibri" w:cs="Calibri"/>
          <w:color w:val="2B579A"/>
          <w:sz w:val="24"/>
          <w:szCs w:val="24"/>
          <w:shd w:val="clear" w:color="auto" w:fill="E6E6E6"/>
        </w:rPr>
        <w:pict w14:anchorId="57198672">
          <v:rect id="_x0000_i1025" style="width:466.55pt;height:2pt" o:hralign="center" o:hrstd="t" o:hrnoshade="t" o:hr="t" fillcolor="#f79646" stroked="f"/>
        </w:pict>
      </w:r>
    </w:p>
    <w:p w14:paraId="5D0CD55B" w14:textId="6D4B080A" w:rsidR="00FC67D0" w:rsidRPr="00A7777B" w:rsidRDefault="002B0D2A" w:rsidP="00A7777B">
      <w:pPr>
        <w:spacing w:after="0"/>
        <w:jc w:val="center"/>
        <w:rPr>
          <w:rFonts w:ascii="Calibri" w:hAnsi="Calibri" w:cs="Calibri"/>
          <w:b/>
          <w:bCs/>
          <w:i/>
          <w:iCs/>
          <w:sz w:val="32"/>
          <w:szCs w:val="32"/>
        </w:rPr>
      </w:pPr>
      <w:r w:rsidRPr="00A7777B">
        <w:rPr>
          <w:rFonts w:ascii="Calibri" w:hAnsi="Calibri" w:cs="Calibri"/>
          <w:b/>
          <w:bCs/>
          <w:i/>
          <w:iCs/>
          <w:sz w:val="32"/>
          <w:szCs w:val="32"/>
        </w:rPr>
        <w:t>Workforce Innovation and Opportunity Act</w:t>
      </w:r>
    </w:p>
    <w:p w14:paraId="4286BF5F" w14:textId="1F772561" w:rsidR="00913128" w:rsidRPr="00A7777B" w:rsidRDefault="007F2212" w:rsidP="00BC07E4">
      <w:pPr>
        <w:spacing w:after="0"/>
        <w:jc w:val="center"/>
        <w:rPr>
          <w:rFonts w:ascii="Calibri" w:hAnsi="Calibri" w:cs="Calibri"/>
          <w:sz w:val="32"/>
          <w:szCs w:val="32"/>
        </w:rPr>
      </w:pPr>
      <w:r w:rsidRPr="00A7777B">
        <w:rPr>
          <w:rFonts w:ascii="Calibri" w:hAnsi="Calibri" w:cs="Calibri"/>
          <w:sz w:val="32"/>
          <w:szCs w:val="32"/>
        </w:rPr>
        <w:t>Employment Pathways</w:t>
      </w:r>
      <w:r w:rsidR="00BC07E4" w:rsidRPr="00A7777B">
        <w:rPr>
          <w:rFonts w:ascii="Calibri" w:hAnsi="Calibri" w:cs="Calibri"/>
          <w:sz w:val="32"/>
          <w:szCs w:val="32"/>
        </w:rPr>
        <w:t xml:space="preserve"> </w:t>
      </w:r>
      <w:r w:rsidR="00346717" w:rsidRPr="00A7777B">
        <w:rPr>
          <w:rFonts w:ascii="Calibri" w:hAnsi="Calibri" w:cs="Calibri"/>
          <w:sz w:val="32"/>
          <w:szCs w:val="32"/>
        </w:rPr>
        <w:t>Technical Assistance</w:t>
      </w:r>
      <w:bookmarkStart w:id="2" w:name="_Hlk168037689"/>
    </w:p>
    <w:p w14:paraId="34756020" w14:textId="1596C867" w:rsidR="00FC67D0" w:rsidRDefault="00C62AC0" w:rsidP="00A7777B">
      <w:pPr>
        <w:jc w:val="center"/>
        <w:rPr>
          <w:rFonts w:ascii="Calibri" w:hAnsi="Calibri" w:cs="Calibri"/>
          <w:sz w:val="32"/>
          <w:szCs w:val="32"/>
        </w:rPr>
      </w:pPr>
      <w:r w:rsidRPr="00A7777B">
        <w:rPr>
          <w:rFonts w:ascii="Calibri" w:hAnsi="Calibri" w:cs="Calibri"/>
          <w:sz w:val="32"/>
          <w:szCs w:val="32"/>
        </w:rPr>
        <w:t xml:space="preserve"> Program Year 20</w:t>
      </w:r>
      <w:bookmarkEnd w:id="2"/>
      <w:r w:rsidR="001161D9" w:rsidRPr="00A7777B">
        <w:rPr>
          <w:rFonts w:ascii="Calibri" w:hAnsi="Calibri" w:cs="Calibri"/>
          <w:sz w:val="32"/>
          <w:szCs w:val="32"/>
        </w:rPr>
        <w:t xml:space="preserve">25-26 </w:t>
      </w:r>
    </w:p>
    <w:p w14:paraId="22CE5334" w14:textId="77777777" w:rsidR="00A7777B" w:rsidRPr="00A7777B" w:rsidRDefault="00A7777B" w:rsidP="00A7777B">
      <w:pPr>
        <w:jc w:val="center"/>
        <w:rPr>
          <w:rFonts w:ascii="Calibri" w:hAnsi="Calibri" w:cs="Calibri"/>
          <w:sz w:val="32"/>
          <w:szCs w:val="32"/>
        </w:rPr>
      </w:pPr>
    </w:p>
    <w:p w14:paraId="3CD8A9A5" w14:textId="48ACBC07" w:rsidR="002B0D2A" w:rsidRPr="00A7777B" w:rsidRDefault="002B0D2A" w:rsidP="002B0D2A">
      <w:pPr>
        <w:spacing w:after="0"/>
        <w:jc w:val="center"/>
        <w:rPr>
          <w:rFonts w:ascii="Calibri" w:hAnsi="Calibri" w:cs="Calibri"/>
          <w:b/>
          <w:bCs/>
          <w:sz w:val="32"/>
          <w:szCs w:val="32"/>
        </w:rPr>
      </w:pPr>
      <w:r w:rsidRPr="00A7777B">
        <w:rPr>
          <w:rFonts w:ascii="Calibri" w:hAnsi="Calibri" w:cs="Calibri"/>
          <w:b/>
          <w:bCs/>
          <w:sz w:val="32"/>
          <w:szCs w:val="32"/>
        </w:rPr>
        <w:t>Solicitation for Proposals</w:t>
      </w:r>
    </w:p>
    <w:p w14:paraId="46F63BDC" w14:textId="77777777" w:rsidR="002B0D2A" w:rsidRPr="00224092" w:rsidRDefault="002B0D2A" w:rsidP="00A7777B">
      <w:pPr>
        <w:spacing w:after="0"/>
        <w:rPr>
          <w:rFonts w:ascii="Calibri" w:hAnsi="Calibri" w:cs="Calibri"/>
          <w:b/>
          <w:bCs/>
          <w:sz w:val="24"/>
          <w:szCs w:val="24"/>
        </w:rPr>
      </w:pPr>
    </w:p>
    <w:p w14:paraId="20450FCF" w14:textId="147C39C4" w:rsidR="002B0D2A" w:rsidRPr="00224092" w:rsidRDefault="002B0D2A" w:rsidP="002B0D2A">
      <w:pPr>
        <w:spacing w:after="0"/>
        <w:jc w:val="center"/>
        <w:rPr>
          <w:rFonts w:ascii="Calibri" w:hAnsi="Calibri" w:cs="Calibri"/>
          <w:b/>
          <w:bCs/>
          <w:sz w:val="24"/>
          <w:szCs w:val="24"/>
        </w:rPr>
      </w:pPr>
      <w:r w:rsidRPr="00224092">
        <w:rPr>
          <w:rFonts w:ascii="Calibri" w:eastAsia="Times New Roman" w:hAnsi="Calibri" w:cs="Calibri"/>
          <w:noProof/>
          <w:color w:val="2B579A"/>
          <w:sz w:val="24"/>
          <w:szCs w:val="24"/>
          <w:shd w:val="clear" w:color="auto" w:fill="E6E6E6"/>
        </w:rPr>
        <w:drawing>
          <wp:inline distT="0" distB="0" distL="0" distR="0" wp14:anchorId="7CC0C534" wp14:editId="0A5A5427">
            <wp:extent cx="2665730" cy="2479675"/>
            <wp:effectExtent l="0" t="0" r="1270" b="0"/>
            <wp:docPr id="1" name="Picture 1" descr="Logo-Seal-09" title="The Great Seal of the State of California"/>
            <wp:cNvGraphicFramePr/>
            <a:graphic xmlns:a="http://schemas.openxmlformats.org/drawingml/2006/main">
              <a:graphicData uri="http://schemas.openxmlformats.org/drawingml/2006/picture">
                <pic:pic xmlns:pic="http://schemas.openxmlformats.org/drawingml/2006/picture">
                  <pic:nvPicPr>
                    <pic:cNvPr id="1" name="Picture 1" descr="Logo-Seal-0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5730" cy="2479675"/>
                    </a:xfrm>
                    <a:prstGeom prst="rect">
                      <a:avLst/>
                    </a:prstGeom>
                    <a:noFill/>
                    <a:ln>
                      <a:noFill/>
                    </a:ln>
                  </pic:spPr>
                </pic:pic>
              </a:graphicData>
            </a:graphic>
          </wp:inline>
        </w:drawing>
      </w:r>
    </w:p>
    <w:p w14:paraId="32AB2E27" w14:textId="77777777" w:rsidR="002B0D2A" w:rsidRPr="00224092" w:rsidRDefault="002B0D2A" w:rsidP="002B0D2A">
      <w:pPr>
        <w:spacing w:after="0"/>
        <w:jc w:val="center"/>
        <w:rPr>
          <w:rFonts w:ascii="Calibri" w:hAnsi="Calibri" w:cs="Calibri"/>
          <w:b/>
          <w:bCs/>
          <w:sz w:val="24"/>
          <w:szCs w:val="24"/>
        </w:rPr>
      </w:pPr>
    </w:p>
    <w:p w14:paraId="4D924FF4" w14:textId="199C21AC" w:rsidR="00027CB7" w:rsidRPr="00224092" w:rsidRDefault="007134DF" w:rsidP="00027CB7">
      <w:pPr>
        <w:jc w:val="center"/>
        <w:rPr>
          <w:rFonts w:ascii="Calibri" w:hAnsi="Calibri" w:cs="Calibri"/>
          <w:sz w:val="24"/>
          <w:szCs w:val="24"/>
        </w:rPr>
      </w:pPr>
      <w:sdt>
        <w:sdtPr>
          <w:rPr>
            <w:rFonts w:ascii="Calibri" w:hAnsi="Calibri" w:cs="Calibri"/>
            <w:b/>
            <w:bCs/>
            <w:color w:val="2B579A"/>
            <w:sz w:val="24"/>
            <w:szCs w:val="24"/>
            <w:shd w:val="clear" w:color="auto" w:fill="E6E6E6"/>
          </w:rPr>
          <w:alias w:val="Month"/>
          <w:tag w:val="Month"/>
          <w:id w:val="-538431992"/>
          <w:placeholder>
            <w:docPart w:val="120FDF7D7C3148B182B21CB1BB24BE07"/>
          </w:placeholder>
          <w:dropDownList>
            <w:listItem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17D9C">
            <w:rPr>
              <w:rFonts w:ascii="Calibri" w:hAnsi="Calibri" w:cs="Calibri"/>
              <w:b/>
              <w:bCs/>
              <w:color w:val="2B579A"/>
              <w:sz w:val="24"/>
              <w:szCs w:val="24"/>
              <w:shd w:val="clear" w:color="auto" w:fill="E6E6E6"/>
            </w:rPr>
            <w:t>December</w:t>
          </w:r>
        </w:sdtContent>
      </w:sdt>
      <w:r w:rsidR="00027CB7">
        <w:rPr>
          <w:rFonts w:ascii="Calibri" w:hAnsi="Calibri" w:cs="Calibri"/>
          <w:b/>
          <w:bCs/>
          <w:sz w:val="24"/>
          <w:szCs w:val="24"/>
        </w:rPr>
        <w:t xml:space="preserve"> 20</w:t>
      </w:r>
      <w:r w:rsidR="001161D9">
        <w:rPr>
          <w:rFonts w:ascii="Calibri" w:hAnsi="Calibri" w:cs="Calibri"/>
          <w:b/>
          <w:color w:val="2B579A"/>
          <w:sz w:val="24"/>
          <w:szCs w:val="24"/>
          <w:shd w:val="clear" w:color="auto" w:fill="E6E6E6"/>
        </w:rPr>
        <w:t>25</w:t>
      </w:r>
    </w:p>
    <w:p w14:paraId="04BFCAB6" w14:textId="77777777" w:rsidR="007C07BA" w:rsidRPr="00224092" w:rsidRDefault="007C07BA" w:rsidP="00A7777B">
      <w:pPr>
        <w:spacing w:after="0"/>
        <w:rPr>
          <w:rFonts w:ascii="Calibri" w:hAnsi="Calibri" w:cs="Calibri"/>
          <w:b/>
          <w:bCs/>
          <w:sz w:val="24"/>
          <w:szCs w:val="24"/>
        </w:rPr>
      </w:pPr>
    </w:p>
    <w:p w14:paraId="0BF8F86A" w14:textId="6D9C6243" w:rsidR="002B0D2A" w:rsidRPr="00224092" w:rsidRDefault="007134DF" w:rsidP="002B0D2A">
      <w:pPr>
        <w:spacing w:after="0"/>
        <w:jc w:val="center"/>
        <w:rPr>
          <w:rFonts w:ascii="Calibri" w:hAnsi="Calibri" w:cs="Calibri"/>
          <w:sz w:val="24"/>
          <w:szCs w:val="24"/>
        </w:rPr>
      </w:pPr>
      <w:r>
        <w:rPr>
          <w:rFonts w:ascii="Calibri" w:hAnsi="Calibri" w:cs="Calibri"/>
          <w:color w:val="2B579A"/>
          <w:sz w:val="24"/>
          <w:szCs w:val="24"/>
          <w:shd w:val="clear" w:color="auto" w:fill="E6E6E6"/>
        </w:rPr>
        <w:pict w14:anchorId="6BC131B2">
          <v:rect id="_x0000_i1026" style="width:466.55pt;height:2pt" o:hralign="center" o:hrstd="t" o:hrnoshade="t" o:hr="t" fillcolor="#f79646" stroked="f"/>
        </w:pict>
      </w:r>
    </w:p>
    <w:p w14:paraId="52325214" w14:textId="70F557B5" w:rsidR="002B0D2A" w:rsidRPr="00224092" w:rsidRDefault="002B0D2A" w:rsidP="00A7777B">
      <w:pPr>
        <w:rPr>
          <w:rFonts w:ascii="Calibri" w:hAnsi="Calibri" w:cs="Calibri"/>
          <w:sz w:val="24"/>
          <w:szCs w:val="24"/>
        </w:rPr>
      </w:pPr>
      <w:r w:rsidRPr="00224092">
        <w:rPr>
          <w:rFonts w:ascii="Calibri" w:hAnsi="Calibri" w:cs="Calibri"/>
          <w:sz w:val="24"/>
          <w:szCs w:val="24"/>
        </w:rPr>
        <w:t>The Employment Development Department is an equal opportunity employer/program. Auxiliary aids and Services are available upon request to individuals with disabilities. Request</w:t>
      </w:r>
      <w:r w:rsidR="00DA50B8">
        <w:rPr>
          <w:rFonts w:ascii="Calibri" w:hAnsi="Calibri" w:cs="Calibri"/>
          <w:sz w:val="24"/>
          <w:szCs w:val="24"/>
        </w:rPr>
        <w:t>s</w:t>
      </w:r>
      <w:r w:rsidRPr="00224092">
        <w:rPr>
          <w:rFonts w:ascii="Calibri" w:hAnsi="Calibri" w:cs="Calibri"/>
          <w:sz w:val="24"/>
          <w:szCs w:val="24"/>
        </w:rPr>
        <w:t xml:space="preserve"> for services, aids</w:t>
      </w:r>
      <w:r w:rsidR="00DA50B8">
        <w:rPr>
          <w:rFonts w:ascii="Calibri" w:hAnsi="Calibri" w:cs="Calibri"/>
          <w:sz w:val="24"/>
          <w:szCs w:val="24"/>
        </w:rPr>
        <w:t>,</w:t>
      </w:r>
      <w:r w:rsidRPr="00224092">
        <w:rPr>
          <w:rFonts w:ascii="Calibri" w:hAnsi="Calibri" w:cs="Calibri"/>
          <w:sz w:val="24"/>
          <w:szCs w:val="24"/>
        </w:rPr>
        <w:t xml:space="preserve"> and alternate formats may be made by calling (916) 654-8434. TTY users</w:t>
      </w:r>
      <w:r w:rsidR="00E34D70">
        <w:rPr>
          <w:rFonts w:ascii="Calibri" w:hAnsi="Calibri" w:cs="Calibri"/>
          <w:sz w:val="24"/>
          <w:szCs w:val="24"/>
        </w:rPr>
        <w:t>,</w:t>
      </w:r>
      <w:r w:rsidRPr="00224092">
        <w:rPr>
          <w:rFonts w:ascii="Calibri" w:hAnsi="Calibri" w:cs="Calibri"/>
          <w:sz w:val="24"/>
          <w:szCs w:val="24"/>
        </w:rPr>
        <w:t xml:space="preserve"> please call </w:t>
      </w:r>
      <w:proofErr w:type="gramStart"/>
      <w:r w:rsidRPr="00224092">
        <w:rPr>
          <w:rFonts w:ascii="Calibri" w:hAnsi="Calibri" w:cs="Calibri"/>
          <w:sz w:val="24"/>
          <w:szCs w:val="24"/>
        </w:rPr>
        <w:t>the California</w:t>
      </w:r>
      <w:proofErr w:type="gramEnd"/>
      <w:r w:rsidRPr="00224092">
        <w:rPr>
          <w:rFonts w:ascii="Calibri" w:hAnsi="Calibri" w:cs="Calibri"/>
          <w:sz w:val="24"/>
          <w:szCs w:val="24"/>
        </w:rPr>
        <w:t xml:space="preserve"> Relay Services </w:t>
      </w:r>
      <w:proofErr w:type="gramStart"/>
      <w:r w:rsidR="005323E4">
        <w:rPr>
          <w:rFonts w:ascii="Calibri" w:hAnsi="Calibri" w:cs="Calibri"/>
          <w:sz w:val="24"/>
          <w:szCs w:val="24"/>
        </w:rPr>
        <w:t>at</w:t>
      </w:r>
      <w:proofErr w:type="gramEnd"/>
      <w:r w:rsidRPr="00224092">
        <w:rPr>
          <w:rFonts w:ascii="Calibri" w:hAnsi="Calibri" w:cs="Calibri"/>
          <w:sz w:val="24"/>
          <w:szCs w:val="24"/>
        </w:rPr>
        <w:t xml:space="preserve"> 711.</w:t>
      </w:r>
    </w:p>
    <w:p w14:paraId="6EF9F917" w14:textId="0C43963E" w:rsidR="00224092" w:rsidRPr="00224092" w:rsidRDefault="002B0D2A" w:rsidP="00F470F1">
      <w:pPr>
        <w:rPr>
          <w:rFonts w:ascii="Calibri" w:hAnsi="Calibri" w:cs="Calibri"/>
          <w:sz w:val="24"/>
          <w:szCs w:val="24"/>
        </w:rPr>
      </w:pPr>
      <w:r w:rsidRPr="00224092">
        <w:rPr>
          <w:rFonts w:ascii="Calibri" w:hAnsi="Calibri" w:cs="Calibri"/>
          <w:sz w:val="24"/>
          <w:szCs w:val="24"/>
        </w:rPr>
        <w:t xml:space="preserve">This </w:t>
      </w:r>
      <w:bookmarkStart w:id="3" w:name="_Hlk206480294"/>
      <w:r w:rsidR="007F2212">
        <w:rPr>
          <w:rFonts w:ascii="Calibri" w:hAnsi="Calibri" w:cs="Calibri"/>
          <w:sz w:val="24"/>
          <w:szCs w:val="24"/>
        </w:rPr>
        <w:t xml:space="preserve">Employment Pathways </w:t>
      </w:r>
      <w:r w:rsidR="00913128" w:rsidRPr="00913128">
        <w:rPr>
          <w:rFonts w:ascii="Calibri" w:hAnsi="Calibri" w:cs="Calibri"/>
          <w:sz w:val="24"/>
          <w:szCs w:val="24"/>
        </w:rPr>
        <w:t>Technical Assistance</w:t>
      </w:r>
      <w:r w:rsidR="0083115A">
        <w:rPr>
          <w:rFonts w:ascii="Calibri" w:hAnsi="Calibri" w:cs="Calibri"/>
          <w:sz w:val="24"/>
          <w:szCs w:val="24"/>
        </w:rPr>
        <w:t xml:space="preserve"> </w:t>
      </w:r>
      <w:r w:rsidR="00913128">
        <w:rPr>
          <w:rFonts w:ascii="Calibri" w:hAnsi="Calibri" w:cs="Calibri"/>
          <w:sz w:val="24"/>
          <w:szCs w:val="24"/>
        </w:rPr>
        <w:t>(</w:t>
      </w:r>
      <w:r w:rsidR="007F2212">
        <w:rPr>
          <w:rFonts w:ascii="Calibri" w:hAnsi="Calibri" w:cs="Calibri"/>
          <w:sz w:val="24"/>
          <w:szCs w:val="24"/>
        </w:rPr>
        <w:t>EP</w:t>
      </w:r>
      <w:r w:rsidR="00913128">
        <w:rPr>
          <w:rFonts w:ascii="Calibri" w:hAnsi="Calibri" w:cs="Calibri"/>
          <w:sz w:val="24"/>
          <w:szCs w:val="24"/>
        </w:rPr>
        <w:t>TA)</w:t>
      </w:r>
      <w:r w:rsidR="00301C8D">
        <w:rPr>
          <w:rFonts w:ascii="Calibri" w:hAnsi="Calibri" w:cs="Calibri"/>
          <w:sz w:val="24"/>
          <w:szCs w:val="24"/>
        </w:rPr>
        <w:t xml:space="preserve"> grant for</w:t>
      </w:r>
      <w:r w:rsidR="00FC67D0" w:rsidRPr="00224092">
        <w:rPr>
          <w:rFonts w:ascii="Calibri" w:hAnsi="Calibri" w:cs="Calibri"/>
          <w:sz w:val="24"/>
          <w:szCs w:val="24"/>
        </w:rPr>
        <w:t xml:space="preserve"> </w:t>
      </w:r>
      <w:r w:rsidRPr="00224092">
        <w:rPr>
          <w:rFonts w:ascii="Calibri" w:hAnsi="Calibri" w:cs="Calibri"/>
          <w:sz w:val="24"/>
          <w:szCs w:val="24"/>
        </w:rPr>
        <w:t xml:space="preserve">Program Year </w:t>
      </w:r>
      <w:r w:rsidR="00FC67D0" w:rsidRPr="00224092">
        <w:rPr>
          <w:rFonts w:ascii="Calibri" w:hAnsi="Calibri" w:cs="Calibri"/>
          <w:sz w:val="24"/>
          <w:szCs w:val="24"/>
        </w:rPr>
        <w:t>20</w:t>
      </w:r>
      <w:r w:rsidR="001161D9">
        <w:rPr>
          <w:rFonts w:ascii="Calibri" w:hAnsi="Calibri" w:cs="Calibri"/>
          <w:sz w:val="24"/>
          <w:szCs w:val="24"/>
        </w:rPr>
        <w:t>25-26</w:t>
      </w:r>
      <w:r w:rsidR="00913128">
        <w:rPr>
          <w:rFonts w:ascii="Calibri" w:hAnsi="Calibri" w:cs="Calibri"/>
          <w:sz w:val="24"/>
          <w:szCs w:val="24"/>
        </w:rPr>
        <w:t xml:space="preserve"> (PY 25-26)</w:t>
      </w:r>
      <w:r w:rsidR="00C11AE9">
        <w:rPr>
          <w:rFonts w:ascii="Calibri" w:hAnsi="Calibri" w:cs="Calibri"/>
          <w:sz w:val="24"/>
          <w:szCs w:val="24"/>
        </w:rPr>
        <w:t xml:space="preserve"> </w:t>
      </w:r>
      <w:bookmarkEnd w:id="3"/>
      <w:r w:rsidRPr="00224092">
        <w:rPr>
          <w:rFonts w:ascii="Calibri" w:hAnsi="Calibri" w:cs="Calibri"/>
          <w:sz w:val="24"/>
          <w:szCs w:val="24"/>
        </w:rPr>
        <w:t>is funded by a grant award totaling $</w:t>
      </w:r>
      <w:r w:rsidR="00913128">
        <w:rPr>
          <w:rFonts w:ascii="Calibri" w:hAnsi="Calibri" w:cs="Calibri"/>
          <w:sz w:val="24"/>
          <w:szCs w:val="24"/>
        </w:rPr>
        <w:t>1.5</w:t>
      </w:r>
      <w:r w:rsidRPr="00224092">
        <w:rPr>
          <w:rFonts w:ascii="Calibri" w:hAnsi="Calibri" w:cs="Calibri"/>
          <w:sz w:val="24"/>
          <w:szCs w:val="24"/>
        </w:rPr>
        <w:t xml:space="preserve"> million (</w:t>
      </w:r>
      <w:r w:rsidR="00913128">
        <w:rPr>
          <w:rFonts w:ascii="Calibri" w:hAnsi="Calibri" w:cs="Calibri"/>
          <w:sz w:val="24"/>
          <w:szCs w:val="24"/>
        </w:rPr>
        <w:t>100</w:t>
      </w:r>
      <w:r w:rsidRPr="00224092">
        <w:rPr>
          <w:rFonts w:ascii="Calibri" w:hAnsi="Calibri" w:cs="Calibri"/>
          <w:sz w:val="24"/>
          <w:szCs w:val="24"/>
        </w:rPr>
        <w:t>%) from the U.S. Department of Labor</w:t>
      </w:r>
      <w:r w:rsidR="00503C53">
        <w:rPr>
          <w:rFonts w:ascii="Calibri" w:hAnsi="Calibri" w:cs="Calibri"/>
          <w:sz w:val="24"/>
          <w:szCs w:val="24"/>
        </w:rPr>
        <w:t xml:space="preserve"> (DOL)</w:t>
      </w:r>
      <w:r w:rsidRPr="00224092">
        <w:rPr>
          <w:rFonts w:ascii="Calibri" w:hAnsi="Calibri" w:cs="Calibri"/>
          <w:sz w:val="24"/>
          <w:szCs w:val="24"/>
        </w:rPr>
        <w:t>, with $</w:t>
      </w:r>
      <w:r w:rsidR="00913128">
        <w:rPr>
          <w:rFonts w:ascii="Calibri" w:hAnsi="Calibri" w:cs="Calibri"/>
          <w:sz w:val="24"/>
          <w:szCs w:val="24"/>
        </w:rPr>
        <w:t>0</w:t>
      </w:r>
      <w:r w:rsidR="00FC67D0" w:rsidRPr="00224092">
        <w:rPr>
          <w:rFonts w:ascii="Calibri" w:hAnsi="Calibri" w:cs="Calibri"/>
          <w:sz w:val="24"/>
          <w:szCs w:val="24"/>
        </w:rPr>
        <w:t xml:space="preserve"> </w:t>
      </w:r>
      <w:r w:rsidRPr="00224092">
        <w:rPr>
          <w:rFonts w:ascii="Calibri" w:hAnsi="Calibri" w:cs="Calibri"/>
          <w:sz w:val="24"/>
          <w:szCs w:val="24"/>
        </w:rPr>
        <w:t>(</w:t>
      </w:r>
      <w:r w:rsidR="00913128">
        <w:rPr>
          <w:rFonts w:ascii="Calibri" w:hAnsi="Calibri" w:cs="Calibri"/>
          <w:sz w:val="24"/>
          <w:szCs w:val="24"/>
        </w:rPr>
        <w:t>0</w:t>
      </w:r>
      <w:r w:rsidRPr="00224092">
        <w:rPr>
          <w:rFonts w:ascii="Calibri" w:hAnsi="Calibri" w:cs="Calibri"/>
          <w:sz w:val="24"/>
          <w:szCs w:val="24"/>
        </w:rPr>
        <w:t>%) financed from non-federal sources.</w:t>
      </w:r>
    </w:p>
    <w:p w14:paraId="49A8F51C" w14:textId="2CA1801B" w:rsidR="00224092" w:rsidRPr="00224092" w:rsidRDefault="007C07BA" w:rsidP="000920D7">
      <w:pPr>
        <w:pStyle w:val="Heading2"/>
        <w:numPr>
          <w:ilvl w:val="0"/>
          <w:numId w:val="0"/>
        </w:numPr>
        <w:rPr>
          <w:rStyle w:val="Heading2Char"/>
          <w:rFonts w:cs="Calibri"/>
          <w:b/>
          <w:bCs/>
        </w:rPr>
      </w:pPr>
      <w:bookmarkStart w:id="4" w:name="_Hlk167871659"/>
      <w:bookmarkStart w:id="5" w:name="_Toc167894586"/>
      <w:bookmarkStart w:id="6" w:name="_Toc167894644"/>
      <w:r w:rsidRPr="410403EC">
        <w:rPr>
          <w:rStyle w:val="Heading2Char"/>
          <w:rFonts w:cs="Calibri"/>
          <w:b/>
          <w:bCs/>
        </w:rPr>
        <w:lastRenderedPageBreak/>
        <w:t>Proposal Package Instructions and Exhibits</w:t>
      </w:r>
      <w:bookmarkStart w:id="7" w:name="_Toc167894587"/>
      <w:bookmarkStart w:id="8" w:name="_Toc167894645"/>
      <w:bookmarkEnd w:id="4"/>
      <w:bookmarkEnd w:id="5"/>
      <w:bookmarkEnd w:id="6"/>
      <w:bookmarkEnd w:id="7"/>
      <w:bookmarkEnd w:id="8"/>
    </w:p>
    <w:p w14:paraId="45DBE069" w14:textId="477CC51F" w:rsidR="00F91715" w:rsidRDefault="00940DC5" w:rsidP="00F470F1">
      <w:pPr>
        <w:pStyle w:val="BodyText"/>
        <w:rPr>
          <w:lang w:val="en-US"/>
        </w:rPr>
      </w:pPr>
      <w:r>
        <w:rPr>
          <w:lang w:val="en-US"/>
        </w:rPr>
        <w:br/>
      </w:r>
      <w:r w:rsidR="007C07BA" w:rsidRPr="01476CFA">
        <w:rPr>
          <w:lang w:val="en-US"/>
        </w:rPr>
        <w:t xml:space="preserve">The following </w:t>
      </w:r>
      <w:r w:rsidR="00F114E6">
        <w:rPr>
          <w:lang w:val="en-US"/>
        </w:rPr>
        <w:t xml:space="preserve">list </w:t>
      </w:r>
      <w:r w:rsidR="007C07BA" w:rsidRPr="01476CFA">
        <w:rPr>
          <w:lang w:val="en-US"/>
        </w:rPr>
        <w:t>contains the Solicitation for Proposals (SFP)</w:t>
      </w:r>
      <w:r w:rsidR="00C11AE9">
        <w:rPr>
          <w:lang w:val="en-US"/>
        </w:rPr>
        <w:t>,</w:t>
      </w:r>
      <w:r w:rsidR="007C07BA" w:rsidRPr="01476CFA">
        <w:rPr>
          <w:lang w:val="en-US"/>
        </w:rPr>
        <w:t xml:space="preserve"> required exhibits</w:t>
      </w:r>
      <w:r w:rsidR="00C11AE9">
        <w:rPr>
          <w:lang w:val="en-US"/>
        </w:rPr>
        <w:t>,</w:t>
      </w:r>
      <w:r w:rsidR="007C07BA" w:rsidRPr="01476CFA">
        <w:rPr>
          <w:lang w:val="en-US"/>
        </w:rPr>
        <w:t xml:space="preserve"> </w:t>
      </w:r>
      <w:r w:rsidR="00F114E6">
        <w:rPr>
          <w:lang w:val="en-US"/>
        </w:rPr>
        <w:t xml:space="preserve">and attachments </w:t>
      </w:r>
      <w:r w:rsidR="007C07BA" w:rsidRPr="01476CFA">
        <w:rPr>
          <w:lang w:val="en-US"/>
        </w:rPr>
        <w:t xml:space="preserve">for the </w:t>
      </w:r>
      <w:r w:rsidR="00054E75">
        <w:rPr>
          <w:lang w:val="en-US"/>
        </w:rPr>
        <w:t xml:space="preserve">PY 25-26 </w:t>
      </w:r>
      <w:r w:rsidR="007F2212">
        <w:rPr>
          <w:lang w:val="en-US"/>
        </w:rPr>
        <w:t>E</w:t>
      </w:r>
      <w:r w:rsidR="00913128">
        <w:rPr>
          <w:lang w:val="en-US"/>
        </w:rPr>
        <w:t>PTA</w:t>
      </w:r>
      <w:r w:rsidR="00301C8D">
        <w:rPr>
          <w:lang w:val="en-US"/>
        </w:rPr>
        <w:t xml:space="preserve"> grant</w:t>
      </w:r>
      <w:r w:rsidR="00913128">
        <w:rPr>
          <w:lang w:val="en-US"/>
        </w:rPr>
        <w:t xml:space="preserve"> </w:t>
      </w:r>
      <w:r w:rsidR="007C07BA" w:rsidRPr="01476CFA">
        <w:rPr>
          <w:lang w:val="en-US"/>
        </w:rPr>
        <w:t xml:space="preserve">funding opportunity. Select each link individually and download each </w:t>
      </w:r>
      <w:r w:rsidR="00F114E6">
        <w:rPr>
          <w:lang w:val="en-US"/>
        </w:rPr>
        <w:t xml:space="preserve">file </w:t>
      </w:r>
      <w:r w:rsidR="007C07BA" w:rsidRPr="01476CFA">
        <w:rPr>
          <w:lang w:val="en-US"/>
        </w:rPr>
        <w:t xml:space="preserve">before saving the SFP to a personal computer. </w:t>
      </w:r>
    </w:p>
    <w:p w14:paraId="0A5CF0C3" w14:textId="168DBD3C" w:rsidR="007C07BA" w:rsidRPr="008544AA" w:rsidRDefault="007C07BA" w:rsidP="00F470F1">
      <w:pPr>
        <w:pStyle w:val="BodyText"/>
      </w:pPr>
      <w:r w:rsidRPr="01476CFA">
        <w:rPr>
          <w:lang w:val="en-US"/>
        </w:rPr>
        <w:t>Applicants should carefully re</w:t>
      </w:r>
      <w:r w:rsidR="00697F6A">
        <w:rPr>
          <w:lang w:val="en-US"/>
        </w:rPr>
        <w:t>view</w:t>
      </w:r>
      <w:r w:rsidRPr="01476CFA">
        <w:rPr>
          <w:lang w:val="en-US"/>
        </w:rPr>
        <w:t xml:space="preserve"> the SFP for the required elements and follow the Proposal Package Instructions in Appendix A to </w:t>
      </w:r>
      <w:r w:rsidR="00697F6A">
        <w:rPr>
          <w:lang w:val="en-US"/>
        </w:rPr>
        <w:t xml:space="preserve">ensure compliance with </w:t>
      </w:r>
      <w:r w:rsidRPr="01476CFA">
        <w:rPr>
          <w:lang w:val="en-US"/>
        </w:rPr>
        <w:t>all proposal application requirements.</w:t>
      </w:r>
    </w:p>
    <w:p w14:paraId="6B818447" w14:textId="40ACFA62" w:rsidR="00FC67D0" w:rsidRPr="008F564F" w:rsidRDefault="00FC67D0" w:rsidP="00FC67D0">
      <w:pPr>
        <w:spacing w:line="240" w:lineRule="auto"/>
        <w:rPr>
          <w:rFonts w:ascii="Calibri" w:eastAsia="Times New Roman" w:hAnsi="Calibri" w:cs="Calibri"/>
          <w:b/>
          <w:bCs/>
          <w:sz w:val="24"/>
          <w:szCs w:val="24"/>
        </w:rPr>
      </w:pPr>
      <w:r w:rsidRPr="05FD645D">
        <w:rPr>
          <w:rFonts w:ascii="Calibri" w:eastAsia="Times New Roman" w:hAnsi="Calibri" w:cs="Calibri"/>
          <w:b/>
          <w:bCs/>
          <w:sz w:val="24"/>
          <w:szCs w:val="24"/>
        </w:rPr>
        <w:t>Required Exhibits</w:t>
      </w:r>
      <w:r w:rsidR="00F62258">
        <w:rPr>
          <w:rFonts w:ascii="Calibri" w:eastAsia="Times New Roman" w:hAnsi="Calibri" w:cs="Calibri"/>
          <w:b/>
          <w:bCs/>
          <w:sz w:val="24"/>
          <w:szCs w:val="24"/>
        </w:rPr>
        <w:t xml:space="preserve"> </w:t>
      </w:r>
      <w:r w:rsidR="00F62258" w:rsidRPr="001161D9">
        <w:rPr>
          <w:rFonts w:ascii="Calibri" w:eastAsia="Times New Roman" w:hAnsi="Calibri" w:cs="Calibri"/>
          <w:b/>
          <w:bCs/>
          <w:sz w:val="24"/>
          <w:szCs w:val="24"/>
        </w:rPr>
        <w:t>and Attachments</w:t>
      </w:r>
      <w:r w:rsidR="008F564F" w:rsidRPr="05FD645D">
        <w:rPr>
          <w:rFonts w:ascii="Calibri" w:eastAsia="Times New Roman" w:hAnsi="Calibri" w:cs="Calibri"/>
          <w:b/>
          <w:bCs/>
          <w:sz w:val="24"/>
          <w:szCs w:val="24"/>
        </w:rPr>
        <w:t>:</w:t>
      </w:r>
    </w:p>
    <w:p w14:paraId="63A596F0" w14:textId="0FA7E9E2" w:rsidR="00FC67D0" w:rsidRPr="009E3393" w:rsidRDefault="0999FF71" w:rsidP="00E21BF4">
      <w:pPr>
        <w:numPr>
          <w:ilvl w:val="0"/>
          <w:numId w:val="1"/>
        </w:numPr>
        <w:spacing w:after="0" w:line="240" w:lineRule="auto"/>
        <w:rPr>
          <w:rFonts w:ascii="Calibri" w:eastAsia="Times New Roman" w:hAnsi="Calibri" w:cs="Calibri"/>
          <w:color w:val="0070C0"/>
          <w:sz w:val="24"/>
          <w:szCs w:val="24"/>
        </w:rPr>
      </w:pPr>
      <w:hyperlink r:id="rId12" w:history="1">
        <w:r w:rsidRPr="009E3393">
          <w:rPr>
            <w:rStyle w:val="Hyperlink"/>
            <w:rFonts w:eastAsia="Times New Roman" w:cs="Calibri"/>
            <w:szCs w:val="24"/>
          </w:rPr>
          <w:t>Cover</w:t>
        </w:r>
        <w:r w:rsidR="00F114E6" w:rsidRPr="009E3393">
          <w:rPr>
            <w:rStyle w:val="Hyperlink"/>
            <w:rFonts w:eastAsia="Times New Roman" w:cs="Calibri"/>
            <w:szCs w:val="24"/>
          </w:rPr>
          <w:t>/</w:t>
        </w:r>
        <w:r w:rsidRPr="009E3393">
          <w:rPr>
            <w:rStyle w:val="Hyperlink"/>
            <w:rFonts w:eastAsia="Times New Roman" w:cs="Calibri"/>
            <w:szCs w:val="24"/>
          </w:rPr>
          <w:t>Signature Page (DOCX)</w:t>
        </w:r>
      </w:hyperlink>
    </w:p>
    <w:p w14:paraId="62BC91B3" w14:textId="79CFF914" w:rsidR="00FC67D0" w:rsidRPr="009E3393" w:rsidRDefault="00FC67D0" w:rsidP="00E21BF4">
      <w:pPr>
        <w:numPr>
          <w:ilvl w:val="0"/>
          <w:numId w:val="1"/>
        </w:numPr>
        <w:spacing w:after="0" w:line="240" w:lineRule="auto"/>
        <w:rPr>
          <w:rFonts w:ascii="Calibri" w:eastAsia="Times New Roman" w:hAnsi="Calibri" w:cs="Calibri"/>
          <w:color w:val="0070C0"/>
          <w:sz w:val="24"/>
          <w:szCs w:val="24"/>
        </w:rPr>
      </w:pPr>
      <w:hyperlink r:id="rId13" w:history="1">
        <w:r w:rsidRPr="009E3393">
          <w:rPr>
            <w:rStyle w:val="Hyperlink"/>
            <w:rFonts w:eastAsia="Times New Roman" w:cs="Calibri"/>
            <w:szCs w:val="24"/>
          </w:rPr>
          <w:t xml:space="preserve">Exhibit A </w:t>
        </w:r>
        <w:r w:rsidR="00213092" w:rsidRPr="009E3393">
          <w:rPr>
            <w:rStyle w:val="Hyperlink"/>
            <w:rFonts w:eastAsia="Times New Roman" w:cs="Calibri"/>
            <w:szCs w:val="24"/>
          </w:rPr>
          <w:t>-</w:t>
        </w:r>
        <w:r w:rsidRPr="009E3393">
          <w:rPr>
            <w:rStyle w:val="Hyperlink"/>
            <w:rFonts w:eastAsia="Times New Roman" w:cs="Calibri"/>
            <w:szCs w:val="24"/>
          </w:rPr>
          <w:t xml:space="preserve"> Project Narrative (DOCX)</w:t>
        </w:r>
      </w:hyperlink>
    </w:p>
    <w:p w14:paraId="772E6E3E" w14:textId="51EDB772" w:rsidR="00FC67D0" w:rsidRPr="009E3393" w:rsidRDefault="00FC67D0" w:rsidP="00E21BF4">
      <w:pPr>
        <w:numPr>
          <w:ilvl w:val="0"/>
          <w:numId w:val="1"/>
        </w:numPr>
        <w:spacing w:after="0" w:line="240" w:lineRule="auto"/>
        <w:rPr>
          <w:rFonts w:ascii="Calibri" w:eastAsia="Times New Roman" w:hAnsi="Calibri" w:cs="Calibri"/>
          <w:bCs/>
          <w:color w:val="0070C0"/>
          <w:sz w:val="24"/>
          <w:szCs w:val="24"/>
        </w:rPr>
      </w:pPr>
      <w:hyperlink r:id="rId14" w:history="1">
        <w:r w:rsidRPr="009E3393">
          <w:rPr>
            <w:rStyle w:val="Hyperlink"/>
            <w:rFonts w:eastAsia="Times New Roman" w:cs="Calibri"/>
            <w:bCs/>
            <w:szCs w:val="24"/>
          </w:rPr>
          <w:t xml:space="preserve">Exhibit F </w:t>
        </w:r>
        <w:r w:rsidR="00213092" w:rsidRPr="009E3393">
          <w:rPr>
            <w:rStyle w:val="Hyperlink"/>
            <w:rFonts w:eastAsia="Times New Roman" w:cs="Calibri"/>
            <w:bCs/>
            <w:szCs w:val="24"/>
          </w:rPr>
          <w:t>-</w:t>
        </w:r>
        <w:r w:rsidRPr="009E3393">
          <w:rPr>
            <w:rStyle w:val="Hyperlink"/>
            <w:rFonts w:eastAsia="Times New Roman" w:cs="Calibri"/>
            <w:bCs/>
            <w:szCs w:val="24"/>
          </w:rPr>
          <w:t xml:space="preserve"> Budget Summary (DOCX)</w:t>
        </w:r>
      </w:hyperlink>
    </w:p>
    <w:p w14:paraId="4B484825" w14:textId="5ABF548B" w:rsidR="00FC67D0" w:rsidRPr="009E3393" w:rsidRDefault="00FC67D0" w:rsidP="00E21BF4">
      <w:pPr>
        <w:numPr>
          <w:ilvl w:val="0"/>
          <w:numId w:val="1"/>
        </w:numPr>
        <w:spacing w:after="0" w:line="240" w:lineRule="auto"/>
        <w:rPr>
          <w:rFonts w:ascii="Calibri" w:eastAsia="Times New Roman" w:hAnsi="Calibri" w:cs="Calibri"/>
          <w:bCs/>
          <w:color w:val="0070C0"/>
          <w:sz w:val="24"/>
          <w:szCs w:val="24"/>
        </w:rPr>
      </w:pPr>
      <w:hyperlink r:id="rId15" w:history="1">
        <w:r w:rsidRPr="009E3393">
          <w:rPr>
            <w:rStyle w:val="Hyperlink"/>
            <w:rFonts w:eastAsia="Times New Roman" w:cs="Calibri"/>
            <w:bCs/>
            <w:szCs w:val="24"/>
          </w:rPr>
          <w:t xml:space="preserve">Exhibit F2 </w:t>
        </w:r>
        <w:r w:rsidR="00213092" w:rsidRPr="009E3393">
          <w:rPr>
            <w:rStyle w:val="Hyperlink"/>
            <w:rFonts w:eastAsia="Times New Roman" w:cs="Calibri"/>
            <w:bCs/>
            <w:szCs w:val="24"/>
          </w:rPr>
          <w:t>-</w:t>
        </w:r>
        <w:r w:rsidRPr="009E3393">
          <w:rPr>
            <w:rStyle w:val="Hyperlink"/>
            <w:rFonts w:eastAsia="Times New Roman" w:cs="Calibri"/>
            <w:bCs/>
            <w:szCs w:val="24"/>
          </w:rPr>
          <w:t xml:space="preserve"> Budget Narrative (DOCX)</w:t>
        </w:r>
      </w:hyperlink>
    </w:p>
    <w:p w14:paraId="4F9F2363" w14:textId="42B71CAA" w:rsidR="000920D7" w:rsidRPr="009E3393" w:rsidRDefault="00FC67D0" w:rsidP="00E46C9E">
      <w:pPr>
        <w:numPr>
          <w:ilvl w:val="0"/>
          <w:numId w:val="1"/>
        </w:numPr>
        <w:spacing w:after="0" w:line="240" w:lineRule="auto"/>
        <w:rPr>
          <w:rFonts w:ascii="Calibri" w:eastAsia="Times New Roman" w:hAnsi="Calibri" w:cs="Calibri"/>
          <w:bCs/>
          <w:color w:val="0070C0"/>
          <w:sz w:val="24"/>
          <w:szCs w:val="24"/>
        </w:rPr>
      </w:pPr>
      <w:hyperlink r:id="rId16" w:history="1">
        <w:r w:rsidRPr="009E3393">
          <w:rPr>
            <w:rStyle w:val="Hyperlink"/>
            <w:rFonts w:eastAsia="Times New Roman" w:cs="Calibri"/>
            <w:bCs/>
            <w:szCs w:val="24"/>
          </w:rPr>
          <w:t xml:space="preserve">Exhibit G </w:t>
        </w:r>
        <w:r w:rsidR="00213092" w:rsidRPr="009E3393">
          <w:rPr>
            <w:rStyle w:val="Hyperlink"/>
            <w:rFonts w:eastAsia="Times New Roman" w:cs="Calibri"/>
            <w:bCs/>
            <w:szCs w:val="24"/>
          </w:rPr>
          <w:t>-</w:t>
        </w:r>
        <w:r w:rsidRPr="009E3393">
          <w:rPr>
            <w:rStyle w:val="Hyperlink"/>
            <w:rFonts w:eastAsia="Times New Roman" w:cs="Calibri"/>
            <w:bCs/>
            <w:szCs w:val="24"/>
          </w:rPr>
          <w:t xml:space="preserve"> Supplemental Budget (if applicable) (DOCX)</w:t>
        </w:r>
      </w:hyperlink>
    </w:p>
    <w:p w14:paraId="74CB8B9A" w14:textId="085E4E4F" w:rsidR="00771972" w:rsidRPr="009E3393" w:rsidRDefault="00771972" w:rsidP="00E46C9E">
      <w:pPr>
        <w:numPr>
          <w:ilvl w:val="0"/>
          <w:numId w:val="1"/>
        </w:numPr>
        <w:spacing w:after="0" w:line="240" w:lineRule="auto"/>
        <w:rPr>
          <w:rFonts w:ascii="Calibri" w:eastAsia="Times New Roman" w:hAnsi="Calibri" w:cs="Calibri"/>
          <w:bCs/>
          <w:color w:val="0070C0"/>
          <w:sz w:val="24"/>
          <w:szCs w:val="24"/>
        </w:rPr>
      </w:pPr>
      <w:hyperlink r:id="rId17" w:history="1">
        <w:r w:rsidRPr="009E3393">
          <w:rPr>
            <w:rStyle w:val="Hyperlink"/>
            <w:rFonts w:eastAsia="Times New Roman" w:cs="Calibri"/>
            <w:bCs/>
            <w:szCs w:val="24"/>
          </w:rPr>
          <w:t>Exhibit J - Partner Roles and Responsibilities (DOCX)</w:t>
        </w:r>
      </w:hyperlink>
    </w:p>
    <w:p w14:paraId="57449A77" w14:textId="6C249162" w:rsidR="27E54ACE" w:rsidRPr="009E3393" w:rsidRDefault="27E54ACE" w:rsidP="000920D7">
      <w:pPr>
        <w:pStyle w:val="ListParagraph"/>
        <w:numPr>
          <w:ilvl w:val="0"/>
          <w:numId w:val="1"/>
        </w:numPr>
        <w:spacing w:after="0" w:line="240" w:lineRule="auto"/>
        <w:rPr>
          <w:rFonts w:eastAsia="Times New Roman"/>
          <w:color w:val="0070C0"/>
        </w:rPr>
      </w:pPr>
      <w:hyperlink r:id="rId18" w:history="1">
        <w:r w:rsidRPr="009E3393">
          <w:rPr>
            <w:rStyle w:val="Hyperlink"/>
            <w:rFonts w:eastAsia="Times New Roman"/>
          </w:rPr>
          <w:t>Executive Summary (DOCX)</w:t>
        </w:r>
      </w:hyperlink>
    </w:p>
    <w:p w14:paraId="4D1960D2" w14:textId="151A47BF" w:rsidR="5104C596" w:rsidRDefault="5104C596" w:rsidP="000920D7">
      <w:pPr>
        <w:pStyle w:val="ListParagraph"/>
        <w:numPr>
          <w:ilvl w:val="0"/>
          <w:numId w:val="1"/>
        </w:numPr>
        <w:spacing w:after="0" w:line="240" w:lineRule="auto"/>
        <w:rPr>
          <w:rFonts w:eastAsia="Times New Roman"/>
          <w:color w:val="4472C4"/>
        </w:rPr>
      </w:pPr>
      <w:hyperlink r:id="rId19" w:history="1">
        <w:r w:rsidRPr="009E3393">
          <w:rPr>
            <w:rStyle w:val="Hyperlink"/>
            <w:rFonts w:eastAsia="Times New Roman"/>
          </w:rPr>
          <w:t>Indirect Cost Declaration (DOCX)</w:t>
        </w:r>
      </w:hyperlink>
    </w:p>
    <w:p w14:paraId="01C83274" w14:textId="245A73DF" w:rsidR="00513A3D" w:rsidRPr="009E3393" w:rsidRDefault="00513A3D" w:rsidP="000920D7">
      <w:pPr>
        <w:pStyle w:val="ListParagraph"/>
        <w:numPr>
          <w:ilvl w:val="0"/>
          <w:numId w:val="1"/>
        </w:numPr>
        <w:spacing w:after="0" w:line="240" w:lineRule="auto"/>
        <w:rPr>
          <w:rFonts w:eastAsia="Times New Roman"/>
        </w:rPr>
      </w:pPr>
      <w:r w:rsidRPr="009E3393">
        <w:rPr>
          <w:rFonts w:eastAsia="Times New Roman"/>
        </w:rPr>
        <w:t>Indirect Cost Rate Agreement</w:t>
      </w:r>
      <w:r w:rsidRPr="009E3393">
        <w:rPr>
          <w:rFonts w:eastAsia="Times New Roman"/>
          <w:b/>
          <w:bCs/>
        </w:rPr>
        <w:t>*</w:t>
      </w:r>
      <w:r w:rsidRPr="009E3393">
        <w:rPr>
          <w:rFonts w:eastAsia="Times New Roman"/>
        </w:rPr>
        <w:t xml:space="preserve"> (if applicable)</w:t>
      </w:r>
    </w:p>
    <w:p w14:paraId="6DA570F4" w14:textId="7EA27FC4" w:rsidR="00E21BF4" w:rsidRDefault="00E21BF4" w:rsidP="000920D7">
      <w:pPr>
        <w:pStyle w:val="ListParagraph"/>
        <w:numPr>
          <w:ilvl w:val="0"/>
          <w:numId w:val="1"/>
        </w:numPr>
        <w:spacing w:after="0" w:line="240" w:lineRule="auto"/>
        <w:rPr>
          <w:rFonts w:eastAsia="Times New Roman"/>
          <w:color w:val="4472C4"/>
        </w:rPr>
      </w:pPr>
      <w:r w:rsidRPr="009E3393">
        <w:rPr>
          <w:rFonts w:eastAsia="Times New Roman"/>
        </w:rPr>
        <w:t>Commitment and Partnership Agreement Letters</w:t>
      </w:r>
      <w:r w:rsidRPr="009E3393">
        <w:rPr>
          <w:rFonts w:eastAsia="Times New Roman"/>
          <w:b/>
          <w:bCs/>
        </w:rPr>
        <w:t>*</w:t>
      </w:r>
      <w:r w:rsidR="00513A3D" w:rsidRPr="009E3393">
        <w:rPr>
          <w:rFonts w:eastAsia="Times New Roman"/>
        </w:rPr>
        <w:t xml:space="preserve"> (if applicable)</w:t>
      </w:r>
    </w:p>
    <w:p w14:paraId="30753DF5" w14:textId="14A0AAEB" w:rsidR="00FC67D0" w:rsidRPr="00B231FA" w:rsidRDefault="00B231FA" w:rsidP="000975E1">
      <w:pPr>
        <w:spacing w:line="240" w:lineRule="auto"/>
        <w:contextualSpacing/>
        <w:rPr>
          <w:rFonts w:ascii="Calibri" w:hAnsi="Calibri" w:cs="Calibri"/>
          <w:sz w:val="24"/>
          <w:szCs w:val="24"/>
        </w:rPr>
      </w:pPr>
      <w:r w:rsidRPr="00B231FA">
        <w:rPr>
          <w:rFonts w:ascii="Calibri" w:hAnsi="Calibri" w:cs="Calibri"/>
          <w:color w:val="2B579A"/>
          <w:sz w:val="24"/>
          <w:szCs w:val="24"/>
          <w:shd w:val="clear" w:color="auto" w:fill="E6E6E6"/>
        </w:rPr>
        <w:fldChar w:fldCharType="begin">
          <w:ffData>
            <w:name w:val=""/>
            <w:enabled/>
            <w:calcOnExit w:val="0"/>
            <w:textInput>
              <w:default w:val="*The above exhibit attachments are optional depending on the grant."/>
            </w:textInput>
          </w:ffData>
        </w:fldChar>
      </w:r>
      <w:r w:rsidRPr="00B231FA">
        <w:rPr>
          <w:rFonts w:ascii="Calibri" w:hAnsi="Calibri" w:cs="Calibri"/>
          <w:sz w:val="24"/>
          <w:szCs w:val="24"/>
        </w:rPr>
        <w:instrText xml:space="preserve"> FORMTEXT </w:instrText>
      </w:r>
      <w:r w:rsidRPr="00B231FA">
        <w:rPr>
          <w:rFonts w:ascii="Calibri" w:hAnsi="Calibri" w:cs="Calibri"/>
          <w:color w:val="2B579A"/>
          <w:sz w:val="24"/>
          <w:szCs w:val="24"/>
          <w:shd w:val="clear" w:color="auto" w:fill="E6E6E6"/>
        </w:rPr>
      </w:r>
      <w:r w:rsidRPr="00B231FA">
        <w:rPr>
          <w:rFonts w:ascii="Calibri" w:hAnsi="Calibri" w:cs="Calibri"/>
          <w:color w:val="2B579A"/>
          <w:sz w:val="24"/>
          <w:szCs w:val="24"/>
          <w:shd w:val="clear" w:color="auto" w:fill="E6E6E6"/>
        </w:rPr>
        <w:fldChar w:fldCharType="separate"/>
      </w:r>
      <w:r w:rsidRPr="00B231FA">
        <w:rPr>
          <w:rFonts w:ascii="Calibri" w:hAnsi="Calibri" w:cs="Calibri"/>
          <w:color w:val="2B579A"/>
          <w:sz w:val="24"/>
          <w:szCs w:val="24"/>
          <w:shd w:val="clear" w:color="auto" w:fill="E6E6E6"/>
        </w:rPr>
        <w:fldChar w:fldCharType="end"/>
      </w:r>
    </w:p>
    <w:p w14:paraId="24F367F1" w14:textId="4A4C7545" w:rsidR="008544AA" w:rsidRDefault="4F6ABB2E" w:rsidP="00775C81">
      <w:pPr>
        <w:tabs>
          <w:tab w:val="left" w:pos="1800"/>
        </w:tabs>
        <w:contextualSpacing/>
        <w:sectPr w:rsidR="008544AA" w:rsidSect="00460205">
          <w:footerReference w:type="default" r:id="rId20"/>
          <w:footerReference w:type="first" r:id="rId21"/>
          <w:pgSz w:w="12240" w:h="15840"/>
          <w:pgMar w:top="1440" w:right="1440" w:bottom="1440" w:left="1440" w:header="720" w:footer="720" w:gutter="0"/>
          <w:pgNumType w:fmt="lowerRoman" w:start="1"/>
          <w:cols w:space="720"/>
          <w:titlePg/>
          <w:docGrid w:linePitch="360"/>
        </w:sectPr>
      </w:pPr>
      <w:r w:rsidRPr="000975E1">
        <w:rPr>
          <w:rFonts w:ascii="Calibri" w:hAnsi="Calibri" w:cs="Calibri"/>
          <w:b/>
          <w:bCs/>
          <w:sz w:val="24"/>
          <w:szCs w:val="24"/>
        </w:rPr>
        <w:t>*</w:t>
      </w:r>
      <w:r w:rsidR="00F114E6">
        <w:rPr>
          <w:rFonts w:ascii="Calibri" w:hAnsi="Calibri" w:cs="Calibri"/>
          <w:sz w:val="24"/>
          <w:szCs w:val="24"/>
        </w:rPr>
        <w:t>A</w:t>
      </w:r>
      <w:r w:rsidRPr="05FD645D">
        <w:rPr>
          <w:rFonts w:ascii="Calibri" w:hAnsi="Calibri" w:cs="Calibri"/>
          <w:sz w:val="24"/>
          <w:szCs w:val="24"/>
        </w:rPr>
        <w:t xml:space="preserve"> template</w:t>
      </w:r>
      <w:r w:rsidR="00F114E6">
        <w:rPr>
          <w:rFonts w:ascii="Calibri" w:hAnsi="Calibri" w:cs="Calibri"/>
          <w:sz w:val="24"/>
          <w:szCs w:val="24"/>
        </w:rPr>
        <w:t xml:space="preserve"> is not provided in the SFP</w:t>
      </w:r>
      <w:r w:rsidRPr="05FD645D">
        <w:rPr>
          <w:rFonts w:ascii="Calibri" w:hAnsi="Calibri" w:cs="Calibri"/>
          <w:sz w:val="24"/>
          <w:szCs w:val="24"/>
        </w:rPr>
        <w:t>.</w:t>
      </w:r>
    </w:p>
    <w:p w14:paraId="2C094114" w14:textId="0C3D38B1" w:rsidR="00DB462D" w:rsidRPr="00DB462D" w:rsidRDefault="00DB462D" w:rsidP="00DB462D">
      <w:pPr>
        <w:pStyle w:val="TOC1"/>
        <w:rPr>
          <w:noProof/>
        </w:rPr>
      </w:pPr>
      <w:r>
        <w:lastRenderedPageBreak/>
        <w:t>Table of Contents</w:t>
      </w:r>
      <w:r>
        <w:rPr>
          <w:color w:val="2B579A"/>
          <w:shd w:val="clear" w:color="auto" w:fill="E6E6E6"/>
        </w:rPr>
        <w:fldChar w:fldCharType="begin"/>
      </w:r>
      <w:r>
        <w:instrText xml:space="preserve"> TOC \o "1-3" \u </w:instrText>
      </w:r>
      <w:r>
        <w:rPr>
          <w:color w:val="2B579A"/>
          <w:shd w:val="clear" w:color="auto" w:fill="E6E6E6"/>
        </w:rPr>
        <w:fldChar w:fldCharType="separate"/>
      </w:r>
    </w:p>
    <w:p w14:paraId="7A12688A" w14:textId="7A1BA299" w:rsidR="00DB462D" w:rsidRDefault="00DB462D">
      <w:pPr>
        <w:pStyle w:val="TOC2"/>
        <w:tabs>
          <w:tab w:val="left" w:pos="440"/>
          <w:tab w:val="right" w:leader="dot" w:pos="9350"/>
        </w:tabs>
        <w:rPr>
          <w:rFonts w:asciiTheme="minorHAnsi" w:eastAsiaTheme="minorEastAsia" w:hAnsiTheme="minorHAnsi"/>
          <w:b w:val="0"/>
          <w:bCs w:val="0"/>
          <w:noProof/>
          <w:szCs w:val="24"/>
        </w:rPr>
      </w:pPr>
      <w:r>
        <w:rPr>
          <w:noProof/>
        </w:rPr>
        <w:t>1.</w:t>
      </w:r>
      <w:r>
        <w:rPr>
          <w:rFonts w:asciiTheme="minorHAnsi" w:eastAsiaTheme="minorEastAsia" w:hAnsiTheme="minorHAnsi"/>
          <w:b w:val="0"/>
          <w:bCs w:val="0"/>
          <w:noProof/>
          <w:szCs w:val="24"/>
        </w:rPr>
        <w:tab/>
      </w:r>
      <w:r>
        <w:rPr>
          <w:noProof/>
        </w:rPr>
        <w:t>Overview</w:t>
      </w:r>
      <w:r>
        <w:rPr>
          <w:noProof/>
        </w:rPr>
        <w:tab/>
      </w:r>
      <w:r w:rsidR="003B2E04">
        <w:rPr>
          <w:noProof/>
          <w:color w:val="2B579A"/>
          <w:shd w:val="clear" w:color="auto" w:fill="E6E6E6"/>
        </w:rPr>
        <w:t>5</w:t>
      </w:r>
    </w:p>
    <w:p w14:paraId="2F4172E4" w14:textId="6D0925ED" w:rsidR="00DB462D" w:rsidRDefault="00DB462D" w:rsidP="00DB462D">
      <w:pPr>
        <w:pStyle w:val="TOC3"/>
        <w:rPr>
          <w:rFonts w:asciiTheme="minorHAnsi" w:eastAsiaTheme="minorEastAsia" w:hAnsiTheme="minorHAnsi"/>
          <w:noProof/>
          <w:szCs w:val="24"/>
        </w:rPr>
      </w:pPr>
      <w:r w:rsidRPr="006939CE">
        <w:rPr>
          <w:noProof/>
        </w:rPr>
        <w:t>A.</w:t>
      </w:r>
      <w:r w:rsidRPr="006939CE">
        <w:rPr>
          <w:rFonts w:asciiTheme="minorHAnsi" w:eastAsiaTheme="minorEastAsia" w:hAnsiTheme="minorHAnsi"/>
          <w:noProof/>
          <w:szCs w:val="24"/>
        </w:rPr>
        <w:tab/>
      </w:r>
      <w:r w:rsidRPr="006939CE">
        <w:rPr>
          <w:noProof/>
        </w:rPr>
        <w:t>Purpose</w:t>
      </w:r>
      <w:r>
        <w:rPr>
          <w:noProof/>
        </w:rPr>
        <w:tab/>
      </w:r>
      <w:r w:rsidR="003B2E04">
        <w:rPr>
          <w:noProof/>
          <w:color w:val="2B579A"/>
          <w:shd w:val="clear" w:color="auto" w:fill="E6E6E6"/>
        </w:rPr>
        <w:t>6</w:t>
      </w:r>
    </w:p>
    <w:p w14:paraId="7CE158EF" w14:textId="22267251" w:rsidR="00DB462D" w:rsidRDefault="00DB462D" w:rsidP="00DB462D">
      <w:pPr>
        <w:pStyle w:val="TOC3"/>
        <w:rPr>
          <w:rFonts w:asciiTheme="minorHAnsi" w:eastAsiaTheme="minorEastAsia" w:hAnsiTheme="minorHAnsi"/>
          <w:noProof/>
          <w:szCs w:val="24"/>
        </w:rPr>
      </w:pPr>
      <w:r w:rsidRPr="00AF13BF">
        <w:rPr>
          <w:rFonts w:eastAsia="Arial"/>
          <w:noProof/>
        </w:rPr>
        <w:t>B.</w:t>
      </w:r>
      <w:r>
        <w:rPr>
          <w:rFonts w:asciiTheme="minorHAnsi" w:eastAsiaTheme="minorEastAsia" w:hAnsiTheme="minorHAnsi"/>
          <w:noProof/>
          <w:szCs w:val="24"/>
        </w:rPr>
        <w:tab/>
      </w:r>
      <w:r w:rsidRPr="00AF13BF">
        <w:rPr>
          <w:rFonts w:eastAsia="Arial"/>
          <w:noProof/>
        </w:rPr>
        <w:t>Availability</w:t>
      </w:r>
      <w:r>
        <w:rPr>
          <w:noProof/>
        </w:rPr>
        <w:tab/>
      </w:r>
      <w:r w:rsidR="003B2E04">
        <w:rPr>
          <w:noProof/>
          <w:color w:val="2B579A"/>
          <w:shd w:val="clear" w:color="auto" w:fill="E6E6E6"/>
        </w:rPr>
        <w:t>7</w:t>
      </w:r>
    </w:p>
    <w:p w14:paraId="6C1DCD4C" w14:textId="0CBF540F" w:rsidR="00DB462D" w:rsidRDefault="00DB462D" w:rsidP="00DB462D">
      <w:pPr>
        <w:pStyle w:val="TOC3"/>
        <w:rPr>
          <w:rFonts w:asciiTheme="minorHAnsi" w:eastAsiaTheme="minorEastAsia" w:hAnsiTheme="minorHAnsi"/>
          <w:noProof/>
          <w:szCs w:val="24"/>
        </w:rPr>
      </w:pPr>
      <w:r w:rsidRPr="00AF13BF">
        <w:rPr>
          <w:rFonts w:eastAsia="Arial"/>
          <w:noProof/>
        </w:rPr>
        <w:t>C.</w:t>
      </w:r>
      <w:r>
        <w:rPr>
          <w:rFonts w:asciiTheme="minorHAnsi" w:eastAsiaTheme="minorEastAsia" w:hAnsiTheme="minorHAnsi"/>
          <w:noProof/>
          <w:szCs w:val="24"/>
        </w:rPr>
        <w:tab/>
      </w:r>
      <w:r w:rsidRPr="00AF13BF">
        <w:rPr>
          <w:rFonts w:eastAsia="Arial"/>
          <w:noProof/>
        </w:rPr>
        <w:t xml:space="preserve">Target </w:t>
      </w:r>
      <w:r w:rsidR="00016B79">
        <w:rPr>
          <w:rFonts w:eastAsia="Arial"/>
          <w:noProof/>
        </w:rPr>
        <w:t>Sectors</w:t>
      </w:r>
      <w:r>
        <w:rPr>
          <w:noProof/>
        </w:rPr>
        <w:tab/>
      </w:r>
      <w:r w:rsidR="003B2E04">
        <w:rPr>
          <w:noProof/>
          <w:color w:val="2B579A"/>
          <w:shd w:val="clear" w:color="auto" w:fill="E6E6E6"/>
        </w:rPr>
        <w:t>7</w:t>
      </w:r>
    </w:p>
    <w:p w14:paraId="4E59BBD8" w14:textId="12F3231F" w:rsidR="00DB462D" w:rsidRDefault="00DB462D" w:rsidP="00DB462D">
      <w:pPr>
        <w:pStyle w:val="TOC3"/>
        <w:rPr>
          <w:rFonts w:asciiTheme="minorHAnsi" w:eastAsiaTheme="minorEastAsia" w:hAnsiTheme="minorHAnsi"/>
          <w:noProof/>
          <w:szCs w:val="24"/>
        </w:rPr>
      </w:pPr>
      <w:r w:rsidRPr="00AF13BF">
        <w:rPr>
          <w:rFonts w:eastAsia="Arial"/>
          <w:noProof/>
        </w:rPr>
        <w:t>D.</w:t>
      </w:r>
      <w:r>
        <w:rPr>
          <w:rFonts w:asciiTheme="minorHAnsi" w:eastAsiaTheme="minorEastAsia" w:hAnsiTheme="minorHAnsi"/>
          <w:noProof/>
          <w:szCs w:val="24"/>
        </w:rPr>
        <w:tab/>
      </w:r>
      <w:r>
        <w:rPr>
          <w:noProof/>
        </w:rPr>
        <w:t>Eligibility</w:t>
      </w:r>
      <w:r>
        <w:rPr>
          <w:noProof/>
        </w:rPr>
        <w:tab/>
      </w:r>
      <w:r w:rsidR="003B2E04">
        <w:rPr>
          <w:noProof/>
          <w:color w:val="2B579A"/>
          <w:shd w:val="clear" w:color="auto" w:fill="E6E6E6"/>
        </w:rPr>
        <w:t>7</w:t>
      </w:r>
    </w:p>
    <w:p w14:paraId="63882236" w14:textId="5DBE30BD" w:rsidR="00DB462D" w:rsidRDefault="00DB462D">
      <w:pPr>
        <w:pStyle w:val="TOC2"/>
        <w:tabs>
          <w:tab w:val="left" w:pos="440"/>
          <w:tab w:val="right" w:leader="dot" w:pos="9350"/>
        </w:tabs>
        <w:rPr>
          <w:rFonts w:asciiTheme="minorHAnsi" w:eastAsiaTheme="minorEastAsia" w:hAnsiTheme="minorHAnsi"/>
          <w:b w:val="0"/>
          <w:bCs w:val="0"/>
          <w:noProof/>
          <w:szCs w:val="24"/>
        </w:rPr>
      </w:pPr>
      <w:r>
        <w:rPr>
          <w:noProof/>
        </w:rPr>
        <w:t>2.</w:t>
      </w:r>
      <w:r>
        <w:rPr>
          <w:rFonts w:asciiTheme="minorHAnsi" w:eastAsiaTheme="minorEastAsia" w:hAnsiTheme="minorHAnsi"/>
          <w:b w:val="0"/>
          <w:bCs w:val="0"/>
          <w:noProof/>
          <w:szCs w:val="24"/>
        </w:rPr>
        <w:tab/>
      </w:r>
      <w:r>
        <w:rPr>
          <w:noProof/>
        </w:rPr>
        <w:t>Project Design</w:t>
      </w:r>
      <w:r>
        <w:rPr>
          <w:noProof/>
        </w:rPr>
        <w:tab/>
      </w:r>
      <w:r w:rsidR="00DD246F">
        <w:rPr>
          <w:noProof/>
          <w:color w:val="2B579A"/>
          <w:shd w:val="clear" w:color="auto" w:fill="E6E6E6"/>
        </w:rPr>
        <w:t>8</w:t>
      </w:r>
    </w:p>
    <w:p w14:paraId="78955C29" w14:textId="6AC51C22"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Project Goals and Objectives</w:t>
      </w:r>
      <w:r>
        <w:rPr>
          <w:noProof/>
        </w:rPr>
        <w:tab/>
      </w:r>
      <w:r w:rsidR="00DD246F">
        <w:rPr>
          <w:noProof/>
          <w:color w:val="2B579A"/>
          <w:shd w:val="clear" w:color="auto" w:fill="E6E6E6"/>
        </w:rPr>
        <w:t>9</w:t>
      </w:r>
    </w:p>
    <w:p w14:paraId="6843B42C" w14:textId="048EDA7D" w:rsidR="00DD246F" w:rsidRPr="00DD246F" w:rsidRDefault="00DB462D" w:rsidP="00DD246F">
      <w:pPr>
        <w:pStyle w:val="TOC3"/>
        <w:rPr>
          <w:noProof/>
          <w:color w:val="2B579A"/>
          <w:shd w:val="clear" w:color="auto" w:fill="E6E6E6"/>
        </w:rPr>
      </w:pPr>
      <w:r>
        <w:rPr>
          <w:noProof/>
        </w:rPr>
        <w:t>B.</w:t>
      </w:r>
      <w:r>
        <w:rPr>
          <w:rFonts w:asciiTheme="minorHAnsi" w:eastAsiaTheme="minorEastAsia" w:hAnsiTheme="minorHAnsi"/>
          <w:noProof/>
          <w:szCs w:val="24"/>
        </w:rPr>
        <w:tab/>
      </w:r>
      <w:r>
        <w:rPr>
          <w:noProof/>
        </w:rPr>
        <w:t>Strategies</w:t>
      </w:r>
      <w:r>
        <w:rPr>
          <w:noProof/>
        </w:rPr>
        <w:tab/>
      </w:r>
      <w:r w:rsidR="00DD246F">
        <w:rPr>
          <w:noProof/>
          <w:color w:val="2B579A"/>
          <w:shd w:val="clear" w:color="auto" w:fill="E6E6E6"/>
        </w:rPr>
        <w:t>11</w:t>
      </w:r>
    </w:p>
    <w:p w14:paraId="60636A6E" w14:textId="6D1F7355" w:rsidR="00DB462D" w:rsidRDefault="00DB462D" w:rsidP="00DB462D">
      <w:pPr>
        <w:pStyle w:val="TOC3"/>
        <w:rPr>
          <w:rFonts w:asciiTheme="minorHAnsi" w:eastAsiaTheme="minorEastAsia" w:hAnsiTheme="minorHAnsi"/>
          <w:noProof/>
          <w:szCs w:val="24"/>
        </w:rPr>
      </w:pPr>
      <w:r>
        <w:rPr>
          <w:noProof/>
        </w:rPr>
        <w:t>C.</w:t>
      </w:r>
      <w:r>
        <w:rPr>
          <w:rFonts w:asciiTheme="minorHAnsi" w:eastAsiaTheme="minorEastAsia" w:hAnsiTheme="minorHAnsi"/>
          <w:noProof/>
          <w:szCs w:val="24"/>
        </w:rPr>
        <w:tab/>
      </w:r>
      <w:r w:rsidR="00DD246F">
        <w:rPr>
          <w:rFonts w:asciiTheme="minorHAnsi" w:eastAsiaTheme="minorEastAsia" w:hAnsiTheme="minorHAnsi"/>
          <w:noProof/>
          <w:szCs w:val="24"/>
        </w:rPr>
        <w:t>Service</w:t>
      </w:r>
      <w:r>
        <w:rPr>
          <w:noProof/>
        </w:rPr>
        <w:t>s</w:t>
      </w:r>
      <w:r>
        <w:rPr>
          <w:noProof/>
        </w:rPr>
        <w:tab/>
      </w:r>
      <w:r w:rsidR="00DD246F">
        <w:rPr>
          <w:noProof/>
          <w:color w:val="2B579A"/>
          <w:shd w:val="clear" w:color="auto" w:fill="E6E6E6"/>
        </w:rPr>
        <w:t>12</w:t>
      </w:r>
    </w:p>
    <w:p w14:paraId="60F6D9F9" w14:textId="07A8AE00" w:rsidR="00DB462D" w:rsidRDefault="00DB462D" w:rsidP="00DB462D">
      <w:pPr>
        <w:pStyle w:val="TOC3"/>
        <w:rPr>
          <w:noProof/>
          <w:color w:val="2B579A"/>
          <w:shd w:val="clear" w:color="auto" w:fill="E6E6E6"/>
        </w:rPr>
      </w:pPr>
      <w:r>
        <w:rPr>
          <w:noProof/>
        </w:rPr>
        <w:t>D.</w:t>
      </w:r>
      <w:r>
        <w:rPr>
          <w:rFonts w:asciiTheme="minorHAnsi" w:eastAsiaTheme="minorEastAsia" w:hAnsiTheme="minorHAnsi"/>
          <w:noProof/>
          <w:szCs w:val="24"/>
        </w:rPr>
        <w:tab/>
      </w:r>
      <w:r>
        <w:rPr>
          <w:noProof/>
        </w:rPr>
        <w:t>Supporting Data</w:t>
      </w:r>
      <w:r>
        <w:rPr>
          <w:noProof/>
        </w:rPr>
        <w:tab/>
      </w:r>
      <w:r w:rsidR="00DD246F">
        <w:rPr>
          <w:noProof/>
          <w:color w:val="2B579A"/>
          <w:shd w:val="clear" w:color="auto" w:fill="E6E6E6"/>
        </w:rPr>
        <w:t>14</w:t>
      </w:r>
    </w:p>
    <w:p w14:paraId="505C7DE5" w14:textId="014C71CE" w:rsidR="00DD246F" w:rsidRPr="00DD246F" w:rsidRDefault="00DD246F" w:rsidP="00DD246F">
      <w:r>
        <w:t xml:space="preserve">    </w:t>
      </w:r>
      <w:r w:rsidRPr="00DD246F">
        <w:rPr>
          <w:rFonts w:ascii="Calibri" w:hAnsi="Calibri" w:cs="Calibri"/>
          <w:sz w:val="24"/>
          <w:szCs w:val="24"/>
        </w:rPr>
        <w:t xml:space="preserve"> E</w:t>
      </w:r>
      <w:r>
        <w:t xml:space="preserve">.          </w:t>
      </w:r>
      <w:r w:rsidRPr="00DD246F">
        <w:rPr>
          <w:rFonts w:ascii="Calibri" w:hAnsi="Calibri" w:cs="Calibri"/>
          <w:sz w:val="24"/>
          <w:szCs w:val="24"/>
        </w:rPr>
        <w:t>Proposed Outcome</w:t>
      </w:r>
      <w:r>
        <w:t xml:space="preserve">s…………………………………………………………………………………………..16  </w:t>
      </w:r>
    </w:p>
    <w:p w14:paraId="79150164" w14:textId="3FD8A354" w:rsidR="00DB462D" w:rsidRDefault="00DB462D">
      <w:pPr>
        <w:pStyle w:val="TOC2"/>
        <w:tabs>
          <w:tab w:val="left" w:pos="440"/>
          <w:tab w:val="right" w:leader="dot" w:pos="9350"/>
        </w:tabs>
        <w:rPr>
          <w:rFonts w:asciiTheme="minorHAnsi" w:eastAsiaTheme="minorEastAsia" w:hAnsiTheme="minorHAnsi"/>
          <w:b w:val="0"/>
          <w:bCs w:val="0"/>
          <w:noProof/>
          <w:szCs w:val="24"/>
        </w:rPr>
      </w:pPr>
      <w:r>
        <w:rPr>
          <w:noProof/>
        </w:rPr>
        <w:t>3.</w:t>
      </w:r>
      <w:r>
        <w:rPr>
          <w:rFonts w:asciiTheme="minorHAnsi" w:eastAsiaTheme="minorEastAsia" w:hAnsiTheme="minorHAnsi"/>
          <w:b w:val="0"/>
          <w:bCs w:val="0"/>
          <w:noProof/>
          <w:szCs w:val="24"/>
        </w:rPr>
        <w:tab/>
      </w:r>
      <w:r>
        <w:rPr>
          <w:noProof/>
        </w:rPr>
        <w:t>Application and Program Requirements</w:t>
      </w:r>
      <w:r>
        <w:rPr>
          <w:noProof/>
        </w:rPr>
        <w:tab/>
      </w:r>
      <w:r w:rsidR="009A322C">
        <w:rPr>
          <w:noProof/>
          <w:color w:val="2B579A"/>
          <w:shd w:val="clear" w:color="auto" w:fill="E6E6E6"/>
        </w:rPr>
        <w:t>18</w:t>
      </w:r>
    </w:p>
    <w:p w14:paraId="35E354A9" w14:textId="1BFA5C7C"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Required Exhibits and Attachments</w:t>
      </w:r>
      <w:r>
        <w:rPr>
          <w:noProof/>
        </w:rPr>
        <w:tab/>
      </w:r>
      <w:r w:rsidR="009A322C">
        <w:rPr>
          <w:noProof/>
          <w:color w:val="2B579A"/>
          <w:shd w:val="clear" w:color="auto" w:fill="E6E6E6"/>
        </w:rPr>
        <w:t>18</w:t>
      </w:r>
    </w:p>
    <w:p w14:paraId="6D33B0A2" w14:textId="7ED13DE7" w:rsidR="00DB462D" w:rsidRDefault="00DB462D" w:rsidP="00DB462D">
      <w:pPr>
        <w:pStyle w:val="TOC3"/>
        <w:rPr>
          <w:rFonts w:asciiTheme="minorHAnsi" w:eastAsiaTheme="minorEastAsia" w:hAnsiTheme="minorHAnsi"/>
          <w:noProof/>
          <w:szCs w:val="24"/>
        </w:rPr>
      </w:pPr>
      <w:r w:rsidRPr="00AF13BF">
        <w:rPr>
          <w:noProof/>
        </w:rPr>
        <w:t>B.</w:t>
      </w:r>
      <w:r>
        <w:rPr>
          <w:rFonts w:asciiTheme="minorHAnsi" w:eastAsiaTheme="minorEastAsia" w:hAnsiTheme="minorHAnsi"/>
          <w:noProof/>
          <w:szCs w:val="24"/>
        </w:rPr>
        <w:tab/>
      </w:r>
      <w:r w:rsidRPr="00AF13BF">
        <w:rPr>
          <w:noProof/>
        </w:rPr>
        <w:t>Registration with the System for Award Management (SAM)</w:t>
      </w:r>
      <w:r>
        <w:rPr>
          <w:noProof/>
        </w:rPr>
        <w:tab/>
      </w:r>
      <w:r w:rsidR="009A322C">
        <w:rPr>
          <w:noProof/>
          <w:color w:val="2B579A"/>
          <w:shd w:val="clear" w:color="auto" w:fill="E6E6E6"/>
        </w:rPr>
        <w:t>18</w:t>
      </w:r>
    </w:p>
    <w:p w14:paraId="32D4B202" w14:textId="170635E4" w:rsidR="00DB462D" w:rsidRDefault="00DB462D" w:rsidP="000B71BB">
      <w:pPr>
        <w:pStyle w:val="TOC3"/>
        <w:rPr>
          <w:rFonts w:asciiTheme="minorHAnsi" w:eastAsiaTheme="minorEastAsia" w:hAnsiTheme="minorHAnsi"/>
          <w:noProof/>
          <w:szCs w:val="24"/>
        </w:rPr>
      </w:pPr>
      <w:r w:rsidRPr="00AF13BF">
        <w:rPr>
          <w:rFonts w:eastAsia="Arial"/>
          <w:noProof/>
        </w:rPr>
        <w:t>C.</w:t>
      </w:r>
      <w:r>
        <w:rPr>
          <w:rFonts w:asciiTheme="minorHAnsi" w:eastAsiaTheme="minorEastAsia" w:hAnsiTheme="minorHAnsi"/>
          <w:noProof/>
          <w:szCs w:val="24"/>
        </w:rPr>
        <w:tab/>
      </w:r>
      <w:r w:rsidRPr="00AF13BF">
        <w:rPr>
          <w:rFonts w:eastAsia="Arial"/>
          <w:noProof/>
        </w:rPr>
        <w:t>Partnership Agreement Letters</w:t>
      </w:r>
      <w:r>
        <w:rPr>
          <w:noProof/>
        </w:rPr>
        <w:tab/>
      </w:r>
      <w:r>
        <w:rPr>
          <w:noProof/>
          <w:color w:val="2B579A"/>
          <w:shd w:val="clear" w:color="auto" w:fill="E6E6E6"/>
        </w:rPr>
        <w:fldChar w:fldCharType="begin"/>
      </w:r>
      <w:r>
        <w:rPr>
          <w:noProof/>
        </w:rPr>
        <w:instrText xml:space="preserve"> PAGEREF _Toc167894659 \h </w:instrText>
      </w:r>
      <w:r>
        <w:rPr>
          <w:noProof/>
          <w:color w:val="2B579A"/>
          <w:shd w:val="clear" w:color="auto" w:fill="E6E6E6"/>
        </w:rPr>
      </w:r>
      <w:r>
        <w:rPr>
          <w:noProof/>
          <w:color w:val="2B579A"/>
          <w:shd w:val="clear" w:color="auto" w:fill="E6E6E6"/>
        </w:rPr>
        <w:fldChar w:fldCharType="separate"/>
      </w:r>
      <w:r>
        <w:rPr>
          <w:noProof/>
        </w:rPr>
        <w:t>1</w:t>
      </w:r>
      <w:r>
        <w:rPr>
          <w:noProof/>
          <w:color w:val="2B579A"/>
          <w:shd w:val="clear" w:color="auto" w:fill="E6E6E6"/>
        </w:rPr>
        <w:fldChar w:fldCharType="end"/>
      </w:r>
      <w:r w:rsidR="009A322C">
        <w:rPr>
          <w:noProof/>
          <w:color w:val="2B579A"/>
          <w:shd w:val="clear" w:color="auto" w:fill="E6E6E6"/>
        </w:rPr>
        <w:t>9</w:t>
      </w:r>
    </w:p>
    <w:p w14:paraId="24BDCFF8" w14:textId="09A21B28" w:rsidR="00DB462D" w:rsidRDefault="00DB462D">
      <w:pPr>
        <w:pStyle w:val="TOC2"/>
        <w:tabs>
          <w:tab w:val="left" w:pos="440"/>
          <w:tab w:val="right" w:leader="dot" w:pos="9350"/>
        </w:tabs>
        <w:rPr>
          <w:rFonts w:asciiTheme="minorHAnsi" w:eastAsiaTheme="minorEastAsia" w:hAnsiTheme="minorHAnsi"/>
          <w:b w:val="0"/>
          <w:bCs w:val="0"/>
          <w:noProof/>
          <w:szCs w:val="24"/>
        </w:rPr>
      </w:pPr>
      <w:r w:rsidRPr="00AF13BF">
        <w:rPr>
          <w:rFonts w:eastAsia="Calibri"/>
          <w:noProof/>
        </w:rPr>
        <w:t>4.</w:t>
      </w:r>
      <w:r>
        <w:rPr>
          <w:rFonts w:asciiTheme="minorHAnsi" w:eastAsiaTheme="minorEastAsia" w:hAnsiTheme="minorHAnsi"/>
          <w:b w:val="0"/>
          <w:bCs w:val="0"/>
          <w:noProof/>
          <w:szCs w:val="24"/>
        </w:rPr>
        <w:tab/>
      </w:r>
      <w:r w:rsidRPr="00AF13BF">
        <w:rPr>
          <w:rFonts w:eastAsia="Calibri"/>
          <w:noProof/>
        </w:rPr>
        <w:t>Budgeting and Performance Requirements</w:t>
      </w:r>
      <w:r>
        <w:rPr>
          <w:noProof/>
        </w:rPr>
        <w:tab/>
      </w:r>
      <w:r w:rsidR="000B71BB">
        <w:rPr>
          <w:noProof/>
        </w:rPr>
        <w:t>20</w:t>
      </w:r>
    </w:p>
    <w:p w14:paraId="20E01D62" w14:textId="7802608E"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Funding Request</w:t>
      </w:r>
      <w:r>
        <w:rPr>
          <w:noProof/>
        </w:rPr>
        <w:tab/>
      </w:r>
      <w:r w:rsidR="000B71BB">
        <w:rPr>
          <w:noProof/>
        </w:rPr>
        <w:t>20</w:t>
      </w:r>
    </w:p>
    <w:p w14:paraId="50D40C98" w14:textId="576FC0ED" w:rsidR="00DB462D" w:rsidRDefault="00DB462D" w:rsidP="00DB462D">
      <w:pPr>
        <w:pStyle w:val="TOC3"/>
        <w:rPr>
          <w:rFonts w:asciiTheme="minorHAnsi" w:eastAsiaTheme="minorEastAsia" w:hAnsiTheme="minorHAnsi"/>
          <w:noProof/>
          <w:szCs w:val="24"/>
        </w:rPr>
      </w:pPr>
      <w:r>
        <w:rPr>
          <w:noProof/>
        </w:rPr>
        <w:t>B.</w:t>
      </w:r>
      <w:r>
        <w:rPr>
          <w:rFonts w:asciiTheme="minorHAnsi" w:eastAsiaTheme="minorEastAsia" w:hAnsiTheme="minorHAnsi"/>
          <w:noProof/>
          <w:szCs w:val="24"/>
        </w:rPr>
        <w:tab/>
      </w:r>
      <w:r>
        <w:rPr>
          <w:noProof/>
        </w:rPr>
        <w:t>Leverag</w:t>
      </w:r>
      <w:r w:rsidR="000B71BB">
        <w:rPr>
          <w:noProof/>
        </w:rPr>
        <w:t>e</w:t>
      </w:r>
      <w:r>
        <w:rPr>
          <w:noProof/>
        </w:rPr>
        <w:t>d Resources</w:t>
      </w:r>
      <w:r>
        <w:rPr>
          <w:noProof/>
        </w:rPr>
        <w:tab/>
      </w:r>
      <w:r w:rsidR="000B71BB">
        <w:rPr>
          <w:noProof/>
          <w:color w:val="2B579A"/>
          <w:shd w:val="clear" w:color="auto" w:fill="E6E6E6"/>
        </w:rPr>
        <w:t>20</w:t>
      </w:r>
    </w:p>
    <w:p w14:paraId="71F414CF" w14:textId="57253182" w:rsidR="00DB462D" w:rsidRDefault="00DB462D" w:rsidP="00DB462D">
      <w:pPr>
        <w:pStyle w:val="TOC3"/>
        <w:rPr>
          <w:rFonts w:asciiTheme="minorHAnsi" w:eastAsiaTheme="minorEastAsia" w:hAnsiTheme="minorHAnsi"/>
          <w:noProof/>
          <w:szCs w:val="24"/>
        </w:rPr>
      </w:pPr>
      <w:r>
        <w:rPr>
          <w:noProof/>
        </w:rPr>
        <w:t>C.</w:t>
      </w:r>
      <w:r>
        <w:rPr>
          <w:rFonts w:asciiTheme="minorHAnsi" w:eastAsiaTheme="minorEastAsia" w:hAnsiTheme="minorHAnsi"/>
          <w:noProof/>
          <w:szCs w:val="24"/>
        </w:rPr>
        <w:tab/>
      </w:r>
      <w:r>
        <w:rPr>
          <w:noProof/>
        </w:rPr>
        <w:t>Allowable Uses of Funds</w:t>
      </w:r>
      <w:r>
        <w:rPr>
          <w:noProof/>
        </w:rPr>
        <w:tab/>
      </w:r>
      <w:r w:rsidR="000B71BB">
        <w:rPr>
          <w:noProof/>
          <w:color w:val="2B579A"/>
          <w:shd w:val="clear" w:color="auto" w:fill="E6E6E6"/>
        </w:rPr>
        <w:t>21</w:t>
      </w:r>
    </w:p>
    <w:p w14:paraId="3BCF3120" w14:textId="27E29B8D" w:rsidR="00DB462D" w:rsidRDefault="00DB462D" w:rsidP="00DB462D">
      <w:pPr>
        <w:pStyle w:val="TOC3"/>
        <w:rPr>
          <w:rFonts w:asciiTheme="minorHAnsi" w:eastAsiaTheme="minorEastAsia" w:hAnsiTheme="minorHAnsi"/>
          <w:noProof/>
          <w:szCs w:val="24"/>
        </w:rPr>
      </w:pPr>
      <w:r>
        <w:rPr>
          <w:noProof/>
        </w:rPr>
        <w:t>D.</w:t>
      </w:r>
      <w:r>
        <w:rPr>
          <w:rFonts w:asciiTheme="minorHAnsi" w:eastAsiaTheme="minorEastAsia" w:hAnsiTheme="minorHAnsi"/>
          <w:noProof/>
          <w:szCs w:val="24"/>
        </w:rPr>
        <w:tab/>
      </w:r>
      <w:r>
        <w:rPr>
          <w:noProof/>
        </w:rPr>
        <w:t>Administrative Cost Limits</w:t>
      </w:r>
      <w:r>
        <w:rPr>
          <w:noProof/>
        </w:rPr>
        <w:tab/>
      </w:r>
      <w:r w:rsidR="000B71BB">
        <w:rPr>
          <w:noProof/>
          <w:color w:val="2B579A"/>
          <w:shd w:val="clear" w:color="auto" w:fill="E6E6E6"/>
        </w:rPr>
        <w:t>21</w:t>
      </w:r>
    </w:p>
    <w:p w14:paraId="169C7012" w14:textId="645B09EE" w:rsidR="00DB462D" w:rsidRDefault="00DB462D">
      <w:pPr>
        <w:pStyle w:val="TOC2"/>
        <w:tabs>
          <w:tab w:val="left" w:pos="440"/>
          <w:tab w:val="right" w:leader="dot" w:pos="9350"/>
        </w:tabs>
        <w:rPr>
          <w:rFonts w:asciiTheme="minorHAnsi" w:eastAsiaTheme="minorEastAsia" w:hAnsiTheme="minorHAnsi"/>
          <w:b w:val="0"/>
          <w:bCs w:val="0"/>
          <w:noProof/>
          <w:szCs w:val="24"/>
        </w:rPr>
      </w:pPr>
      <w:r>
        <w:rPr>
          <w:noProof/>
        </w:rPr>
        <w:t>5.</w:t>
      </w:r>
      <w:r>
        <w:rPr>
          <w:rFonts w:asciiTheme="minorHAnsi" w:eastAsiaTheme="minorEastAsia" w:hAnsiTheme="minorHAnsi"/>
          <w:b w:val="0"/>
          <w:bCs w:val="0"/>
          <w:noProof/>
          <w:szCs w:val="24"/>
        </w:rPr>
        <w:tab/>
      </w:r>
      <w:r>
        <w:rPr>
          <w:noProof/>
        </w:rPr>
        <w:t>Submission</w:t>
      </w:r>
      <w:r>
        <w:rPr>
          <w:noProof/>
        </w:rPr>
        <w:tab/>
      </w:r>
      <w:r w:rsidR="00D74826">
        <w:rPr>
          <w:noProof/>
        </w:rPr>
        <w:t>22</w:t>
      </w:r>
    </w:p>
    <w:p w14:paraId="0A84150B" w14:textId="22FCBEF2"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Submission Format</w:t>
      </w:r>
      <w:r>
        <w:rPr>
          <w:noProof/>
        </w:rPr>
        <w:tab/>
      </w:r>
      <w:r w:rsidR="00D74826">
        <w:rPr>
          <w:noProof/>
        </w:rPr>
        <w:t>22</w:t>
      </w:r>
    </w:p>
    <w:p w14:paraId="08280ACF" w14:textId="72EBB166" w:rsidR="00DB462D" w:rsidRDefault="00DB462D" w:rsidP="00DB462D">
      <w:pPr>
        <w:pStyle w:val="TOC3"/>
        <w:rPr>
          <w:rFonts w:asciiTheme="minorHAnsi" w:eastAsiaTheme="minorEastAsia" w:hAnsiTheme="minorHAnsi"/>
          <w:noProof/>
          <w:szCs w:val="24"/>
        </w:rPr>
      </w:pPr>
      <w:r>
        <w:rPr>
          <w:noProof/>
        </w:rPr>
        <w:t>B.</w:t>
      </w:r>
      <w:r>
        <w:rPr>
          <w:rFonts w:asciiTheme="minorHAnsi" w:eastAsiaTheme="minorEastAsia" w:hAnsiTheme="minorHAnsi"/>
          <w:noProof/>
          <w:szCs w:val="24"/>
        </w:rPr>
        <w:tab/>
      </w:r>
      <w:r>
        <w:rPr>
          <w:noProof/>
        </w:rPr>
        <w:t>Submission Guidelines</w:t>
      </w:r>
      <w:r>
        <w:rPr>
          <w:noProof/>
        </w:rPr>
        <w:tab/>
      </w:r>
      <w:r w:rsidR="00D74826">
        <w:rPr>
          <w:noProof/>
        </w:rPr>
        <w:t>22</w:t>
      </w:r>
    </w:p>
    <w:p w14:paraId="03336971" w14:textId="04389CA6" w:rsidR="00DB462D" w:rsidRDefault="00DB462D" w:rsidP="00DB462D">
      <w:pPr>
        <w:pStyle w:val="TOC3"/>
        <w:rPr>
          <w:rFonts w:asciiTheme="minorHAnsi" w:eastAsiaTheme="minorEastAsia" w:hAnsiTheme="minorHAnsi"/>
          <w:noProof/>
          <w:szCs w:val="24"/>
        </w:rPr>
      </w:pPr>
      <w:r>
        <w:rPr>
          <w:noProof/>
        </w:rPr>
        <w:t>C.</w:t>
      </w:r>
      <w:r>
        <w:rPr>
          <w:rFonts w:asciiTheme="minorHAnsi" w:eastAsiaTheme="minorEastAsia" w:hAnsiTheme="minorHAnsi"/>
          <w:noProof/>
          <w:szCs w:val="24"/>
        </w:rPr>
        <w:tab/>
      </w:r>
      <w:r>
        <w:rPr>
          <w:noProof/>
        </w:rPr>
        <w:t>Questions and Answers</w:t>
      </w:r>
      <w:r>
        <w:rPr>
          <w:noProof/>
        </w:rPr>
        <w:tab/>
      </w:r>
      <w:r w:rsidR="00D74826">
        <w:rPr>
          <w:noProof/>
        </w:rPr>
        <w:t>24</w:t>
      </w:r>
    </w:p>
    <w:p w14:paraId="6660B70A" w14:textId="173B9367" w:rsidR="00DB462D" w:rsidRDefault="00DB462D" w:rsidP="00DB462D">
      <w:pPr>
        <w:pStyle w:val="TOC3"/>
        <w:rPr>
          <w:rFonts w:asciiTheme="minorHAnsi" w:eastAsiaTheme="minorEastAsia" w:hAnsiTheme="minorHAnsi"/>
          <w:noProof/>
          <w:szCs w:val="24"/>
        </w:rPr>
      </w:pPr>
      <w:r>
        <w:rPr>
          <w:noProof/>
        </w:rPr>
        <w:t>D.</w:t>
      </w:r>
      <w:r>
        <w:rPr>
          <w:rFonts w:asciiTheme="minorHAnsi" w:eastAsiaTheme="minorEastAsia" w:hAnsiTheme="minorHAnsi"/>
          <w:noProof/>
          <w:szCs w:val="24"/>
        </w:rPr>
        <w:tab/>
      </w:r>
      <w:r>
        <w:rPr>
          <w:noProof/>
        </w:rPr>
        <w:t>Delivery</w:t>
      </w:r>
      <w:r>
        <w:rPr>
          <w:noProof/>
        </w:rPr>
        <w:tab/>
      </w:r>
      <w:r w:rsidR="00D74826">
        <w:rPr>
          <w:noProof/>
          <w:color w:val="2B579A"/>
          <w:shd w:val="clear" w:color="auto" w:fill="E6E6E6"/>
        </w:rPr>
        <w:t>25</w:t>
      </w:r>
    </w:p>
    <w:p w14:paraId="275AF42C" w14:textId="5EDFFB52" w:rsidR="00DB462D" w:rsidRDefault="00DB462D">
      <w:pPr>
        <w:pStyle w:val="TOC2"/>
        <w:tabs>
          <w:tab w:val="left" w:pos="440"/>
          <w:tab w:val="right" w:leader="dot" w:pos="9350"/>
        </w:tabs>
        <w:rPr>
          <w:rFonts w:asciiTheme="minorHAnsi" w:eastAsiaTheme="minorEastAsia" w:hAnsiTheme="minorHAnsi"/>
          <w:b w:val="0"/>
          <w:bCs w:val="0"/>
          <w:noProof/>
          <w:szCs w:val="24"/>
        </w:rPr>
      </w:pPr>
      <w:r>
        <w:rPr>
          <w:noProof/>
        </w:rPr>
        <w:t>6.</w:t>
      </w:r>
      <w:r>
        <w:rPr>
          <w:rFonts w:asciiTheme="minorHAnsi" w:eastAsiaTheme="minorEastAsia" w:hAnsiTheme="minorHAnsi"/>
          <w:b w:val="0"/>
          <w:bCs w:val="0"/>
          <w:noProof/>
          <w:szCs w:val="24"/>
        </w:rPr>
        <w:tab/>
      </w:r>
      <w:r>
        <w:rPr>
          <w:noProof/>
        </w:rPr>
        <w:t>Award and Contracting Process</w:t>
      </w:r>
      <w:r>
        <w:rPr>
          <w:noProof/>
        </w:rPr>
        <w:tab/>
      </w:r>
      <w:r w:rsidR="00D07705">
        <w:rPr>
          <w:noProof/>
          <w:color w:val="2B579A"/>
          <w:shd w:val="clear" w:color="auto" w:fill="E6E6E6"/>
        </w:rPr>
        <w:t>26</w:t>
      </w:r>
    </w:p>
    <w:p w14:paraId="6755F7ED" w14:textId="2F10C34A"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Proposal Review, Scoring, and Evaluation</w:t>
      </w:r>
      <w:r>
        <w:rPr>
          <w:noProof/>
        </w:rPr>
        <w:tab/>
      </w:r>
      <w:r w:rsidR="00D07705">
        <w:rPr>
          <w:noProof/>
          <w:color w:val="2B579A"/>
          <w:shd w:val="clear" w:color="auto" w:fill="E6E6E6"/>
        </w:rPr>
        <w:t>26</w:t>
      </w:r>
    </w:p>
    <w:p w14:paraId="681524EC" w14:textId="429A6A11" w:rsidR="00DB462D" w:rsidRDefault="00DB462D" w:rsidP="00DB462D">
      <w:pPr>
        <w:pStyle w:val="TOC3"/>
        <w:rPr>
          <w:rFonts w:asciiTheme="minorHAnsi" w:eastAsiaTheme="minorEastAsia" w:hAnsiTheme="minorHAnsi"/>
          <w:noProof/>
          <w:szCs w:val="24"/>
        </w:rPr>
      </w:pPr>
      <w:r>
        <w:rPr>
          <w:noProof/>
        </w:rPr>
        <w:t>B.</w:t>
      </w:r>
      <w:r>
        <w:rPr>
          <w:rFonts w:asciiTheme="minorHAnsi" w:eastAsiaTheme="minorEastAsia" w:hAnsiTheme="minorHAnsi"/>
          <w:noProof/>
          <w:szCs w:val="24"/>
        </w:rPr>
        <w:tab/>
      </w:r>
      <w:r>
        <w:rPr>
          <w:noProof/>
        </w:rPr>
        <w:t>Appeals Process</w:t>
      </w:r>
      <w:r>
        <w:rPr>
          <w:noProof/>
        </w:rPr>
        <w:tab/>
      </w:r>
      <w:r w:rsidR="00D07705">
        <w:rPr>
          <w:noProof/>
          <w:color w:val="2B579A"/>
          <w:shd w:val="clear" w:color="auto" w:fill="E6E6E6"/>
        </w:rPr>
        <w:t>28</w:t>
      </w:r>
    </w:p>
    <w:p w14:paraId="0E366C2C" w14:textId="018206BE" w:rsidR="00DB462D" w:rsidRDefault="00DB462D" w:rsidP="00DB462D">
      <w:pPr>
        <w:pStyle w:val="TOC3"/>
        <w:rPr>
          <w:rFonts w:asciiTheme="minorHAnsi" w:eastAsiaTheme="minorEastAsia" w:hAnsiTheme="minorHAnsi"/>
          <w:noProof/>
          <w:szCs w:val="24"/>
        </w:rPr>
      </w:pPr>
      <w:r>
        <w:rPr>
          <w:noProof/>
        </w:rPr>
        <w:t>C.</w:t>
      </w:r>
      <w:r>
        <w:rPr>
          <w:rFonts w:asciiTheme="minorHAnsi" w:eastAsiaTheme="minorEastAsia" w:hAnsiTheme="minorHAnsi"/>
          <w:noProof/>
          <w:szCs w:val="24"/>
        </w:rPr>
        <w:tab/>
      </w:r>
      <w:r>
        <w:rPr>
          <w:noProof/>
        </w:rPr>
        <w:t>Award Notification</w:t>
      </w:r>
      <w:r>
        <w:rPr>
          <w:noProof/>
        </w:rPr>
        <w:tab/>
      </w:r>
      <w:r w:rsidR="00D07705">
        <w:rPr>
          <w:noProof/>
          <w:color w:val="2B579A"/>
          <w:shd w:val="clear" w:color="auto" w:fill="E6E6E6"/>
        </w:rPr>
        <w:t>28</w:t>
      </w:r>
    </w:p>
    <w:p w14:paraId="58E07FD1" w14:textId="4C92078A" w:rsidR="00DB462D" w:rsidRDefault="00DB462D" w:rsidP="00DB462D">
      <w:pPr>
        <w:pStyle w:val="TOC3"/>
        <w:rPr>
          <w:rFonts w:asciiTheme="minorHAnsi" w:eastAsiaTheme="minorEastAsia" w:hAnsiTheme="minorHAnsi"/>
          <w:noProof/>
          <w:szCs w:val="24"/>
        </w:rPr>
      </w:pPr>
      <w:r>
        <w:rPr>
          <w:noProof/>
        </w:rPr>
        <w:t>D.</w:t>
      </w:r>
      <w:r>
        <w:rPr>
          <w:rFonts w:asciiTheme="minorHAnsi" w:eastAsiaTheme="minorEastAsia" w:hAnsiTheme="minorHAnsi"/>
          <w:noProof/>
          <w:szCs w:val="24"/>
        </w:rPr>
        <w:tab/>
      </w:r>
      <w:r>
        <w:rPr>
          <w:noProof/>
        </w:rPr>
        <w:t>Agreement and Contracting</w:t>
      </w:r>
      <w:r>
        <w:rPr>
          <w:noProof/>
        </w:rPr>
        <w:tab/>
      </w:r>
      <w:r w:rsidR="00D07705">
        <w:rPr>
          <w:noProof/>
          <w:color w:val="2B579A"/>
          <w:shd w:val="clear" w:color="auto" w:fill="E6E6E6"/>
        </w:rPr>
        <w:t>28</w:t>
      </w:r>
    </w:p>
    <w:p w14:paraId="379458BB" w14:textId="4B5F97F0" w:rsidR="00DB462D" w:rsidRDefault="00DB462D">
      <w:pPr>
        <w:pStyle w:val="TOC2"/>
        <w:tabs>
          <w:tab w:val="left" w:pos="440"/>
          <w:tab w:val="right" w:leader="dot" w:pos="9350"/>
        </w:tabs>
        <w:rPr>
          <w:rFonts w:asciiTheme="minorHAnsi" w:eastAsiaTheme="minorEastAsia" w:hAnsiTheme="minorHAnsi"/>
          <w:b w:val="0"/>
          <w:bCs w:val="0"/>
          <w:noProof/>
          <w:szCs w:val="24"/>
        </w:rPr>
      </w:pPr>
      <w:r w:rsidRPr="00AF13BF">
        <w:rPr>
          <w:rFonts w:eastAsia="Arial"/>
          <w:noProof/>
        </w:rPr>
        <w:t>7.</w:t>
      </w:r>
      <w:r>
        <w:rPr>
          <w:rFonts w:asciiTheme="minorHAnsi" w:eastAsiaTheme="minorEastAsia" w:hAnsiTheme="minorHAnsi"/>
          <w:b w:val="0"/>
          <w:bCs w:val="0"/>
          <w:noProof/>
          <w:szCs w:val="24"/>
        </w:rPr>
        <w:tab/>
      </w:r>
      <w:r w:rsidRPr="00AF13BF">
        <w:rPr>
          <w:rFonts w:eastAsia="Arial"/>
          <w:noProof/>
        </w:rPr>
        <w:t>Administrative Requirements</w:t>
      </w:r>
      <w:r>
        <w:rPr>
          <w:noProof/>
        </w:rPr>
        <w:tab/>
      </w:r>
      <w:r w:rsidR="00D07705">
        <w:rPr>
          <w:noProof/>
          <w:color w:val="2B579A"/>
          <w:shd w:val="clear" w:color="auto" w:fill="E6E6E6"/>
        </w:rPr>
        <w:t>30</w:t>
      </w:r>
    </w:p>
    <w:p w14:paraId="511CD5AD" w14:textId="744476BB"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Monitoring and Audits</w:t>
      </w:r>
      <w:r>
        <w:rPr>
          <w:noProof/>
        </w:rPr>
        <w:tab/>
      </w:r>
      <w:r w:rsidR="00D07705">
        <w:rPr>
          <w:noProof/>
          <w:color w:val="2B579A"/>
          <w:shd w:val="clear" w:color="auto" w:fill="E6E6E6"/>
        </w:rPr>
        <w:t>30</w:t>
      </w:r>
    </w:p>
    <w:p w14:paraId="5A3E1C39" w14:textId="0E67E0F8" w:rsidR="00DB462D" w:rsidRDefault="00DB462D" w:rsidP="00DB462D">
      <w:pPr>
        <w:pStyle w:val="TOC3"/>
        <w:rPr>
          <w:rFonts w:asciiTheme="minorHAnsi" w:eastAsiaTheme="minorEastAsia" w:hAnsiTheme="minorHAnsi"/>
          <w:noProof/>
          <w:szCs w:val="24"/>
        </w:rPr>
      </w:pPr>
      <w:r>
        <w:rPr>
          <w:noProof/>
        </w:rPr>
        <w:t>B.</w:t>
      </w:r>
      <w:r>
        <w:rPr>
          <w:rFonts w:asciiTheme="minorHAnsi" w:eastAsiaTheme="minorEastAsia" w:hAnsiTheme="minorHAnsi"/>
          <w:noProof/>
          <w:szCs w:val="24"/>
        </w:rPr>
        <w:tab/>
      </w:r>
      <w:r>
        <w:rPr>
          <w:noProof/>
        </w:rPr>
        <w:t>Record Retention</w:t>
      </w:r>
      <w:r>
        <w:rPr>
          <w:noProof/>
        </w:rPr>
        <w:tab/>
      </w:r>
      <w:r w:rsidR="00D07705">
        <w:rPr>
          <w:noProof/>
          <w:color w:val="2B579A"/>
          <w:shd w:val="clear" w:color="auto" w:fill="E6E6E6"/>
        </w:rPr>
        <w:t>30</w:t>
      </w:r>
    </w:p>
    <w:p w14:paraId="1BCD9066" w14:textId="6A875162" w:rsidR="00DB462D" w:rsidRDefault="00DB462D" w:rsidP="00DB462D">
      <w:pPr>
        <w:pStyle w:val="TOC3"/>
        <w:rPr>
          <w:rFonts w:asciiTheme="minorHAnsi" w:eastAsiaTheme="minorEastAsia" w:hAnsiTheme="minorHAnsi"/>
          <w:noProof/>
          <w:szCs w:val="24"/>
        </w:rPr>
      </w:pPr>
      <w:r w:rsidRPr="006939CE">
        <w:rPr>
          <w:noProof/>
        </w:rPr>
        <w:lastRenderedPageBreak/>
        <w:t>C.</w:t>
      </w:r>
      <w:r w:rsidRPr="006939CE">
        <w:rPr>
          <w:rFonts w:asciiTheme="minorHAnsi" w:eastAsiaTheme="minorEastAsia" w:hAnsiTheme="minorHAnsi"/>
          <w:noProof/>
          <w:szCs w:val="24"/>
        </w:rPr>
        <w:tab/>
      </w:r>
      <w:r w:rsidRPr="006939CE">
        <w:rPr>
          <w:noProof/>
        </w:rPr>
        <w:t>Reporting</w:t>
      </w:r>
      <w:r>
        <w:rPr>
          <w:noProof/>
        </w:rPr>
        <w:tab/>
      </w:r>
      <w:r w:rsidR="00D07705">
        <w:rPr>
          <w:noProof/>
          <w:color w:val="2B579A"/>
          <w:shd w:val="clear" w:color="auto" w:fill="E6E6E6"/>
        </w:rPr>
        <w:t>30</w:t>
      </w:r>
    </w:p>
    <w:p w14:paraId="38295CCA" w14:textId="728D89F0" w:rsidR="00DB462D" w:rsidRDefault="00DB462D" w:rsidP="00DB462D">
      <w:pPr>
        <w:pStyle w:val="TOC3"/>
        <w:rPr>
          <w:rFonts w:asciiTheme="minorHAnsi" w:eastAsiaTheme="minorEastAsia" w:hAnsiTheme="minorHAnsi"/>
          <w:noProof/>
          <w:szCs w:val="24"/>
        </w:rPr>
      </w:pPr>
      <w:r>
        <w:rPr>
          <w:noProof/>
        </w:rPr>
        <w:t>D.</w:t>
      </w:r>
      <w:r>
        <w:rPr>
          <w:rFonts w:asciiTheme="minorHAnsi" w:eastAsiaTheme="minorEastAsia" w:hAnsiTheme="minorHAnsi"/>
          <w:noProof/>
          <w:szCs w:val="24"/>
        </w:rPr>
        <w:tab/>
      </w:r>
      <w:r>
        <w:rPr>
          <w:noProof/>
        </w:rPr>
        <w:t>Closeout</w:t>
      </w:r>
      <w:r>
        <w:rPr>
          <w:noProof/>
        </w:rPr>
        <w:tab/>
      </w:r>
      <w:r w:rsidR="00D07705">
        <w:rPr>
          <w:noProof/>
          <w:color w:val="2B579A"/>
          <w:shd w:val="clear" w:color="auto" w:fill="E6E6E6"/>
        </w:rPr>
        <w:t>31</w:t>
      </w:r>
    </w:p>
    <w:p w14:paraId="25D99304" w14:textId="126344DC" w:rsidR="00DB462D" w:rsidRDefault="00DB462D" w:rsidP="00DB462D">
      <w:pPr>
        <w:pStyle w:val="TOC3"/>
        <w:rPr>
          <w:rFonts w:asciiTheme="minorHAnsi" w:eastAsiaTheme="minorEastAsia" w:hAnsiTheme="minorHAnsi"/>
          <w:noProof/>
          <w:szCs w:val="24"/>
        </w:rPr>
      </w:pPr>
      <w:r>
        <w:rPr>
          <w:noProof/>
        </w:rPr>
        <w:t>E.</w:t>
      </w:r>
      <w:r>
        <w:rPr>
          <w:rFonts w:asciiTheme="minorHAnsi" w:eastAsiaTheme="minorEastAsia" w:hAnsiTheme="minorHAnsi"/>
          <w:noProof/>
          <w:szCs w:val="24"/>
        </w:rPr>
        <w:tab/>
      </w:r>
      <w:r>
        <w:rPr>
          <w:noProof/>
        </w:rPr>
        <w:t>Compliance</w:t>
      </w:r>
      <w:r>
        <w:rPr>
          <w:noProof/>
        </w:rPr>
        <w:tab/>
      </w:r>
      <w:r w:rsidR="00D07705">
        <w:rPr>
          <w:noProof/>
          <w:color w:val="2B579A"/>
          <w:shd w:val="clear" w:color="auto" w:fill="E6E6E6"/>
        </w:rPr>
        <w:t>31</w:t>
      </w:r>
    </w:p>
    <w:p w14:paraId="26E9CDEE" w14:textId="24E364E5" w:rsidR="00DB462D" w:rsidRDefault="00DB462D" w:rsidP="00DB462D">
      <w:pPr>
        <w:pStyle w:val="TOC3"/>
        <w:rPr>
          <w:rFonts w:asciiTheme="minorHAnsi" w:eastAsiaTheme="minorEastAsia" w:hAnsiTheme="minorHAnsi"/>
          <w:noProof/>
          <w:szCs w:val="24"/>
        </w:rPr>
      </w:pPr>
      <w:r>
        <w:rPr>
          <w:noProof/>
        </w:rPr>
        <w:t>F.</w:t>
      </w:r>
      <w:r>
        <w:rPr>
          <w:rFonts w:asciiTheme="minorHAnsi" w:eastAsiaTheme="minorEastAsia" w:hAnsiTheme="minorHAnsi"/>
          <w:noProof/>
          <w:szCs w:val="24"/>
        </w:rPr>
        <w:tab/>
      </w:r>
      <w:r>
        <w:rPr>
          <w:noProof/>
        </w:rPr>
        <w:t>Intellectual Property Rights/Creative Common Attribution License</w:t>
      </w:r>
      <w:r>
        <w:rPr>
          <w:noProof/>
        </w:rPr>
        <w:tab/>
      </w:r>
      <w:r w:rsidR="00D07705">
        <w:rPr>
          <w:noProof/>
          <w:color w:val="2B579A"/>
          <w:shd w:val="clear" w:color="auto" w:fill="E6E6E6"/>
        </w:rPr>
        <w:t>31</w:t>
      </w:r>
    </w:p>
    <w:p w14:paraId="728DF641" w14:textId="74D60BCA" w:rsidR="00DB462D" w:rsidRDefault="00DB462D" w:rsidP="00DB462D">
      <w:pPr>
        <w:pStyle w:val="TOC3"/>
        <w:rPr>
          <w:rFonts w:asciiTheme="minorHAnsi" w:eastAsiaTheme="minorEastAsia" w:hAnsiTheme="minorHAnsi"/>
          <w:noProof/>
          <w:szCs w:val="24"/>
        </w:rPr>
      </w:pPr>
      <w:r>
        <w:rPr>
          <w:noProof/>
        </w:rPr>
        <w:t>G.</w:t>
      </w:r>
      <w:r>
        <w:rPr>
          <w:rFonts w:asciiTheme="minorHAnsi" w:eastAsiaTheme="minorEastAsia" w:hAnsiTheme="minorHAnsi"/>
          <w:noProof/>
          <w:szCs w:val="24"/>
        </w:rPr>
        <w:tab/>
      </w:r>
      <w:r>
        <w:rPr>
          <w:noProof/>
        </w:rPr>
        <w:t>Public Communications – Certain Information Requirement</w:t>
      </w:r>
      <w:r>
        <w:rPr>
          <w:noProof/>
        </w:rPr>
        <w:tab/>
      </w:r>
      <w:r w:rsidR="00D07705">
        <w:rPr>
          <w:noProof/>
          <w:color w:val="2B579A"/>
          <w:shd w:val="clear" w:color="auto" w:fill="E6E6E6"/>
        </w:rPr>
        <w:t>31</w:t>
      </w:r>
    </w:p>
    <w:p w14:paraId="4B2D10CD" w14:textId="2DF5C371" w:rsidR="00DB462D" w:rsidRDefault="00DB462D" w:rsidP="00DB462D">
      <w:pPr>
        <w:pStyle w:val="TOC3"/>
        <w:rPr>
          <w:rFonts w:asciiTheme="minorHAnsi" w:eastAsiaTheme="minorEastAsia" w:hAnsiTheme="minorHAnsi"/>
          <w:noProof/>
          <w:szCs w:val="24"/>
        </w:rPr>
      </w:pPr>
      <w:r>
        <w:rPr>
          <w:noProof/>
        </w:rPr>
        <w:t>H.</w:t>
      </w:r>
      <w:r>
        <w:rPr>
          <w:rFonts w:asciiTheme="minorHAnsi" w:eastAsiaTheme="minorEastAsia" w:hAnsiTheme="minorHAnsi"/>
          <w:noProof/>
          <w:szCs w:val="24"/>
        </w:rPr>
        <w:tab/>
      </w:r>
      <w:r>
        <w:rPr>
          <w:noProof/>
        </w:rPr>
        <w:t>Evaluation</w:t>
      </w:r>
      <w:r>
        <w:rPr>
          <w:noProof/>
        </w:rPr>
        <w:tab/>
      </w:r>
      <w:r w:rsidR="00D07705">
        <w:rPr>
          <w:noProof/>
          <w:color w:val="2B579A"/>
          <w:shd w:val="clear" w:color="auto" w:fill="E6E6E6"/>
        </w:rPr>
        <w:t>32</w:t>
      </w:r>
    </w:p>
    <w:p w14:paraId="2D48E30C" w14:textId="280993BC"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rPr>
        <w:t>Appendix A: Proposal Package Instructions</w:t>
      </w:r>
      <w:r>
        <w:rPr>
          <w:noProof/>
        </w:rPr>
        <w:tab/>
      </w:r>
      <w:r w:rsidR="00D07705">
        <w:rPr>
          <w:noProof/>
          <w:color w:val="2B579A"/>
          <w:shd w:val="clear" w:color="auto" w:fill="E6E6E6"/>
        </w:rPr>
        <w:t>33</w:t>
      </w:r>
    </w:p>
    <w:p w14:paraId="603B00E0" w14:textId="2E211F60"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Format and Document Order</w:t>
      </w:r>
      <w:r>
        <w:rPr>
          <w:noProof/>
        </w:rPr>
        <w:tab/>
      </w:r>
      <w:r w:rsidR="00D07705">
        <w:rPr>
          <w:noProof/>
          <w:color w:val="2B579A"/>
          <w:shd w:val="clear" w:color="auto" w:fill="E6E6E6"/>
        </w:rPr>
        <w:t>33</w:t>
      </w:r>
    </w:p>
    <w:p w14:paraId="529D7015" w14:textId="31251067" w:rsidR="00DB462D" w:rsidRDefault="00DB462D" w:rsidP="00DB462D">
      <w:pPr>
        <w:pStyle w:val="TOC3"/>
        <w:rPr>
          <w:rFonts w:asciiTheme="minorHAnsi" w:eastAsiaTheme="minorEastAsia" w:hAnsiTheme="minorHAnsi"/>
          <w:noProof/>
          <w:szCs w:val="24"/>
        </w:rPr>
      </w:pPr>
      <w:r w:rsidRPr="00AF13BF">
        <w:rPr>
          <w:rFonts w:eastAsia="Calibri"/>
          <w:noProof/>
        </w:rPr>
        <w:t>B.</w:t>
      </w:r>
      <w:r>
        <w:rPr>
          <w:rFonts w:asciiTheme="minorHAnsi" w:eastAsiaTheme="minorEastAsia" w:hAnsiTheme="minorHAnsi"/>
          <w:noProof/>
          <w:szCs w:val="24"/>
        </w:rPr>
        <w:tab/>
      </w:r>
      <w:r w:rsidRPr="00AF13BF">
        <w:rPr>
          <w:rFonts w:eastAsia="Calibri"/>
          <w:noProof/>
        </w:rPr>
        <w:t>SFP Exhibit Instructions</w:t>
      </w:r>
      <w:r>
        <w:rPr>
          <w:noProof/>
        </w:rPr>
        <w:tab/>
      </w:r>
      <w:r w:rsidR="00D07705">
        <w:rPr>
          <w:noProof/>
          <w:color w:val="2B579A"/>
          <w:shd w:val="clear" w:color="auto" w:fill="E6E6E6"/>
        </w:rPr>
        <w:t>34</w:t>
      </w:r>
    </w:p>
    <w:p w14:paraId="7CE1C63E" w14:textId="4EC8C817" w:rsidR="00DB462D" w:rsidRDefault="00DB462D" w:rsidP="00DB462D">
      <w:pPr>
        <w:pStyle w:val="TOC3"/>
        <w:rPr>
          <w:rFonts w:asciiTheme="minorHAnsi" w:eastAsiaTheme="minorEastAsia" w:hAnsiTheme="minorHAnsi"/>
          <w:noProof/>
          <w:szCs w:val="24"/>
        </w:rPr>
      </w:pPr>
      <w:r>
        <w:rPr>
          <w:noProof/>
        </w:rPr>
        <w:t>C.</w:t>
      </w:r>
      <w:r>
        <w:rPr>
          <w:rFonts w:asciiTheme="minorHAnsi" w:eastAsiaTheme="minorEastAsia" w:hAnsiTheme="minorHAnsi"/>
          <w:noProof/>
          <w:szCs w:val="24"/>
        </w:rPr>
        <w:tab/>
      </w:r>
      <w:r>
        <w:rPr>
          <w:noProof/>
        </w:rPr>
        <w:t>Exhibit Attachment Instructions</w:t>
      </w:r>
      <w:r>
        <w:rPr>
          <w:noProof/>
        </w:rPr>
        <w:tab/>
      </w:r>
      <w:r w:rsidR="00D07705">
        <w:rPr>
          <w:noProof/>
          <w:color w:val="2B579A"/>
          <w:shd w:val="clear" w:color="auto" w:fill="E6E6E6"/>
        </w:rPr>
        <w:t>41</w:t>
      </w:r>
    </w:p>
    <w:p w14:paraId="7C7F38F2" w14:textId="74F5E7CD"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lang w:val="en"/>
        </w:rPr>
        <w:t>Appendix B: WIOA Allowable Activities</w:t>
      </w:r>
      <w:r>
        <w:rPr>
          <w:noProof/>
        </w:rPr>
        <w:tab/>
      </w:r>
      <w:r w:rsidR="00591189">
        <w:rPr>
          <w:noProof/>
          <w:color w:val="2B579A"/>
          <w:shd w:val="clear" w:color="auto" w:fill="E6E6E6"/>
        </w:rPr>
        <w:t>46</w:t>
      </w:r>
    </w:p>
    <w:p w14:paraId="37B8A901" w14:textId="723F549B" w:rsidR="00DB462D" w:rsidRDefault="00DB462D" w:rsidP="00DB462D">
      <w:pPr>
        <w:pStyle w:val="TOC3"/>
        <w:rPr>
          <w:rFonts w:asciiTheme="minorHAnsi" w:eastAsiaTheme="minorEastAsia" w:hAnsiTheme="minorHAnsi"/>
          <w:noProof/>
          <w:szCs w:val="24"/>
        </w:rPr>
      </w:pPr>
      <w:r>
        <w:rPr>
          <w:noProof/>
        </w:rPr>
        <w:t>A.</w:t>
      </w:r>
      <w:r>
        <w:rPr>
          <w:rFonts w:asciiTheme="minorHAnsi" w:eastAsiaTheme="minorEastAsia" w:hAnsiTheme="minorHAnsi"/>
          <w:noProof/>
          <w:szCs w:val="24"/>
        </w:rPr>
        <w:tab/>
      </w:r>
      <w:r>
        <w:rPr>
          <w:noProof/>
        </w:rPr>
        <w:t>Basic Career Services</w:t>
      </w:r>
      <w:r>
        <w:rPr>
          <w:noProof/>
        </w:rPr>
        <w:tab/>
      </w:r>
      <w:r>
        <w:rPr>
          <w:noProof/>
          <w:color w:val="2B579A"/>
          <w:shd w:val="clear" w:color="auto" w:fill="E6E6E6"/>
        </w:rPr>
        <w:fldChar w:fldCharType="begin"/>
      </w:r>
      <w:r>
        <w:rPr>
          <w:noProof/>
        </w:rPr>
        <w:instrText xml:space="preserve"> PAGEREF _Toc167894693 \h </w:instrText>
      </w:r>
      <w:r>
        <w:rPr>
          <w:noProof/>
          <w:color w:val="2B579A"/>
          <w:shd w:val="clear" w:color="auto" w:fill="E6E6E6"/>
        </w:rPr>
      </w:r>
      <w:r>
        <w:rPr>
          <w:noProof/>
          <w:color w:val="2B579A"/>
          <w:shd w:val="clear" w:color="auto" w:fill="E6E6E6"/>
        </w:rPr>
        <w:fldChar w:fldCharType="separate"/>
      </w:r>
      <w:r>
        <w:rPr>
          <w:noProof/>
        </w:rPr>
        <w:t>46</w:t>
      </w:r>
      <w:r>
        <w:rPr>
          <w:noProof/>
          <w:color w:val="2B579A"/>
          <w:shd w:val="clear" w:color="auto" w:fill="E6E6E6"/>
        </w:rPr>
        <w:fldChar w:fldCharType="end"/>
      </w:r>
    </w:p>
    <w:p w14:paraId="42386667" w14:textId="1224DC3F" w:rsidR="00DB462D" w:rsidRDefault="00DB462D" w:rsidP="00DB462D">
      <w:pPr>
        <w:pStyle w:val="TOC3"/>
        <w:rPr>
          <w:rFonts w:asciiTheme="minorHAnsi" w:eastAsiaTheme="minorEastAsia" w:hAnsiTheme="minorHAnsi"/>
          <w:noProof/>
          <w:szCs w:val="24"/>
        </w:rPr>
      </w:pPr>
      <w:r w:rsidRPr="00AF13BF">
        <w:rPr>
          <w:rFonts w:eastAsia="Calibri"/>
          <w:noProof/>
        </w:rPr>
        <w:t>B.</w:t>
      </w:r>
      <w:r>
        <w:rPr>
          <w:rFonts w:asciiTheme="minorHAnsi" w:eastAsiaTheme="minorEastAsia" w:hAnsiTheme="minorHAnsi"/>
          <w:noProof/>
          <w:szCs w:val="24"/>
        </w:rPr>
        <w:tab/>
      </w:r>
      <w:r>
        <w:rPr>
          <w:noProof/>
        </w:rPr>
        <w:t>Individualized Career Services</w:t>
      </w:r>
      <w:r>
        <w:rPr>
          <w:noProof/>
        </w:rPr>
        <w:tab/>
      </w:r>
      <w:r>
        <w:rPr>
          <w:noProof/>
          <w:color w:val="2B579A"/>
          <w:shd w:val="clear" w:color="auto" w:fill="E6E6E6"/>
        </w:rPr>
        <w:fldChar w:fldCharType="begin"/>
      </w:r>
      <w:r>
        <w:rPr>
          <w:noProof/>
        </w:rPr>
        <w:instrText xml:space="preserve"> PAGEREF _Toc167894695 \h </w:instrText>
      </w:r>
      <w:r>
        <w:rPr>
          <w:noProof/>
          <w:color w:val="2B579A"/>
          <w:shd w:val="clear" w:color="auto" w:fill="E6E6E6"/>
        </w:rPr>
      </w:r>
      <w:r>
        <w:rPr>
          <w:noProof/>
          <w:color w:val="2B579A"/>
          <w:shd w:val="clear" w:color="auto" w:fill="E6E6E6"/>
        </w:rPr>
        <w:fldChar w:fldCharType="separate"/>
      </w:r>
      <w:r>
        <w:rPr>
          <w:noProof/>
        </w:rPr>
        <w:t>47</w:t>
      </w:r>
      <w:r>
        <w:rPr>
          <w:noProof/>
          <w:color w:val="2B579A"/>
          <w:shd w:val="clear" w:color="auto" w:fill="E6E6E6"/>
        </w:rPr>
        <w:fldChar w:fldCharType="end"/>
      </w:r>
    </w:p>
    <w:p w14:paraId="08BD4B7F" w14:textId="734E31BE" w:rsidR="00DB462D" w:rsidRDefault="00DB462D" w:rsidP="00DB462D">
      <w:pPr>
        <w:pStyle w:val="TOC3"/>
        <w:rPr>
          <w:rFonts w:asciiTheme="minorHAnsi" w:eastAsiaTheme="minorEastAsia" w:hAnsiTheme="minorHAnsi"/>
          <w:noProof/>
          <w:szCs w:val="24"/>
        </w:rPr>
      </w:pPr>
      <w:r w:rsidRPr="00AF13BF">
        <w:rPr>
          <w:rFonts w:eastAsia="Calibri"/>
          <w:noProof/>
        </w:rPr>
        <w:t>C.</w:t>
      </w:r>
      <w:r>
        <w:rPr>
          <w:rFonts w:asciiTheme="minorHAnsi" w:eastAsiaTheme="minorEastAsia" w:hAnsiTheme="minorHAnsi"/>
          <w:noProof/>
          <w:szCs w:val="24"/>
        </w:rPr>
        <w:tab/>
      </w:r>
      <w:r>
        <w:rPr>
          <w:noProof/>
        </w:rPr>
        <w:t>Follow-up Services</w:t>
      </w:r>
      <w:r>
        <w:rPr>
          <w:noProof/>
        </w:rPr>
        <w:tab/>
      </w:r>
      <w:r>
        <w:rPr>
          <w:noProof/>
          <w:color w:val="2B579A"/>
          <w:shd w:val="clear" w:color="auto" w:fill="E6E6E6"/>
        </w:rPr>
        <w:fldChar w:fldCharType="begin"/>
      </w:r>
      <w:r>
        <w:rPr>
          <w:noProof/>
        </w:rPr>
        <w:instrText xml:space="preserve"> PAGEREF _Toc167894696 \h </w:instrText>
      </w:r>
      <w:r>
        <w:rPr>
          <w:noProof/>
          <w:color w:val="2B579A"/>
          <w:shd w:val="clear" w:color="auto" w:fill="E6E6E6"/>
        </w:rPr>
      </w:r>
      <w:r>
        <w:rPr>
          <w:noProof/>
          <w:color w:val="2B579A"/>
          <w:shd w:val="clear" w:color="auto" w:fill="E6E6E6"/>
        </w:rPr>
        <w:fldChar w:fldCharType="separate"/>
      </w:r>
      <w:r>
        <w:rPr>
          <w:noProof/>
        </w:rPr>
        <w:t>48</w:t>
      </w:r>
      <w:r>
        <w:rPr>
          <w:noProof/>
          <w:color w:val="2B579A"/>
          <w:shd w:val="clear" w:color="auto" w:fill="E6E6E6"/>
        </w:rPr>
        <w:fldChar w:fldCharType="end"/>
      </w:r>
    </w:p>
    <w:p w14:paraId="610604F3" w14:textId="18054354"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lang w:val="en"/>
        </w:rPr>
        <w:t>Appendix C: Allowable Costs and Cost Items Matrix</w:t>
      </w:r>
      <w:r>
        <w:rPr>
          <w:noProof/>
        </w:rPr>
        <w:tab/>
      </w:r>
      <w:r>
        <w:rPr>
          <w:noProof/>
          <w:color w:val="2B579A"/>
          <w:shd w:val="clear" w:color="auto" w:fill="E6E6E6"/>
        </w:rPr>
        <w:fldChar w:fldCharType="begin"/>
      </w:r>
      <w:r>
        <w:rPr>
          <w:noProof/>
        </w:rPr>
        <w:instrText xml:space="preserve"> PAGEREF _Toc167894697 \h </w:instrText>
      </w:r>
      <w:r>
        <w:rPr>
          <w:noProof/>
          <w:color w:val="2B579A"/>
          <w:shd w:val="clear" w:color="auto" w:fill="E6E6E6"/>
        </w:rPr>
      </w:r>
      <w:r>
        <w:rPr>
          <w:noProof/>
          <w:color w:val="2B579A"/>
          <w:shd w:val="clear" w:color="auto" w:fill="E6E6E6"/>
        </w:rPr>
        <w:fldChar w:fldCharType="separate"/>
      </w:r>
      <w:r>
        <w:rPr>
          <w:noProof/>
        </w:rPr>
        <w:t>49</w:t>
      </w:r>
      <w:r>
        <w:rPr>
          <w:noProof/>
          <w:color w:val="2B579A"/>
          <w:shd w:val="clear" w:color="auto" w:fill="E6E6E6"/>
        </w:rPr>
        <w:fldChar w:fldCharType="end"/>
      </w:r>
    </w:p>
    <w:p w14:paraId="3EF8D8DC" w14:textId="2CF3C3D7"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lang w:val="en"/>
        </w:rPr>
        <w:t>Appendix D: Administrative Costs</w:t>
      </w:r>
      <w:r>
        <w:rPr>
          <w:noProof/>
        </w:rPr>
        <w:tab/>
      </w:r>
      <w:r>
        <w:rPr>
          <w:noProof/>
          <w:color w:val="2B579A"/>
          <w:shd w:val="clear" w:color="auto" w:fill="E6E6E6"/>
        </w:rPr>
        <w:fldChar w:fldCharType="begin"/>
      </w:r>
      <w:r>
        <w:rPr>
          <w:noProof/>
        </w:rPr>
        <w:instrText xml:space="preserve"> PAGEREF _Toc167894698 \h </w:instrText>
      </w:r>
      <w:r>
        <w:rPr>
          <w:noProof/>
          <w:color w:val="2B579A"/>
          <w:shd w:val="clear" w:color="auto" w:fill="E6E6E6"/>
        </w:rPr>
      </w:r>
      <w:r>
        <w:rPr>
          <w:noProof/>
          <w:color w:val="2B579A"/>
          <w:shd w:val="clear" w:color="auto" w:fill="E6E6E6"/>
        </w:rPr>
        <w:fldChar w:fldCharType="separate"/>
      </w:r>
      <w:r>
        <w:rPr>
          <w:noProof/>
        </w:rPr>
        <w:t>5</w:t>
      </w:r>
      <w:r>
        <w:rPr>
          <w:noProof/>
          <w:color w:val="2B579A"/>
          <w:shd w:val="clear" w:color="auto" w:fill="E6E6E6"/>
        </w:rPr>
        <w:fldChar w:fldCharType="end"/>
      </w:r>
      <w:r w:rsidR="00591189">
        <w:rPr>
          <w:noProof/>
          <w:color w:val="2B579A"/>
          <w:shd w:val="clear" w:color="auto" w:fill="E6E6E6"/>
        </w:rPr>
        <w:t>4</w:t>
      </w:r>
    </w:p>
    <w:p w14:paraId="6BA4500D" w14:textId="68B9915F"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lang w:val="en"/>
        </w:rPr>
        <w:t>Appendix E: Internet Resources</w:t>
      </w:r>
      <w:r>
        <w:rPr>
          <w:noProof/>
        </w:rPr>
        <w:tab/>
      </w:r>
      <w:r>
        <w:rPr>
          <w:noProof/>
          <w:color w:val="2B579A"/>
          <w:shd w:val="clear" w:color="auto" w:fill="E6E6E6"/>
        </w:rPr>
        <w:fldChar w:fldCharType="begin"/>
      </w:r>
      <w:r>
        <w:rPr>
          <w:noProof/>
        </w:rPr>
        <w:instrText xml:space="preserve"> PAGEREF _Toc167894699 \h </w:instrText>
      </w:r>
      <w:r>
        <w:rPr>
          <w:noProof/>
          <w:color w:val="2B579A"/>
          <w:shd w:val="clear" w:color="auto" w:fill="E6E6E6"/>
        </w:rPr>
      </w:r>
      <w:r>
        <w:rPr>
          <w:noProof/>
          <w:color w:val="2B579A"/>
          <w:shd w:val="clear" w:color="auto" w:fill="E6E6E6"/>
        </w:rPr>
        <w:fldChar w:fldCharType="separate"/>
      </w:r>
      <w:r>
        <w:rPr>
          <w:noProof/>
        </w:rPr>
        <w:t>5</w:t>
      </w:r>
      <w:r>
        <w:rPr>
          <w:noProof/>
          <w:color w:val="2B579A"/>
          <w:shd w:val="clear" w:color="auto" w:fill="E6E6E6"/>
        </w:rPr>
        <w:fldChar w:fldCharType="end"/>
      </w:r>
      <w:r w:rsidR="00591189">
        <w:rPr>
          <w:noProof/>
          <w:color w:val="2B579A"/>
          <w:shd w:val="clear" w:color="auto" w:fill="E6E6E6"/>
        </w:rPr>
        <w:t>7</w:t>
      </w:r>
    </w:p>
    <w:p w14:paraId="19A004A7" w14:textId="6464E94D" w:rsidR="00DB462D" w:rsidRDefault="00DB462D">
      <w:pPr>
        <w:pStyle w:val="TOC2"/>
        <w:tabs>
          <w:tab w:val="right" w:leader="dot" w:pos="9350"/>
        </w:tabs>
        <w:rPr>
          <w:rFonts w:asciiTheme="minorHAnsi" w:eastAsiaTheme="minorEastAsia" w:hAnsiTheme="minorHAnsi"/>
          <w:b w:val="0"/>
          <w:bCs w:val="0"/>
          <w:noProof/>
          <w:szCs w:val="24"/>
        </w:rPr>
      </w:pPr>
      <w:r w:rsidRPr="00AF13BF">
        <w:rPr>
          <w:rFonts w:eastAsia="Arial"/>
          <w:noProof/>
          <w:lang w:val="en"/>
        </w:rPr>
        <w:t>Appendix F: CalJOBS</w:t>
      </w:r>
      <w:r w:rsidRPr="00AF13BF">
        <w:rPr>
          <w:rFonts w:eastAsia="Arial"/>
          <w:noProof/>
          <w:vertAlign w:val="superscript"/>
          <w:lang w:val="en"/>
        </w:rPr>
        <w:t>SM</w:t>
      </w:r>
      <w:r w:rsidRPr="00AF13BF">
        <w:rPr>
          <w:rFonts w:eastAsia="Arial"/>
          <w:noProof/>
          <w:lang w:val="en"/>
        </w:rPr>
        <w:t xml:space="preserve"> Workstation and Software Requirements</w:t>
      </w:r>
      <w:r>
        <w:rPr>
          <w:noProof/>
        </w:rPr>
        <w:tab/>
      </w:r>
      <w:r>
        <w:rPr>
          <w:noProof/>
          <w:color w:val="2B579A"/>
          <w:shd w:val="clear" w:color="auto" w:fill="E6E6E6"/>
        </w:rPr>
        <w:fldChar w:fldCharType="begin"/>
      </w:r>
      <w:r>
        <w:rPr>
          <w:noProof/>
        </w:rPr>
        <w:instrText xml:space="preserve"> PAGEREF _Toc167894700 \h </w:instrText>
      </w:r>
      <w:r>
        <w:rPr>
          <w:noProof/>
          <w:color w:val="2B579A"/>
          <w:shd w:val="clear" w:color="auto" w:fill="E6E6E6"/>
        </w:rPr>
      </w:r>
      <w:r>
        <w:rPr>
          <w:noProof/>
          <w:color w:val="2B579A"/>
          <w:shd w:val="clear" w:color="auto" w:fill="E6E6E6"/>
        </w:rPr>
        <w:fldChar w:fldCharType="separate"/>
      </w:r>
      <w:r>
        <w:rPr>
          <w:noProof/>
        </w:rPr>
        <w:t>6</w:t>
      </w:r>
      <w:r>
        <w:rPr>
          <w:noProof/>
          <w:color w:val="2B579A"/>
          <w:shd w:val="clear" w:color="auto" w:fill="E6E6E6"/>
        </w:rPr>
        <w:fldChar w:fldCharType="end"/>
      </w:r>
      <w:r w:rsidR="00591189">
        <w:rPr>
          <w:noProof/>
          <w:color w:val="2B579A"/>
          <w:shd w:val="clear" w:color="auto" w:fill="E6E6E6"/>
        </w:rPr>
        <w:t>0</w:t>
      </w:r>
    </w:p>
    <w:p w14:paraId="4D7791C8" w14:textId="774710F9" w:rsidR="00DB462D" w:rsidRDefault="00DB462D" w:rsidP="00DB462D">
      <w:pPr>
        <w:pStyle w:val="TOC1"/>
        <w:rPr>
          <w:rFonts w:eastAsia="Times New Roman" w:cs="Times New Roman"/>
          <w:b w:val="0"/>
          <w:bCs w:val="0"/>
          <w:color w:val="00587C"/>
          <w:kern w:val="0"/>
          <w:sz w:val="32"/>
          <w14:ligatures w14:val="none"/>
        </w:rPr>
      </w:pPr>
      <w:r>
        <w:rPr>
          <w:color w:val="2B579A"/>
          <w:shd w:val="clear" w:color="auto" w:fill="E6E6E6"/>
        </w:rPr>
        <w:fldChar w:fldCharType="end"/>
      </w:r>
      <w:r>
        <w:br w:type="page"/>
      </w:r>
    </w:p>
    <w:p w14:paraId="629823FF" w14:textId="7D62AC43" w:rsidR="008544AA" w:rsidRPr="006515ED" w:rsidRDefault="008544AA" w:rsidP="00086CF0">
      <w:pPr>
        <w:pStyle w:val="Heading2"/>
        <w:numPr>
          <w:ilvl w:val="0"/>
          <w:numId w:val="12"/>
        </w:numPr>
        <w:tabs>
          <w:tab w:val="left" w:pos="360"/>
        </w:tabs>
        <w:ind w:left="0" w:firstLine="0"/>
      </w:pPr>
      <w:bookmarkStart w:id="9" w:name="_Toc167894646"/>
      <w:r>
        <w:lastRenderedPageBreak/>
        <w:t>Overview</w:t>
      </w:r>
      <w:bookmarkEnd w:id="9"/>
    </w:p>
    <w:p w14:paraId="35C6AAF7" w14:textId="7B5C3FF8" w:rsidR="008D4C5C" w:rsidRDefault="006F68D6" w:rsidP="00FB27F1">
      <w:pPr>
        <w:pStyle w:val="BodyText"/>
      </w:pPr>
      <w:r>
        <w:br/>
      </w:r>
      <w:bookmarkStart w:id="10" w:name="_Hlk206481123"/>
      <w:r w:rsidR="008544AA" w:rsidRPr="00DC1DE3">
        <w:t xml:space="preserve">The Employment Development Department (EDD), in </w:t>
      </w:r>
      <w:r w:rsidR="00913F5A">
        <w:t xml:space="preserve">close </w:t>
      </w:r>
      <w:r w:rsidR="008544AA" w:rsidRPr="00DC1DE3">
        <w:t>co</w:t>
      </w:r>
      <w:r w:rsidR="00913F5A">
        <w:t>llabor</w:t>
      </w:r>
      <w:r w:rsidR="008544AA" w:rsidRPr="00DC1DE3">
        <w:t xml:space="preserve">ation with the California Labor and </w:t>
      </w:r>
      <w:r w:rsidR="008544AA" w:rsidRPr="003B498D">
        <w:t>Workforce Development Agency (LWDA),</w:t>
      </w:r>
      <w:r w:rsidR="00913F5A">
        <w:t xml:space="preserve"> is excited to</w:t>
      </w:r>
      <w:r w:rsidR="008544AA" w:rsidRPr="003B498D">
        <w:t xml:space="preserve"> announce the availability of up to </w:t>
      </w:r>
      <w:r w:rsidR="00697F6A">
        <w:t>$1.5</w:t>
      </w:r>
      <w:r w:rsidR="008544AA" w:rsidRPr="003B498D">
        <w:t xml:space="preserve"> million</w:t>
      </w:r>
      <w:r w:rsidR="00913F5A">
        <w:t xml:space="preserve"> in funding through the</w:t>
      </w:r>
      <w:r w:rsidR="008544AA" w:rsidRPr="003B498D">
        <w:t xml:space="preserve"> Workforce Innovation and Opportunity Act (WIOA) Governor’s Discretionary</w:t>
      </w:r>
      <w:r w:rsidR="008544AA" w:rsidRPr="00DC1DE3">
        <w:t xml:space="preserve"> </w:t>
      </w:r>
      <w:r w:rsidR="007D42F4">
        <w:t xml:space="preserve">15 percent </w:t>
      </w:r>
      <w:r w:rsidR="008544AA" w:rsidRPr="00DC1DE3">
        <w:t>funds</w:t>
      </w:r>
      <w:r w:rsidR="00913F5A">
        <w:t>.</w:t>
      </w:r>
      <w:r w:rsidR="008544AA" w:rsidRPr="00DC1DE3">
        <w:t xml:space="preserve"> </w:t>
      </w:r>
      <w:r w:rsidR="00913F5A">
        <w:t>T</w:t>
      </w:r>
      <w:bookmarkStart w:id="11" w:name="_Toc167356411"/>
      <w:bookmarkStart w:id="12" w:name="_Toc167894647"/>
      <w:bookmarkEnd w:id="10"/>
      <w:r w:rsidR="00FB27F1" w:rsidRPr="00FB27F1">
        <w:t>his funding will be used to provide technical assistance</w:t>
      </w:r>
      <w:r w:rsidR="007A4246">
        <w:t xml:space="preserve"> (TA)</w:t>
      </w:r>
      <w:r w:rsidR="00FB27F1" w:rsidRPr="00FB27F1">
        <w:t xml:space="preserve"> to awardees of the PY 25-26 Employment </w:t>
      </w:r>
      <w:r w:rsidR="007904CA">
        <w:t xml:space="preserve">and </w:t>
      </w:r>
      <w:r w:rsidR="00FB27F1" w:rsidRPr="00FB27F1">
        <w:t>Training Pathways</w:t>
      </w:r>
      <w:r w:rsidR="007904CA">
        <w:t xml:space="preserve"> Program</w:t>
      </w:r>
      <w:r w:rsidR="00FB27F1" w:rsidRPr="00FB27F1">
        <w:t xml:space="preserve"> (ET</w:t>
      </w:r>
      <w:r w:rsidR="007904CA">
        <w:t>P</w:t>
      </w:r>
      <w:r w:rsidR="00FB27F1" w:rsidRPr="00FB27F1">
        <w:t>P) grant</w:t>
      </w:r>
      <w:r w:rsidR="00382343">
        <w:t>s</w:t>
      </w:r>
      <w:r w:rsidR="00FB27F1" w:rsidRPr="00FB27F1">
        <w:t xml:space="preserve">. </w:t>
      </w:r>
      <w:r w:rsidR="004E5F7B">
        <w:t>I</w:t>
      </w:r>
      <w:r w:rsidR="00FB27F1" w:rsidRPr="00FB27F1">
        <w:t>t will</w:t>
      </w:r>
      <w:r w:rsidR="000B6392">
        <w:t xml:space="preserve"> also</w:t>
      </w:r>
      <w:r w:rsidR="00FB27F1" w:rsidRPr="00FB27F1">
        <w:t xml:space="preserve"> support a</w:t>
      </w:r>
      <w:r w:rsidR="002816DB">
        <w:t xml:space="preserve"> developmental</w:t>
      </w:r>
      <w:r w:rsidR="00FB27F1" w:rsidRPr="00FB27F1">
        <w:t xml:space="preserve"> evaluation</w:t>
      </w:r>
      <w:r w:rsidR="007A4246">
        <w:t xml:space="preserve"> (DE)</w:t>
      </w:r>
      <w:r w:rsidR="00FB27F1" w:rsidRPr="00FB27F1">
        <w:t xml:space="preserve"> that adheres to best practices for conducting rigorous, transparent, and reproducible analyses of the </w:t>
      </w:r>
      <w:r w:rsidR="002816DB">
        <w:t xml:space="preserve">PY 25-26 </w:t>
      </w:r>
      <w:r w:rsidR="00FB27F1" w:rsidRPr="00FB27F1">
        <w:t>ETP</w:t>
      </w:r>
      <w:r w:rsidR="002816DB">
        <w:t>P</w:t>
      </w:r>
      <w:r w:rsidR="00742E8A">
        <w:t xml:space="preserve"> grantee</w:t>
      </w:r>
      <w:r w:rsidR="00FB27F1" w:rsidRPr="00FB27F1">
        <w:t>s</w:t>
      </w:r>
      <w:r w:rsidR="00C77393">
        <w:t xml:space="preserve">. </w:t>
      </w:r>
      <w:r w:rsidR="00C77393" w:rsidRPr="00C77393">
        <w:t>Additionally, the</w:t>
      </w:r>
      <w:r w:rsidR="004E5F7B">
        <w:t xml:space="preserve"> selected</w:t>
      </w:r>
      <w:r w:rsidR="00C77393" w:rsidRPr="00C77393">
        <w:t xml:space="preserve"> </w:t>
      </w:r>
      <w:bookmarkStart w:id="13" w:name="_Hlk213918469"/>
      <w:r w:rsidR="00BE5CBE" w:rsidRPr="00BE5CBE">
        <w:t xml:space="preserve">technical assistance </w:t>
      </w:r>
      <w:bookmarkEnd w:id="13"/>
      <w:r w:rsidR="00BE5CBE" w:rsidRPr="00BE5CBE">
        <w:t xml:space="preserve">and developmental evaluation (TADE) </w:t>
      </w:r>
      <w:r w:rsidR="00BE5CBE">
        <w:t>p</w:t>
      </w:r>
      <w:r w:rsidR="00C77393" w:rsidRPr="00C77393">
        <w:t>rovider will</w:t>
      </w:r>
      <w:r w:rsidR="0005291C">
        <w:t xml:space="preserve"> coordinate a</w:t>
      </w:r>
      <w:r w:rsidR="00C77393">
        <w:t xml:space="preserve"> community of practice (COP) with various other</w:t>
      </w:r>
      <w:r w:rsidR="00BE5CBE">
        <w:t xml:space="preserve"> </w:t>
      </w:r>
      <w:r w:rsidR="00C77393">
        <w:t>TA providers</w:t>
      </w:r>
      <w:r w:rsidR="00FB27F1" w:rsidRPr="00FB27F1">
        <w:t xml:space="preserve"> </w:t>
      </w:r>
      <w:r w:rsidR="0005291C" w:rsidRPr="0005291C">
        <w:t xml:space="preserve">that support workforce training programs, including </w:t>
      </w:r>
      <w:r w:rsidR="00116A94">
        <w:t>Displaced Oil and Gas Workers Fund (</w:t>
      </w:r>
      <w:r w:rsidR="0005291C" w:rsidRPr="0005291C">
        <w:t>DOGWF</w:t>
      </w:r>
      <w:r w:rsidR="00116A94">
        <w:t>)</w:t>
      </w:r>
      <w:r w:rsidR="0005291C" w:rsidRPr="0005291C">
        <w:t xml:space="preserve">, </w:t>
      </w:r>
      <w:r w:rsidR="00116A94">
        <w:t>English Language Learner</w:t>
      </w:r>
      <w:r w:rsidR="00BB7B73">
        <w:t>s</w:t>
      </w:r>
      <w:r w:rsidR="00116A94">
        <w:t xml:space="preserve"> (</w:t>
      </w:r>
      <w:r w:rsidR="0005291C" w:rsidRPr="0005291C">
        <w:t>ELL</w:t>
      </w:r>
      <w:r w:rsidR="00116A94">
        <w:t>)</w:t>
      </w:r>
      <w:r w:rsidR="007F07DD">
        <w:t xml:space="preserve"> grant</w:t>
      </w:r>
      <w:r w:rsidR="0005291C" w:rsidRPr="0005291C">
        <w:t xml:space="preserve">, </w:t>
      </w:r>
      <w:r w:rsidR="00116A94">
        <w:t>Farmworkers Advancement Program (</w:t>
      </w:r>
      <w:r w:rsidR="0005291C" w:rsidRPr="0005291C">
        <w:t>FAP</w:t>
      </w:r>
      <w:r w:rsidR="00116A94">
        <w:t>)</w:t>
      </w:r>
      <w:r w:rsidR="007F07DD">
        <w:t xml:space="preserve"> grant</w:t>
      </w:r>
      <w:r w:rsidR="0005291C" w:rsidRPr="0005291C">
        <w:t xml:space="preserve">, </w:t>
      </w:r>
      <w:r w:rsidR="00116A94">
        <w:t>Employment Social Enterprise (</w:t>
      </w:r>
      <w:r w:rsidR="0005291C" w:rsidRPr="0005291C">
        <w:t>ESE</w:t>
      </w:r>
      <w:r w:rsidR="00116A94">
        <w:t>)</w:t>
      </w:r>
      <w:r w:rsidR="007F07DD">
        <w:t xml:space="preserve"> grant</w:t>
      </w:r>
      <w:r w:rsidR="0005291C" w:rsidRPr="0005291C">
        <w:t xml:space="preserve">, </w:t>
      </w:r>
      <w:r w:rsidR="00116A94">
        <w:t>Opportunity Young Adult Career Pathway</w:t>
      </w:r>
      <w:r w:rsidR="0068121A">
        <w:t>s</w:t>
      </w:r>
      <w:r w:rsidR="00116A94">
        <w:t xml:space="preserve"> Program (</w:t>
      </w:r>
      <w:r w:rsidR="0005291C" w:rsidRPr="0005291C">
        <w:t>OYACPP</w:t>
      </w:r>
      <w:r w:rsidR="00116A94">
        <w:t>)</w:t>
      </w:r>
      <w:r w:rsidR="007F07DD">
        <w:t xml:space="preserve"> grant</w:t>
      </w:r>
      <w:r w:rsidR="0005291C" w:rsidRPr="0005291C">
        <w:t xml:space="preserve">, and </w:t>
      </w:r>
      <w:r w:rsidR="00A63DC3" w:rsidRPr="00A63DC3">
        <w:t>D</w:t>
      </w:r>
      <w:r w:rsidR="00016B79">
        <w:t xml:space="preserve">epartment of Rehabilitation (DOR) </w:t>
      </w:r>
      <w:r w:rsidR="00A63DC3" w:rsidRPr="00A63DC3">
        <w:t>A</w:t>
      </w:r>
      <w:r w:rsidR="00016B79">
        <w:t xml:space="preserve">merica’s </w:t>
      </w:r>
      <w:r w:rsidR="00A63DC3" w:rsidRPr="00A63DC3">
        <w:t>J</w:t>
      </w:r>
      <w:r w:rsidR="00016B79">
        <w:t xml:space="preserve">ob </w:t>
      </w:r>
      <w:r w:rsidR="00A63DC3" w:rsidRPr="00A63DC3">
        <w:t>C</w:t>
      </w:r>
      <w:r w:rsidR="00016B79">
        <w:t xml:space="preserve">enter of </w:t>
      </w:r>
      <w:r w:rsidR="00A63DC3" w:rsidRPr="00A63DC3">
        <w:t>C</w:t>
      </w:r>
      <w:r w:rsidR="00016B79">
        <w:t>alifornia</w:t>
      </w:r>
      <w:r w:rsidR="00A63DC3" w:rsidRPr="00A63DC3">
        <w:t xml:space="preserve"> </w:t>
      </w:r>
      <w:r w:rsidR="00016B79">
        <w:t xml:space="preserve">(AJCC) </w:t>
      </w:r>
      <w:r w:rsidR="00A63DC3" w:rsidRPr="00A63DC3">
        <w:t>Collaboration Project</w:t>
      </w:r>
      <w:r w:rsidR="0047449C">
        <w:t xml:space="preserve">. The purpose of the TA provider COP is to share lessons learned across grant programs and to </w:t>
      </w:r>
      <w:r w:rsidR="00016B79">
        <w:t>develop a shared learning agenda that benefits</w:t>
      </w:r>
      <w:r w:rsidR="0047449C">
        <w:t xml:space="preserve"> all EDD-funded workforce projects and the broader workforce system. This effort aligns with California’s goals for economic mobility, inclusive and participant-centered practice, and the California Master Plan for Career Education (CMPCE)</w:t>
      </w:r>
      <w:r w:rsidR="00FB27F1" w:rsidRPr="00FB27F1">
        <w:t>.</w:t>
      </w:r>
    </w:p>
    <w:p w14:paraId="6FB7CBFC" w14:textId="58DD07A6" w:rsidR="003A2ABF" w:rsidRDefault="00C07727" w:rsidP="003A2ABF">
      <w:pPr>
        <w:pStyle w:val="BodyText"/>
      </w:pPr>
      <w:r w:rsidRPr="00C07727">
        <w:t>Previous TA providers significantly enhanced workforce training for populations facing systemic barriers by utilizing interviews, focus groups, and collaborative learning. Key strategies included resource alignment through co-enrollment and braided funding, ensuring participants had access to comprehensive support across various services. They focused on high-touch, personalized training, tailoring programs to individual needs, which improved engagement and outcomes. Data-driven insights allowed providers to adapt offerings based on participant challenges, enhancing access, retention, and stakeholder communication.</w:t>
      </w:r>
    </w:p>
    <w:p w14:paraId="4425E26B" w14:textId="21C76017" w:rsidR="00C07727" w:rsidRDefault="00C07727" w:rsidP="003A2ABF">
      <w:pPr>
        <w:pStyle w:val="BodyText"/>
      </w:pPr>
      <w:r w:rsidRPr="00C07727">
        <w:t>Strong partnerships with community organizations and employers created pathways for real-world experience, mentorship, and career advancement, bridging the gap between training and employment. This approach benefited participants and strengthened the local job market. By centering the experiences of participants and staff, providers fostered an inclusive environment and built resilience within their programs. Uplifting the voices of those impacted by systemic barriers resulted in training informed by real experiences, leading to more effective solutions.</w:t>
      </w:r>
    </w:p>
    <w:p w14:paraId="31831311" w14:textId="24A57AA5" w:rsidR="003A2ABF" w:rsidRDefault="00C07727" w:rsidP="003A2ABF">
      <w:pPr>
        <w:pStyle w:val="BodyText"/>
      </w:pPr>
      <w:r w:rsidRPr="00C07727">
        <w:t>Through methods like journey mapping and co-designing workshops, providers actively involved program grantees in shaping strategies. This collaboration led to deeper insights into the unique challenges faced by diverse populations and fostered a training environment that prioritized effectiveness and inclusivity. Overall, these multifaceted approaches promoted equitable outcomes in workforce training, showcasing a holistic effort to support individuals on their journey toward success.</w:t>
      </w:r>
    </w:p>
    <w:bookmarkEnd w:id="11"/>
    <w:bookmarkEnd w:id="12"/>
    <w:p w14:paraId="400F1753" w14:textId="46605D8A" w:rsidR="008D4C5C" w:rsidRPr="008D4C5C" w:rsidRDefault="008D4C5C" w:rsidP="008D4C5C">
      <w:pPr>
        <w:keepNext/>
        <w:keepLines/>
        <w:spacing w:before="360" w:after="80"/>
        <w:outlineLvl w:val="2"/>
        <w:rPr>
          <w:rFonts w:ascii="Aptos" w:eastAsiaTheme="majorEastAsia" w:hAnsi="Aptos" w:cs="Calibri"/>
          <w:color w:val="00587C"/>
          <w:sz w:val="28"/>
          <w:szCs w:val="28"/>
        </w:rPr>
      </w:pPr>
      <w:r>
        <w:rPr>
          <w:rFonts w:ascii="Aptos" w:eastAsiaTheme="majorEastAsia" w:hAnsi="Aptos" w:cs="Calibri"/>
          <w:color w:val="00587C"/>
          <w:sz w:val="28"/>
          <w:szCs w:val="28"/>
        </w:rPr>
        <w:lastRenderedPageBreak/>
        <w:t xml:space="preserve">     A. Purpose </w:t>
      </w:r>
    </w:p>
    <w:p w14:paraId="14A1AD56" w14:textId="50FF969B" w:rsidR="00B9056E" w:rsidRDefault="00B54D06" w:rsidP="0020385C">
      <w:pPr>
        <w:rPr>
          <w:rFonts w:ascii="Calibri" w:hAnsi="Calibri" w:cs="Calibri"/>
          <w:sz w:val="24"/>
          <w:szCs w:val="24"/>
        </w:rPr>
      </w:pPr>
      <w:r w:rsidRPr="00B54D06">
        <w:rPr>
          <w:rFonts w:ascii="Calibri" w:hAnsi="Calibri" w:cs="Calibri"/>
          <w:sz w:val="24"/>
          <w:szCs w:val="24"/>
        </w:rPr>
        <w:t>Th</w:t>
      </w:r>
      <w:r w:rsidR="0078664C">
        <w:rPr>
          <w:rFonts w:ascii="Calibri" w:hAnsi="Calibri" w:cs="Calibri"/>
          <w:sz w:val="24"/>
          <w:szCs w:val="24"/>
        </w:rPr>
        <w:t>e purpose of this</w:t>
      </w:r>
      <w:r w:rsidRPr="00B54D06">
        <w:rPr>
          <w:rFonts w:ascii="Calibri" w:hAnsi="Calibri" w:cs="Calibri"/>
          <w:sz w:val="24"/>
          <w:szCs w:val="24"/>
        </w:rPr>
        <w:t xml:space="preserve"> strategic funding initiative is </w:t>
      </w:r>
      <w:r w:rsidR="0078664C">
        <w:rPr>
          <w:rFonts w:ascii="Calibri" w:hAnsi="Calibri" w:cs="Calibri"/>
          <w:sz w:val="24"/>
          <w:szCs w:val="24"/>
        </w:rPr>
        <w:t xml:space="preserve">twofold. </w:t>
      </w:r>
      <w:r w:rsidR="004836CB">
        <w:rPr>
          <w:rFonts w:ascii="Calibri" w:hAnsi="Calibri" w:cs="Calibri"/>
          <w:sz w:val="24"/>
          <w:szCs w:val="24"/>
        </w:rPr>
        <w:t>I</w:t>
      </w:r>
      <w:r w:rsidR="0078664C">
        <w:rPr>
          <w:rFonts w:ascii="Calibri" w:hAnsi="Calibri" w:cs="Calibri"/>
          <w:sz w:val="24"/>
          <w:szCs w:val="24"/>
        </w:rPr>
        <w:t xml:space="preserve">t is </w:t>
      </w:r>
      <w:r w:rsidRPr="00B54D06">
        <w:rPr>
          <w:rFonts w:ascii="Calibri" w:hAnsi="Calibri" w:cs="Calibri"/>
          <w:sz w:val="24"/>
          <w:szCs w:val="24"/>
        </w:rPr>
        <w:t xml:space="preserve">intended to provide </w:t>
      </w:r>
      <w:r w:rsidR="0078664C">
        <w:rPr>
          <w:rFonts w:ascii="Calibri" w:hAnsi="Calibri" w:cs="Calibri"/>
          <w:sz w:val="24"/>
          <w:szCs w:val="24"/>
        </w:rPr>
        <w:t>TADE</w:t>
      </w:r>
      <w:r w:rsidRPr="00B54D06">
        <w:rPr>
          <w:rFonts w:ascii="Calibri" w:hAnsi="Calibri" w:cs="Calibri"/>
          <w:sz w:val="24"/>
          <w:szCs w:val="24"/>
        </w:rPr>
        <w:t xml:space="preserve"> t</w:t>
      </w:r>
      <w:r w:rsidR="0078664C">
        <w:rPr>
          <w:rFonts w:ascii="Calibri" w:hAnsi="Calibri" w:cs="Calibri"/>
          <w:sz w:val="24"/>
          <w:szCs w:val="24"/>
        </w:rPr>
        <w:t>o</w:t>
      </w:r>
      <w:r w:rsidRPr="00B54D06">
        <w:rPr>
          <w:rFonts w:ascii="Calibri" w:hAnsi="Calibri" w:cs="Calibri"/>
          <w:sz w:val="24"/>
          <w:szCs w:val="24"/>
        </w:rPr>
        <w:t xml:space="preserve"> PY 25-26 ETP</w:t>
      </w:r>
      <w:r w:rsidR="0078664C">
        <w:rPr>
          <w:rFonts w:ascii="Calibri" w:hAnsi="Calibri" w:cs="Calibri"/>
          <w:sz w:val="24"/>
          <w:szCs w:val="24"/>
        </w:rPr>
        <w:t>P awardees</w:t>
      </w:r>
      <w:r w:rsidRPr="00B54D06">
        <w:rPr>
          <w:rFonts w:ascii="Calibri" w:hAnsi="Calibri" w:cs="Calibri"/>
          <w:sz w:val="24"/>
          <w:szCs w:val="24"/>
        </w:rPr>
        <w:t xml:space="preserve">, specifically designed to meet the diverse training needs of </w:t>
      </w:r>
      <w:r w:rsidR="00561869">
        <w:rPr>
          <w:rFonts w:ascii="Calibri" w:hAnsi="Calibri" w:cs="Calibri"/>
          <w:sz w:val="24"/>
          <w:szCs w:val="24"/>
        </w:rPr>
        <w:t xml:space="preserve">the </w:t>
      </w:r>
      <w:r w:rsidRPr="00B54D06">
        <w:rPr>
          <w:rFonts w:ascii="Calibri" w:hAnsi="Calibri" w:cs="Calibri"/>
          <w:sz w:val="24"/>
          <w:szCs w:val="24"/>
        </w:rPr>
        <w:t xml:space="preserve">various target populations. These populations </w:t>
      </w:r>
      <w:r w:rsidR="00D15943">
        <w:rPr>
          <w:rFonts w:ascii="Calibri" w:hAnsi="Calibri" w:cs="Calibri"/>
          <w:sz w:val="24"/>
          <w:szCs w:val="24"/>
        </w:rPr>
        <w:t>include</w:t>
      </w:r>
      <w:r w:rsidRPr="00B54D06">
        <w:rPr>
          <w:rFonts w:ascii="Calibri" w:hAnsi="Calibri" w:cs="Calibri"/>
          <w:sz w:val="24"/>
          <w:szCs w:val="24"/>
        </w:rPr>
        <w:t xml:space="preserve"> Opportunity Young Adults (OYA) aged </w:t>
      </w:r>
      <w:r w:rsidR="00D15943">
        <w:rPr>
          <w:rFonts w:ascii="Calibri" w:hAnsi="Calibri" w:cs="Calibri"/>
          <w:sz w:val="24"/>
          <w:szCs w:val="24"/>
        </w:rPr>
        <w:t>18</w:t>
      </w:r>
      <w:r w:rsidRPr="00B54D06">
        <w:rPr>
          <w:rFonts w:ascii="Calibri" w:hAnsi="Calibri" w:cs="Calibri"/>
          <w:sz w:val="24"/>
          <w:szCs w:val="24"/>
        </w:rPr>
        <w:t xml:space="preserve"> and older who are </w:t>
      </w:r>
      <w:r w:rsidR="008A5C4E">
        <w:rPr>
          <w:rFonts w:ascii="Calibri" w:hAnsi="Calibri" w:cs="Calibri"/>
          <w:sz w:val="24"/>
          <w:szCs w:val="24"/>
        </w:rPr>
        <w:t>not working or in school</w:t>
      </w:r>
      <w:r w:rsidRPr="00B54D06">
        <w:rPr>
          <w:rFonts w:ascii="Calibri" w:hAnsi="Calibri" w:cs="Calibri"/>
          <w:sz w:val="24"/>
          <w:szCs w:val="24"/>
        </w:rPr>
        <w:t xml:space="preserve">, veterans, justice-involved individuals, and English Language Learners (ELLs), all of whom encounter considerable barriers in accessing employment opportunities. </w:t>
      </w:r>
      <w:r w:rsidR="00782336">
        <w:rPr>
          <w:rFonts w:ascii="Calibri" w:hAnsi="Calibri" w:cs="Calibri"/>
          <w:sz w:val="24"/>
          <w:szCs w:val="24"/>
        </w:rPr>
        <w:t xml:space="preserve">As a developmental evaluation grant, this initiative emphasizes continuous learning, adaptation, and improvement. </w:t>
      </w:r>
      <w:r w:rsidRPr="00B54D06">
        <w:rPr>
          <w:rFonts w:ascii="Calibri" w:hAnsi="Calibri" w:cs="Calibri"/>
          <w:sz w:val="24"/>
          <w:szCs w:val="24"/>
        </w:rPr>
        <w:t xml:space="preserve">The selected TADE provider for this initiative will </w:t>
      </w:r>
      <w:r w:rsidR="004836CB">
        <w:rPr>
          <w:rFonts w:ascii="Calibri" w:hAnsi="Calibri" w:cs="Calibri"/>
          <w:sz w:val="24"/>
          <w:szCs w:val="24"/>
        </w:rPr>
        <w:t>act</w:t>
      </w:r>
      <w:r w:rsidR="00561869">
        <w:rPr>
          <w:rFonts w:ascii="Calibri" w:hAnsi="Calibri" w:cs="Calibri"/>
          <w:sz w:val="24"/>
          <w:szCs w:val="24"/>
        </w:rPr>
        <w:t xml:space="preserve"> as a learning partner to ETPP grantees, supporting them in refining program design, identifying implementation challenges, and using real-time data to inform decision-making. This approach will ensure that technical assistance (TA) is responsive, inclusive, participant-centered, and aligned with the evolving needs of ETPP grantees and the communities they serve.</w:t>
      </w:r>
      <w:r w:rsidRPr="00B54D06">
        <w:rPr>
          <w:rFonts w:ascii="Calibri" w:hAnsi="Calibri" w:cs="Calibri"/>
          <w:sz w:val="24"/>
          <w:szCs w:val="24"/>
        </w:rPr>
        <w:t xml:space="preserve"> </w:t>
      </w:r>
      <w:r w:rsidR="00EC675A">
        <w:rPr>
          <w:rFonts w:ascii="Calibri" w:hAnsi="Calibri" w:cs="Calibri"/>
          <w:sz w:val="24"/>
          <w:szCs w:val="24"/>
        </w:rPr>
        <w:t>Additionally, the TADE provider selected for this project will play a crucial role by conducting a thorough analysis of these programs, ensuring that the evaluation pursues the highest standards of rigorous, transparent, and reproducible outcomes</w:t>
      </w:r>
      <w:r w:rsidR="00034807">
        <w:rPr>
          <w:rFonts w:ascii="Calibri" w:hAnsi="Calibri" w:cs="Calibri"/>
          <w:sz w:val="24"/>
          <w:szCs w:val="24"/>
        </w:rPr>
        <w:t xml:space="preserve"> </w:t>
      </w:r>
      <w:r w:rsidR="00034807" w:rsidRPr="00034807">
        <w:rPr>
          <w:rFonts w:ascii="Calibri" w:hAnsi="Calibri" w:cs="Calibri"/>
          <w:sz w:val="24"/>
          <w:szCs w:val="24"/>
        </w:rPr>
        <w:t>such as real-time interventions, progress reports, and analysis findings, which will enable stakeholders to formulate informed recommendations and implement necessary adaptations to programs based on new insights and lessons learned.</w:t>
      </w:r>
      <w:bookmarkStart w:id="14" w:name="_Hlk213838785"/>
    </w:p>
    <w:p w14:paraId="2A0A8974" w14:textId="6FACE375" w:rsidR="00D61D54" w:rsidRDefault="00D61D54" w:rsidP="0020385C">
      <w:pPr>
        <w:rPr>
          <w:rFonts w:ascii="Calibri" w:hAnsi="Calibri" w:cs="Calibri"/>
          <w:sz w:val="24"/>
          <w:szCs w:val="24"/>
        </w:rPr>
      </w:pPr>
      <w:r w:rsidRPr="00D61D54">
        <w:rPr>
          <w:rFonts w:ascii="Calibri" w:hAnsi="Calibri" w:cs="Calibri"/>
          <w:sz w:val="24"/>
          <w:szCs w:val="24"/>
        </w:rPr>
        <w:t xml:space="preserve">The selected TADE provider will simultaneously convene and coordinate a cross-program community of practice (COP) that brings together TA providers from various state-funded workforce programs. The aim is to provide data-driven insights and recommendations collected through these coordinated efforts with other TA providers, including DOGWF, ELL, FAP, ESE, OYACPP, and the DOR AJCC Collaboration Project, to assist state leadership, stakeholders, and Title I programs. This collaborative effort will inform future investments and identify policy opportunities that will help achieve the objectives of </w:t>
      </w:r>
      <w:r w:rsidR="00D0273D">
        <w:rPr>
          <w:rFonts w:ascii="Calibri" w:hAnsi="Calibri" w:cs="Calibri"/>
          <w:sz w:val="24"/>
          <w:szCs w:val="24"/>
        </w:rPr>
        <w:t xml:space="preserve">the </w:t>
      </w:r>
      <w:r w:rsidRPr="00D61D54">
        <w:rPr>
          <w:rFonts w:ascii="Calibri" w:hAnsi="Calibri" w:cs="Calibri"/>
          <w:sz w:val="24"/>
          <w:szCs w:val="24"/>
        </w:rPr>
        <w:t>ETPP</w:t>
      </w:r>
      <w:r w:rsidR="00D0273D">
        <w:rPr>
          <w:rFonts w:ascii="Calibri" w:hAnsi="Calibri" w:cs="Calibri"/>
          <w:sz w:val="24"/>
          <w:szCs w:val="24"/>
        </w:rPr>
        <w:t xml:space="preserve"> grant</w:t>
      </w:r>
      <w:r w:rsidRPr="00D61D54">
        <w:rPr>
          <w:rFonts w:ascii="Calibri" w:hAnsi="Calibri" w:cs="Calibri"/>
          <w:sz w:val="24"/>
          <w:szCs w:val="24"/>
        </w:rPr>
        <w:t>, aligning it more closely with the</w:t>
      </w:r>
      <w:r>
        <w:rPr>
          <w:rFonts w:ascii="Calibri" w:hAnsi="Calibri" w:cs="Calibri"/>
          <w:sz w:val="24"/>
          <w:szCs w:val="24"/>
        </w:rPr>
        <w:t xml:space="preserve"> </w:t>
      </w:r>
      <w:r w:rsidRPr="00D61D54">
        <w:rPr>
          <w:rFonts w:ascii="Calibri" w:hAnsi="Calibri" w:cs="Calibri"/>
          <w:sz w:val="24"/>
          <w:szCs w:val="24"/>
        </w:rPr>
        <w:t>CMPCE.</w:t>
      </w:r>
    </w:p>
    <w:bookmarkEnd w:id="14"/>
    <w:p w14:paraId="300C5E9A" w14:textId="3DB77B26" w:rsidR="00561869" w:rsidRDefault="00561869" w:rsidP="0020385C">
      <w:pPr>
        <w:rPr>
          <w:rFonts w:ascii="Calibri" w:hAnsi="Calibri" w:cs="Calibri"/>
          <w:sz w:val="24"/>
          <w:szCs w:val="24"/>
        </w:rPr>
      </w:pPr>
      <w:r>
        <w:rPr>
          <w:rFonts w:ascii="Calibri" w:hAnsi="Calibri" w:cs="Calibri"/>
          <w:sz w:val="24"/>
          <w:szCs w:val="24"/>
        </w:rPr>
        <w:t>Th</w:t>
      </w:r>
      <w:r w:rsidR="000228EA">
        <w:rPr>
          <w:rFonts w:ascii="Calibri" w:hAnsi="Calibri" w:cs="Calibri"/>
          <w:sz w:val="24"/>
          <w:szCs w:val="24"/>
        </w:rPr>
        <w:t>e</w:t>
      </w:r>
      <w:r>
        <w:rPr>
          <w:rFonts w:ascii="Calibri" w:hAnsi="Calibri" w:cs="Calibri"/>
          <w:sz w:val="24"/>
          <w:szCs w:val="24"/>
        </w:rPr>
        <w:t xml:space="preserve"> COP will serve as a collaborative platform to:</w:t>
      </w:r>
    </w:p>
    <w:p w14:paraId="0EF33447" w14:textId="6CB19C6F" w:rsidR="00561869" w:rsidRPr="00102A6F" w:rsidRDefault="00561869" w:rsidP="00086CF0">
      <w:pPr>
        <w:pStyle w:val="ListParagraph"/>
        <w:numPr>
          <w:ilvl w:val="0"/>
          <w:numId w:val="25"/>
        </w:numPr>
      </w:pPr>
      <w:r w:rsidRPr="00102A6F">
        <w:t>Share promising practices and lessons learned</w:t>
      </w:r>
    </w:p>
    <w:p w14:paraId="31C4F9F0" w14:textId="57F19BA1" w:rsidR="00561869" w:rsidRPr="00102A6F" w:rsidRDefault="00561869" w:rsidP="00086CF0">
      <w:pPr>
        <w:pStyle w:val="ListParagraph"/>
        <w:numPr>
          <w:ilvl w:val="0"/>
          <w:numId w:val="25"/>
        </w:numPr>
      </w:pPr>
      <w:r w:rsidRPr="00102A6F">
        <w:t>Align TA strategies across programs</w:t>
      </w:r>
    </w:p>
    <w:p w14:paraId="07DF7502" w14:textId="71FB7B60" w:rsidR="00561869" w:rsidRPr="00102A6F" w:rsidRDefault="00561869" w:rsidP="00086CF0">
      <w:pPr>
        <w:pStyle w:val="ListParagraph"/>
        <w:numPr>
          <w:ilvl w:val="0"/>
          <w:numId w:val="25"/>
        </w:numPr>
      </w:pPr>
      <w:r w:rsidRPr="00102A6F">
        <w:t>Identify opportunities for systems-level innovation, and</w:t>
      </w:r>
    </w:p>
    <w:p w14:paraId="21D41639" w14:textId="5EEEA31E" w:rsidR="00EC675A" w:rsidRPr="000228EA" w:rsidRDefault="00561869" w:rsidP="00086CF0">
      <w:pPr>
        <w:pStyle w:val="ListParagraph"/>
        <w:numPr>
          <w:ilvl w:val="0"/>
          <w:numId w:val="25"/>
        </w:numPr>
      </w:pPr>
      <w:r w:rsidRPr="00102A6F">
        <w:t>Strengthening the overall capacity of California’s workforce development ecosystem</w:t>
      </w:r>
    </w:p>
    <w:p w14:paraId="1C93DFE5" w14:textId="6E6DC88E" w:rsidR="00F30B58" w:rsidRDefault="00F30B58" w:rsidP="000228EA">
      <w:pPr>
        <w:spacing w:line="240" w:lineRule="auto"/>
        <w:rPr>
          <w:rFonts w:ascii="Calibri" w:eastAsia="Aptos" w:hAnsi="Calibri" w:cs="Calibri"/>
          <w:kern w:val="0"/>
          <w:sz w:val="24"/>
          <w:szCs w:val="24"/>
          <w14:ligatures w14:val="none"/>
        </w:rPr>
      </w:pPr>
      <w:r w:rsidRPr="00F30B58">
        <w:rPr>
          <w:rFonts w:ascii="Calibri" w:eastAsia="Aptos" w:hAnsi="Calibri" w:cs="Calibri"/>
          <w:kern w:val="0"/>
          <w:sz w:val="24"/>
          <w:szCs w:val="24"/>
          <w14:ligatures w14:val="none"/>
        </w:rPr>
        <w:t>The grantee will document and share existing knowledge to inform future workforce development system investments and opportunities to improve the workforce development system in serving job seekers facing barriers to economic mobility. Also, the TADE will assess the Labor Workforce Development Agency and the EDD joint TADE strategy</w:t>
      </w:r>
      <w:r>
        <w:rPr>
          <w:rFonts w:ascii="Calibri" w:eastAsia="Aptos" w:hAnsi="Calibri" w:cs="Calibri"/>
          <w:kern w:val="0"/>
          <w:sz w:val="24"/>
          <w:szCs w:val="24"/>
          <w14:ligatures w14:val="none"/>
        </w:rPr>
        <w:t xml:space="preserve"> to</w:t>
      </w:r>
      <w:r w:rsidRPr="00F30B58">
        <w:rPr>
          <w:rFonts w:ascii="Calibri" w:eastAsia="Aptos" w:hAnsi="Calibri" w:cs="Calibri"/>
          <w:kern w:val="0"/>
          <w:sz w:val="24"/>
          <w:szCs w:val="24"/>
          <w14:ligatures w14:val="none"/>
        </w:rPr>
        <w:t xml:space="preserve"> provide recommendations on how TADE investments for future programs can be improved.</w:t>
      </w:r>
    </w:p>
    <w:p w14:paraId="0B0C8D08" w14:textId="010A7636" w:rsidR="008544AA" w:rsidRPr="008F3EE0" w:rsidRDefault="00782336" w:rsidP="000228EA">
      <w:pPr>
        <w:spacing w:line="240" w:lineRule="auto"/>
        <w:rPr>
          <w:rFonts w:ascii="Calibri" w:eastAsia="Aptos" w:hAnsi="Calibri" w:cs="Calibri"/>
          <w:kern w:val="0"/>
          <w:sz w:val="24"/>
          <w:szCs w:val="24"/>
          <w14:ligatures w14:val="none"/>
        </w:rPr>
      </w:pPr>
      <w:r>
        <w:rPr>
          <w:rFonts w:ascii="Calibri" w:eastAsia="Aptos" w:hAnsi="Calibri" w:cs="Calibri"/>
          <w:kern w:val="0"/>
          <w:sz w:val="24"/>
          <w:szCs w:val="24"/>
          <w14:ligatures w14:val="none"/>
        </w:rPr>
        <w:lastRenderedPageBreak/>
        <w:t>Together, these efforts will support the state’s broader goals of economic mobility, participant-centered</w:t>
      </w:r>
      <w:r w:rsidR="00F30B58">
        <w:rPr>
          <w:rFonts w:ascii="Calibri" w:eastAsia="Aptos" w:hAnsi="Calibri" w:cs="Calibri"/>
          <w:kern w:val="0"/>
          <w:sz w:val="24"/>
          <w:szCs w:val="24"/>
          <w14:ligatures w14:val="none"/>
        </w:rPr>
        <w:t xml:space="preserve"> i</w:t>
      </w:r>
      <w:r w:rsidR="00F30B58" w:rsidRPr="00F30B58">
        <w:rPr>
          <w:rFonts w:ascii="Calibri" w:eastAsia="Aptos" w:hAnsi="Calibri" w:cs="Calibri"/>
          <w:kern w:val="0"/>
          <w:sz w:val="24"/>
          <w:szCs w:val="24"/>
          <w14:ligatures w14:val="none"/>
        </w:rPr>
        <w:t>nclusivity</w:t>
      </w:r>
      <w:r>
        <w:rPr>
          <w:rFonts w:ascii="Calibri" w:eastAsia="Aptos" w:hAnsi="Calibri" w:cs="Calibri"/>
          <w:kern w:val="0"/>
          <w:sz w:val="24"/>
          <w:szCs w:val="24"/>
          <w14:ligatures w14:val="none"/>
        </w:rPr>
        <w:t xml:space="preserve">, and alignment with the </w:t>
      </w:r>
      <w:bookmarkStart w:id="15" w:name="_Hlk213842287"/>
      <w:r>
        <w:rPr>
          <w:rFonts w:ascii="Calibri" w:eastAsia="Aptos" w:hAnsi="Calibri" w:cs="Calibri"/>
          <w:kern w:val="0"/>
          <w:sz w:val="24"/>
          <w:szCs w:val="24"/>
          <w14:ligatures w14:val="none"/>
        </w:rPr>
        <w:t>CMPCE.</w:t>
      </w:r>
      <w:bookmarkStart w:id="16" w:name="_Hlk213664627"/>
      <w:bookmarkEnd w:id="15"/>
    </w:p>
    <w:p w14:paraId="217C7894" w14:textId="34ED4B77" w:rsidR="008544AA" w:rsidRDefault="008544AA" w:rsidP="00086CF0">
      <w:pPr>
        <w:pStyle w:val="Heading3"/>
        <w:numPr>
          <w:ilvl w:val="0"/>
          <w:numId w:val="24"/>
        </w:numPr>
        <w:rPr>
          <w:rFonts w:eastAsia="Arial"/>
        </w:rPr>
      </w:pPr>
      <w:bookmarkStart w:id="17" w:name="_Toc117246143"/>
      <w:bookmarkStart w:id="18" w:name="_Toc117246901"/>
      <w:bookmarkStart w:id="19" w:name="_Toc167356412"/>
      <w:bookmarkStart w:id="20" w:name="_Toc167894648"/>
      <w:bookmarkEnd w:id="16"/>
      <w:r w:rsidRPr="00DC1DE3">
        <w:rPr>
          <w:rFonts w:eastAsia="Arial"/>
        </w:rPr>
        <w:t>Availability</w:t>
      </w:r>
      <w:bookmarkEnd w:id="17"/>
      <w:bookmarkEnd w:id="18"/>
      <w:bookmarkEnd w:id="19"/>
      <w:bookmarkEnd w:id="20"/>
    </w:p>
    <w:p w14:paraId="335A6943" w14:textId="53417EA6" w:rsidR="00FB75C0" w:rsidRPr="00264C46" w:rsidRDefault="00A40746" w:rsidP="00264C46">
      <w:pPr>
        <w:spacing w:after="0" w:line="240" w:lineRule="auto"/>
        <w:rPr>
          <w:rFonts w:ascii="Calibri" w:eastAsia="Aptos" w:hAnsi="Calibri" w:cs="Calibri"/>
          <w:kern w:val="0"/>
          <w:sz w:val="24"/>
          <w:szCs w:val="24"/>
          <w14:ligatures w14:val="none"/>
        </w:rPr>
      </w:pPr>
      <w:bookmarkStart w:id="21" w:name="_Hlk207364959"/>
      <w:r w:rsidRPr="00A40746">
        <w:rPr>
          <w:rFonts w:ascii="Calibri" w:eastAsia="Aptos" w:hAnsi="Calibri" w:cs="Calibri"/>
          <w:kern w:val="0"/>
          <w:sz w:val="24"/>
          <w:szCs w:val="24"/>
          <w14:ligatures w14:val="none"/>
        </w:rPr>
        <w:t xml:space="preserve">Applicants may submit requests for funding of up to $1.5 million. The grant period of performance (POP) for the selected project funded under this SFP will be between 18 to 24 months, with an anticipated start date in </w:t>
      </w:r>
      <w:r w:rsidR="009743D1" w:rsidRPr="00E63439">
        <w:rPr>
          <w:rFonts w:ascii="Calibri" w:eastAsia="Aptos" w:hAnsi="Calibri" w:cs="Calibri"/>
          <w:kern w:val="0"/>
          <w:sz w:val="24"/>
          <w:szCs w:val="24"/>
          <w14:ligatures w14:val="none"/>
        </w:rPr>
        <w:t>June</w:t>
      </w:r>
      <w:r w:rsidRPr="00E63439">
        <w:rPr>
          <w:rFonts w:ascii="Calibri" w:eastAsia="Aptos" w:hAnsi="Calibri" w:cs="Calibri"/>
          <w:kern w:val="0"/>
          <w:sz w:val="24"/>
          <w:szCs w:val="24"/>
          <w14:ligatures w14:val="none"/>
        </w:rPr>
        <w:t xml:space="preserve"> 2026</w:t>
      </w:r>
      <w:r w:rsidRPr="00A40746">
        <w:rPr>
          <w:rFonts w:ascii="Calibri" w:eastAsia="Aptos" w:hAnsi="Calibri" w:cs="Calibri"/>
          <w:kern w:val="0"/>
          <w:sz w:val="24"/>
          <w:szCs w:val="24"/>
          <w14:ligatures w14:val="none"/>
        </w:rPr>
        <w:t xml:space="preserve">. This POP will encompass all implementation and startup activities. Please note that funds will not be accessible beyond </w:t>
      </w:r>
      <w:r w:rsidR="00FD2A95">
        <w:rPr>
          <w:rFonts w:ascii="Calibri" w:eastAsia="Aptos" w:hAnsi="Calibri" w:cs="Calibri"/>
          <w:kern w:val="0"/>
          <w:sz w:val="24"/>
          <w:szCs w:val="24"/>
          <w14:ligatures w14:val="none"/>
        </w:rPr>
        <w:t>March 31, 2028</w:t>
      </w:r>
      <w:r w:rsidRPr="00A40746">
        <w:rPr>
          <w:rFonts w:ascii="Calibri" w:eastAsia="Aptos" w:hAnsi="Calibri" w:cs="Calibri"/>
          <w:kern w:val="0"/>
          <w:sz w:val="24"/>
          <w:szCs w:val="24"/>
          <w14:ligatures w14:val="none"/>
        </w:rPr>
        <w:t>, and any unspent funds must be returned to the state. Additionally, while the state may consider exceeding the maximum award amount based on available resources, only one project is anticipated to be funded through this SFP.</w:t>
      </w:r>
      <w:bookmarkStart w:id="22" w:name="_Hlk207086214"/>
      <w:bookmarkEnd w:id="21"/>
    </w:p>
    <w:p w14:paraId="38815E64" w14:textId="2DC0C8DB" w:rsidR="00935B73" w:rsidRPr="002A7BA7" w:rsidRDefault="00935B73" w:rsidP="00086CF0">
      <w:pPr>
        <w:pStyle w:val="Heading3"/>
        <w:numPr>
          <w:ilvl w:val="0"/>
          <w:numId w:val="24"/>
        </w:numPr>
        <w:rPr>
          <w:rFonts w:eastAsia="Arial"/>
        </w:rPr>
      </w:pPr>
      <w:bookmarkStart w:id="23" w:name="_Toc167356414"/>
      <w:bookmarkStart w:id="24" w:name="_Toc167894650"/>
      <w:bookmarkEnd w:id="22"/>
      <w:r>
        <w:rPr>
          <w:rFonts w:eastAsia="Arial"/>
        </w:rPr>
        <w:t xml:space="preserve">Target </w:t>
      </w:r>
      <w:r w:rsidR="003B61A8">
        <w:rPr>
          <w:rFonts w:eastAsia="Arial"/>
        </w:rPr>
        <w:t>Sectors</w:t>
      </w:r>
    </w:p>
    <w:p w14:paraId="2E26D187" w14:textId="2307B3EA" w:rsidR="0038169D" w:rsidRPr="008E0092" w:rsidRDefault="002E2913" w:rsidP="008E0092">
      <w:pPr>
        <w:spacing w:after="240" w:line="240" w:lineRule="auto"/>
        <w:rPr>
          <w:rFonts w:ascii="Calibri" w:eastAsia="Calibri" w:hAnsi="Calibri" w:cstheme="minorHAnsi"/>
          <w:sz w:val="24"/>
          <w:szCs w:val="24"/>
          <w:lang w:val="en"/>
        </w:rPr>
      </w:pPr>
      <w:bookmarkStart w:id="25" w:name="_Hlk206759560"/>
      <w:r w:rsidRPr="002E2913">
        <w:rPr>
          <w:rFonts w:ascii="Calibri" w:eastAsia="Calibri" w:hAnsi="Calibri" w:cstheme="minorHAnsi"/>
          <w:sz w:val="24"/>
          <w:szCs w:val="24"/>
          <w:lang w:val="en"/>
        </w:rPr>
        <w:t>ETPP grantees are expected to focus their training efforts on industries projected to experience moderate to high growth, including emerging sectors and key regional anchors. The technical assistance and developmental evaluation provider must support grantees in aligning their programs with the specific skill demands of these industries, ensuring participants are prepared for well-</w:t>
      </w:r>
      <w:proofErr w:type="gramStart"/>
      <w:r w:rsidRPr="002E2913">
        <w:rPr>
          <w:rFonts w:ascii="Calibri" w:eastAsia="Calibri" w:hAnsi="Calibri" w:cstheme="minorHAnsi"/>
          <w:sz w:val="24"/>
          <w:szCs w:val="24"/>
          <w:lang w:val="en"/>
        </w:rPr>
        <w:t>paying</w:t>
      </w:r>
      <w:proofErr w:type="gramEnd"/>
      <w:r w:rsidRPr="002E2913">
        <w:rPr>
          <w:rFonts w:ascii="Calibri" w:eastAsia="Calibri" w:hAnsi="Calibri" w:cstheme="minorHAnsi"/>
          <w:sz w:val="24"/>
          <w:szCs w:val="24"/>
          <w:lang w:val="en"/>
        </w:rPr>
        <w:t xml:space="preserve"> jobs in relevant fields. TA strategies should also be adaptable to meet the diverse needs of target populations—for example, addressing foundational literacy for both English Language Learners and native English speakers. The TADE provider should assist grantees in refining program design, identifying implementation challenges, and using data to ensure that training remains responsive to both industry trends and participant needs. This support should also encourage innovation as ETPP programs evolve to meet changing workforce demands, ultimately promoting inclusive, effective, and equitable outcomes.</w:t>
      </w:r>
    </w:p>
    <w:bookmarkEnd w:id="25"/>
    <w:p w14:paraId="76CF27F4" w14:textId="34D20DEC" w:rsidR="008544AA" w:rsidRPr="00BF7825" w:rsidRDefault="008544AA" w:rsidP="00086CF0">
      <w:pPr>
        <w:pStyle w:val="Heading3"/>
        <w:numPr>
          <w:ilvl w:val="0"/>
          <w:numId w:val="24"/>
        </w:numPr>
        <w:rPr>
          <w:rFonts w:eastAsia="Arial"/>
        </w:rPr>
      </w:pPr>
      <w:r w:rsidRPr="00831C2A">
        <w:t>Eligibility</w:t>
      </w:r>
      <w:bookmarkEnd w:id="23"/>
      <w:bookmarkEnd w:id="24"/>
    </w:p>
    <w:p w14:paraId="2ACE48BE" w14:textId="46AB1470" w:rsidR="00B206CE" w:rsidRDefault="008544AA" w:rsidP="005848F4">
      <w:pPr>
        <w:pStyle w:val="BodyText"/>
        <w:rPr>
          <w:bCs/>
        </w:rPr>
      </w:pPr>
      <w:r w:rsidRPr="005848F4">
        <w:rPr>
          <w:b/>
        </w:rPr>
        <w:t xml:space="preserve">Applicants: </w:t>
      </w:r>
      <w:r w:rsidR="00856866" w:rsidRPr="00856866">
        <w:rPr>
          <w:bCs/>
        </w:rPr>
        <w:t>Applicants must have the capacity, relationships, and expertise to deliver TA</w:t>
      </w:r>
      <w:r w:rsidR="006335CA">
        <w:rPr>
          <w:bCs/>
        </w:rPr>
        <w:t>DE</w:t>
      </w:r>
      <w:r w:rsidR="00856866" w:rsidRPr="00856866">
        <w:rPr>
          <w:bCs/>
        </w:rPr>
        <w:t xml:space="preserve"> to </w:t>
      </w:r>
      <w:r w:rsidR="006335CA">
        <w:rPr>
          <w:bCs/>
        </w:rPr>
        <w:t>PY 25-26 ETPP</w:t>
      </w:r>
      <w:r w:rsidR="00856866" w:rsidRPr="00856866">
        <w:rPr>
          <w:bCs/>
        </w:rPr>
        <w:t xml:space="preserve"> </w:t>
      </w:r>
      <w:r w:rsidR="00EB1914">
        <w:rPr>
          <w:bCs/>
        </w:rPr>
        <w:t>grant</w:t>
      </w:r>
      <w:r w:rsidR="00856866" w:rsidRPr="00856866">
        <w:rPr>
          <w:bCs/>
        </w:rPr>
        <w:t>ees</w:t>
      </w:r>
      <w:r w:rsidR="006335CA">
        <w:rPr>
          <w:bCs/>
        </w:rPr>
        <w:t xml:space="preserve"> and </w:t>
      </w:r>
      <w:r w:rsidR="006335CA" w:rsidRPr="006335CA">
        <w:rPr>
          <w:bCs/>
        </w:rPr>
        <w:t>coordinate COP with other TA providers</w:t>
      </w:r>
      <w:r w:rsidR="00856866" w:rsidRPr="00856866">
        <w:rPr>
          <w:bCs/>
        </w:rPr>
        <w:t xml:space="preserve"> across the state.</w:t>
      </w:r>
      <w:r w:rsidR="00856866" w:rsidRPr="00856866">
        <w:rPr>
          <w:b/>
        </w:rPr>
        <w:t xml:space="preserve"> </w:t>
      </w:r>
      <w:r w:rsidR="00856866" w:rsidRPr="00856866">
        <w:rPr>
          <w:bCs/>
        </w:rPr>
        <w:t>Proposals will be accepted from</w:t>
      </w:r>
      <w:r w:rsidR="00856866" w:rsidRPr="00856866">
        <w:rPr>
          <w:b/>
        </w:rPr>
        <w:t xml:space="preserve"> </w:t>
      </w:r>
      <w:r w:rsidR="0053530A">
        <w:rPr>
          <w:bCs/>
        </w:rPr>
        <w:t xml:space="preserve">Community Colleges, Institutions of </w:t>
      </w:r>
      <w:r w:rsidR="004757D9">
        <w:rPr>
          <w:bCs/>
        </w:rPr>
        <w:t>higher education, Adult Education Providers, Education and Training Providers, Community-based Organizations, Nonprofit Organizations</w:t>
      </w:r>
      <w:r w:rsidR="0053530A">
        <w:rPr>
          <w:bCs/>
        </w:rPr>
        <w:t>, Labor Organizations, and Workforce Intermediaries.</w:t>
      </w:r>
    </w:p>
    <w:p w14:paraId="5EEEBE2B" w14:textId="235D1F92" w:rsidR="00F32C0B" w:rsidRPr="006F1BDB" w:rsidRDefault="00073F95" w:rsidP="005848F4">
      <w:pPr>
        <w:pStyle w:val="BodyText"/>
        <w:rPr>
          <w:bCs/>
        </w:rPr>
      </w:pPr>
      <w:r>
        <w:rPr>
          <w:b/>
        </w:rPr>
        <w:t xml:space="preserve">Program </w:t>
      </w:r>
      <w:r w:rsidR="00264C46" w:rsidRPr="00264C46">
        <w:rPr>
          <w:b/>
        </w:rPr>
        <w:t>Participants:</w:t>
      </w:r>
      <w:r w:rsidR="00264C46">
        <w:rPr>
          <w:bCs/>
        </w:rPr>
        <w:t xml:space="preserve"> </w:t>
      </w:r>
      <w:r w:rsidR="00264C46" w:rsidRPr="00264C46">
        <w:rPr>
          <w:bCs/>
        </w:rPr>
        <w:t xml:space="preserve">To be eligible for participation in </w:t>
      </w:r>
      <w:r w:rsidR="00264C46">
        <w:rPr>
          <w:bCs/>
        </w:rPr>
        <w:t>ETPP</w:t>
      </w:r>
      <w:r w:rsidR="00264C46" w:rsidRPr="00264C46">
        <w:rPr>
          <w:bCs/>
        </w:rPr>
        <w:t xml:space="preserve">, individuals must meet the following criteria: they must be </w:t>
      </w:r>
      <w:r w:rsidR="00C4626B">
        <w:rPr>
          <w:bCs/>
        </w:rPr>
        <w:t>18</w:t>
      </w:r>
      <w:r w:rsidR="00264C46" w:rsidRPr="00264C46">
        <w:rPr>
          <w:bCs/>
        </w:rPr>
        <w:t xml:space="preserve"> years of age or older, an OYA who is not currently working or in school, a veteran, a justice-involved individual, or an ELL.  The selected TADE provider must be familiar with best practices in serving these target populations.</w:t>
      </w:r>
    </w:p>
    <w:p w14:paraId="05BE0528" w14:textId="18C56E99" w:rsidR="002406C3" w:rsidRPr="006F1BDB" w:rsidRDefault="008544AA" w:rsidP="006F1BDB">
      <w:pPr>
        <w:pStyle w:val="Heading2"/>
        <w:tabs>
          <w:tab w:val="left" w:pos="360"/>
        </w:tabs>
        <w:ind w:left="720"/>
      </w:pPr>
      <w:bookmarkStart w:id="26" w:name="_Toc167356415"/>
      <w:bookmarkStart w:id="27" w:name="_Toc167894651"/>
      <w:r w:rsidRPr="006515ED">
        <w:lastRenderedPageBreak/>
        <w:t>Project</w:t>
      </w:r>
      <w:r w:rsidRPr="00DC1DE3">
        <w:t xml:space="preserve"> Design</w:t>
      </w:r>
      <w:bookmarkStart w:id="28" w:name="_Toc167356416"/>
      <w:bookmarkStart w:id="29" w:name="_Toc167894652"/>
      <w:bookmarkEnd w:id="26"/>
      <w:bookmarkEnd w:id="27"/>
    </w:p>
    <w:p w14:paraId="3CA07EBB" w14:textId="7B944035" w:rsidR="009A6A5B" w:rsidRDefault="009A6A5B" w:rsidP="002406C3">
      <w:pPr>
        <w:rPr>
          <w:rFonts w:ascii="Calibri" w:eastAsia="Calibri" w:hAnsi="Calibri" w:cs="Calibri"/>
          <w:color w:val="000000"/>
          <w:kern w:val="0"/>
          <w:sz w:val="24"/>
          <w:szCs w:val="24"/>
          <w14:ligatures w14:val="none"/>
        </w:rPr>
      </w:pPr>
      <w:r w:rsidRPr="009A6A5B">
        <w:rPr>
          <w:rFonts w:ascii="Calibri" w:eastAsia="Calibri" w:hAnsi="Calibri" w:cs="Calibri"/>
          <w:color w:val="000000"/>
          <w:kern w:val="0"/>
          <w:sz w:val="24"/>
          <w:szCs w:val="24"/>
          <w14:ligatures w14:val="none"/>
        </w:rPr>
        <w:t>Th</w:t>
      </w:r>
      <w:r>
        <w:rPr>
          <w:rFonts w:ascii="Calibri" w:eastAsia="Calibri" w:hAnsi="Calibri" w:cs="Calibri"/>
          <w:color w:val="000000"/>
          <w:kern w:val="0"/>
          <w:sz w:val="24"/>
          <w:szCs w:val="24"/>
          <w14:ligatures w14:val="none"/>
        </w:rPr>
        <w:t>is</w:t>
      </w:r>
      <w:r w:rsidRPr="009A6A5B">
        <w:rPr>
          <w:rFonts w:ascii="Calibri" w:eastAsia="Calibri" w:hAnsi="Calibri" w:cs="Calibri"/>
          <w:color w:val="000000"/>
          <w:kern w:val="0"/>
          <w:sz w:val="24"/>
          <w:szCs w:val="24"/>
          <w14:ligatures w14:val="none"/>
        </w:rPr>
        <w:t xml:space="preserve"> TADE initiative is designed to support both program-level learning and system-level collaboration through a structured, yet flexible approach. The project design integrates developmental evaluation, responsive technical assistance, and cross-program coordination to strengthen the effectiveness and impact of ETPP</w:t>
      </w:r>
      <w:r w:rsidR="00213A79">
        <w:rPr>
          <w:rFonts w:ascii="Calibri" w:eastAsia="Calibri" w:hAnsi="Calibri" w:cs="Calibri"/>
          <w:color w:val="000000"/>
          <w:kern w:val="0"/>
          <w:sz w:val="24"/>
          <w:szCs w:val="24"/>
          <w14:ligatures w14:val="none"/>
        </w:rPr>
        <w:t xml:space="preserve"> grantees</w:t>
      </w:r>
      <w:r w:rsidRPr="009A6A5B">
        <w:rPr>
          <w:rFonts w:ascii="Calibri" w:eastAsia="Calibri" w:hAnsi="Calibri" w:cs="Calibri"/>
          <w:color w:val="000000"/>
          <w:kern w:val="0"/>
          <w:sz w:val="24"/>
          <w:szCs w:val="24"/>
          <w14:ligatures w14:val="none"/>
        </w:rPr>
        <w:t xml:space="preserve"> and related workforce initiatives.</w:t>
      </w:r>
    </w:p>
    <w:p w14:paraId="72BDEE8F" w14:textId="2F68E469" w:rsidR="00BC7B93" w:rsidRDefault="00E65FAE" w:rsidP="002406C3">
      <w:pPr>
        <w:rPr>
          <w:rFonts w:ascii="Calibri" w:eastAsia="Calibri" w:hAnsi="Calibri" w:cs="Calibri"/>
          <w:color w:val="000000"/>
          <w:kern w:val="0"/>
          <w:sz w:val="24"/>
          <w:szCs w:val="24"/>
          <w14:ligatures w14:val="none"/>
        </w:rPr>
      </w:pPr>
      <w:r w:rsidRPr="00E65FAE">
        <w:rPr>
          <w:rFonts w:ascii="Calibri" w:eastAsia="Calibri" w:hAnsi="Calibri" w:cs="Calibri"/>
          <w:color w:val="000000"/>
          <w:kern w:val="0"/>
          <w:sz w:val="24"/>
          <w:szCs w:val="24"/>
          <w14:ligatures w14:val="none"/>
        </w:rPr>
        <w:t>The project will implement an evaluation framework that balances statewide consistency with local relevance. This includes:</w:t>
      </w:r>
    </w:p>
    <w:p w14:paraId="50E6CB15" w14:textId="1DE8F92E" w:rsidR="00E65FAE" w:rsidRPr="00E65FAE" w:rsidRDefault="00E65FAE" w:rsidP="00086CF0">
      <w:pPr>
        <w:pStyle w:val="ListParagraph"/>
        <w:numPr>
          <w:ilvl w:val="0"/>
          <w:numId w:val="26"/>
        </w:numPr>
        <w:rPr>
          <w:rFonts w:eastAsia="Calibri"/>
          <w:color w:val="000000"/>
          <w:kern w:val="0"/>
          <w14:ligatures w14:val="none"/>
        </w:rPr>
      </w:pPr>
      <w:r w:rsidRPr="00E65FAE">
        <w:rPr>
          <w:rFonts w:eastAsia="Calibri"/>
          <w:color w:val="000000"/>
          <w:kern w:val="0"/>
          <w14:ligatures w14:val="none"/>
        </w:rPr>
        <w:t xml:space="preserve">An overarching evaluation framework that defines shared goals, core indicators, and statewide learning questions to ensure alignment across all </w:t>
      </w:r>
      <w:r w:rsidR="006D0826">
        <w:rPr>
          <w:rFonts w:eastAsia="Calibri"/>
          <w:color w:val="000000"/>
          <w:kern w:val="0"/>
          <w14:ligatures w14:val="none"/>
        </w:rPr>
        <w:t xml:space="preserve">PY 25-26 </w:t>
      </w:r>
      <w:r w:rsidRPr="00E65FAE">
        <w:rPr>
          <w:rFonts w:eastAsia="Calibri"/>
          <w:color w:val="000000"/>
          <w:kern w:val="0"/>
          <w14:ligatures w14:val="none"/>
        </w:rPr>
        <w:t>ETPP grantees and support system-level learning.</w:t>
      </w:r>
    </w:p>
    <w:p w14:paraId="4109C0CA" w14:textId="6D338432" w:rsidR="00E65FAE" w:rsidRPr="00E65FAE" w:rsidRDefault="00E65FAE" w:rsidP="00086CF0">
      <w:pPr>
        <w:pStyle w:val="ListParagraph"/>
        <w:numPr>
          <w:ilvl w:val="0"/>
          <w:numId w:val="26"/>
        </w:numPr>
        <w:rPr>
          <w:rFonts w:eastAsia="Calibri"/>
          <w:color w:val="000000"/>
          <w:kern w:val="0"/>
          <w14:ligatures w14:val="none"/>
        </w:rPr>
      </w:pPr>
      <w:r w:rsidRPr="00E65FAE">
        <w:rPr>
          <w:rFonts w:eastAsia="Calibri"/>
          <w:color w:val="000000"/>
          <w:kern w:val="0"/>
          <w14:ligatures w14:val="none"/>
        </w:rPr>
        <w:t>Program-specific evaluation plans, which will be co-developed with each ETPP grantee to reflect their unique program models, target populations, and learning priorities. These plans will align with the overarching framework but allow for local adaptation—ensuring that each grantee can define and measure success in ways that are meaningful to their context. Plans may include custom indicators, data collection methods, and feedback loops tailored to the grantee’s implementation strategy.</w:t>
      </w:r>
    </w:p>
    <w:p w14:paraId="7736C7AA" w14:textId="3B516A3B" w:rsidR="00E65FAE" w:rsidRPr="00E65FAE" w:rsidRDefault="00E65FAE" w:rsidP="00086CF0">
      <w:pPr>
        <w:pStyle w:val="ListParagraph"/>
        <w:numPr>
          <w:ilvl w:val="0"/>
          <w:numId w:val="26"/>
        </w:numPr>
        <w:rPr>
          <w:rFonts w:eastAsia="Calibri"/>
          <w:color w:val="000000"/>
          <w:kern w:val="0"/>
          <w14:ligatures w14:val="none"/>
        </w:rPr>
      </w:pPr>
      <w:r w:rsidRPr="00E65FAE">
        <w:rPr>
          <w:rFonts w:eastAsia="Calibri"/>
          <w:color w:val="000000"/>
          <w:kern w:val="0"/>
          <w14:ligatures w14:val="none"/>
        </w:rPr>
        <w:t>A focus on real-time learning and adaptation, enabling grantees to use data to inform decisions, adjust strategies, and improve outcomes throughout the program lifecycle.</w:t>
      </w:r>
    </w:p>
    <w:p w14:paraId="3203220D" w14:textId="1B8D1E40" w:rsidR="00E65FAE" w:rsidRDefault="00E65FAE" w:rsidP="002406C3">
      <w:pPr>
        <w:rPr>
          <w:rFonts w:ascii="Calibri" w:eastAsia="Calibri" w:hAnsi="Calibri" w:cs="Calibri"/>
          <w:color w:val="000000"/>
          <w:kern w:val="0"/>
          <w:sz w:val="24"/>
          <w:szCs w:val="24"/>
          <w14:ligatures w14:val="none"/>
        </w:rPr>
      </w:pPr>
      <w:r w:rsidRPr="00E65FAE">
        <w:rPr>
          <w:rFonts w:ascii="Calibri" w:eastAsia="Calibri" w:hAnsi="Calibri" w:cs="Calibri"/>
          <w:color w:val="000000"/>
          <w:kern w:val="0"/>
          <w:sz w:val="24"/>
          <w:szCs w:val="24"/>
          <w14:ligatures w14:val="none"/>
        </w:rPr>
        <w:t xml:space="preserve">The TADE provider will deliver customized technical assistance that is informed </w:t>
      </w:r>
      <w:r w:rsidR="001D1507">
        <w:rPr>
          <w:rFonts w:ascii="Calibri" w:eastAsia="Calibri" w:hAnsi="Calibri" w:cs="Calibri"/>
          <w:color w:val="000000"/>
          <w:kern w:val="0"/>
          <w:sz w:val="24"/>
          <w:szCs w:val="24"/>
          <w14:ligatures w14:val="none"/>
        </w:rPr>
        <w:t>by</w:t>
      </w:r>
      <w:r w:rsidRPr="00E65FAE">
        <w:rPr>
          <w:rFonts w:ascii="Calibri" w:eastAsia="Calibri" w:hAnsi="Calibri" w:cs="Calibri"/>
          <w:color w:val="000000"/>
          <w:kern w:val="0"/>
          <w:sz w:val="24"/>
          <w:szCs w:val="24"/>
          <w14:ligatures w14:val="none"/>
        </w:rPr>
        <w:t xml:space="preserve"> grantee needs and grounded in inclusive, </w:t>
      </w:r>
      <w:r w:rsidR="001D1507">
        <w:rPr>
          <w:rFonts w:ascii="Calibri" w:eastAsia="Calibri" w:hAnsi="Calibri" w:cs="Calibri"/>
          <w:color w:val="000000"/>
          <w:kern w:val="0"/>
          <w:sz w:val="24"/>
          <w:szCs w:val="24"/>
          <w14:ligatures w14:val="none"/>
        </w:rPr>
        <w:t>participant-centered</w:t>
      </w:r>
      <w:r w:rsidRPr="00E65FAE">
        <w:rPr>
          <w:rFonts w:ascii="Calibri" w:eastAsia="Calibri" w:hAnsi="Calibri" w:cs="Calibri"/>
          <w:color w:val="000000"/>
          <w:kern w:val="0"/>
          <w:sz w:val="24"/>
          <w:szCs w:val="24"/>
          <w14:ligatures w14:val="none"/>
        </w:rPr>
        <w:t xml:space="preserve"> practices. Key elements include:</w:t>
      </w:r>
    </w:p>
    <w:p w14:paraId="3E32FE51" w14:textId="290202FC" w:rsidR="00E65FAE" w:rsidRPr="00E65FAE" w:rsidRDefault="00E65FAE" w:rsidP="00086CF0">
      <w:pPr>
        <w:pStyle w:val="ListParagraph"/>
        <w:numPr>
          <w:ilvl w:val="0"/>
          <w:numId w:val="27"/>
        </w:numPr>
        <w:rPr>
          <w:rFonts w:eastAsia="Calibri"/>
          <w:color w:val="000000"/>
          <w:kern w:val="0"/>
          <w14:ligatures w14:val="none"/>
        </w:rPr>
      </w:pPr>
      <w:r w:rsidRPr="00E65FAE">
        <w:rPr>
          <w:rFonts w:eastAsia="Calibri"/>
          <w:color w:val="000000"/>
          <w:kern w:val="0"/>
          <w14:ligatures w14:val="none"/>
        </w:rPr>
        <w:t>Conducting TA needs assessments and offering tailored support through coaching, training, and peer learning.</w:t>
      </w:r>
    </w:p>
    <w:p w14:paraId="45533866" w14:textId="4EFEB484" w:rsidR="00E65FAE" w:rsidRPr="00E65FAE" w:rsidRDefault="00E65FAE" w:rsidP="00086CF0">
      <w:pPr>
        <w:pStyle w:val="ListParagraph"/>
        <w:numPr>
          <w:ilvl w:val="0"/>
          <w:numId w:val="27"/>
        </w:numPr>
        <w:rPr>
          <w:rFonts w:eastAsia="Calibri"/>
          <w:color w:val="000000"/>
          <w:kern w:val="0"/>
          <w14:ligatures w14:val="none"/>
        </w:rPr>
      </w:pPr>
      <w:r w:rsidRPr="00E65FAE">
        <w:rPr>
          <w:rFonts w:eastAsia="Calibri"/>
          <w:color w:val="000000"/>
          <w:kern w:val="0"/>
          <w14:ligatures w14:val="none"/>
        </w:rPr>
        <w:t>Facilitating training sessions on emerging topics identified through evaluation and grantee feedback.</w:t>
      </w:r>
    </w:p>
    <w:p w14:paraId="24A78C21" w14:textId="1FCFB8C6" w:rsidR="00E65FAE" w:rsidRPr="00E65FAE" w:rsidRDefault="00E65FAE" w:rsidP="00086CF0">
      <w:pPr>
        <w:pStyle w:val="ListParagraph"/>
        <w:numPr>
          <w:ilvl w:val="0"/>
          <w:numId w:val="27"/>
        </w:numPr>
        <w:rPr>
          <w:rFonts w:eastAsia="Calibri"/>
          <w:color w:val="000000"/>
          <w:kern w:val="0"/>
          <w14:ligatures w14:val="none"/>
        </w:rPr>
      </w:pPr>
      <w:r w:rsidRPr="00E65FAE">
        <w:rPr>
          <w:rFonts w:eastAsia="Calibri"/>
          <w:color w:val="000000"/>
          <w:kern w:val="0"/>
          <w14:ligatures w14:val="none"/>
        </w:rPr>
        <w:t>Supporting the development of practical data tools—such as dashboards and visualizations</w:t>
      </w:r>
      <w:r w:rsidR="00E1300F">
        <w:rPr>
          <w:rFonts w:eastAsia="Calibri"/>
          <w:color w:val="000000"/>
          <w:kern w:val="0"/>
          <w14:ligatures w14:val="none"/>
        </w:rPr>
        <w:t xml:space="preserve"> - </w:t>
      </w:r>
      <w:r w:rsidRPr="00E65FAE">
        <w:rPr>
          <w:rFonts w:eastAsia="Calibri"/>
          <w:color w:val="000000"/>
          <w:kern w:val="0"/>
          <w14:ligatures w14:val="none"/>
        </w:rPr>
        <w:t>using systems like CalJOB</w:t>
      </w:r>
      <w:r>
        <w:rPr>
          <w:rFonts w:eastAsia="Calibri"/>
          <w:color w:val="000000"/>
          <w:kern w:val="0"/>
          <w14:ligatures w14:val="none"/>
        </w:rPr>
        <w:t>S</w:t>
      </w:r>
      <w:r w:rsidRPr="00E65FAE">
        <w:rPr>
          <w:rFonts w:eastAsia="Calibri"/>
          <w:color w:val="000000"/>
          <w:kern w:val="0"/>
          <w:vertAlign w:val="superscript"/>
          <w14:ligatures w14:val="none"/>
        </w:rPr>
        <w:t>SM</w:t>
      </w:r>
      <w:r w:rsidRPr="00E65FAE">
        <w:rPr>
          <w:rFonts w:eastAsia="Calibri"/>
          <w:color w:val="000000"/>
          <w:kern w:val="0"/>
          <w14:ligatures w14:val="none"/>
        </w:rPr>
        <w:t xml:space="preserve"> to enhance data use and accessibility.</w:t>
      </w:r>
    </w:p>
    <w:p w14:paraId="78A82DC4" w14:textId="62C498B5" w:rsidR="00E65FAE" w:rsidRPr="00E65FAE" w:rsidRDefault="00E65FAE" w:rsidP="00086CF0">
      <w:pPr>
        <w:pStyle w:val="ListParagraph"/>
        <w:numPr>
          <w:ilvl w:val="0"/>
          <w:numId w:val="27"/>
        </w:numPr>
        <w:rPr>
          <w:rFonts w:eastAsia="Calibri"/>
          <w:color w:val="000000"/>
          <w:kern w:val="0"/>
          <w14:ligatures w14:val="none"/>
        </w:rPr>
      </w:pPr>
      <w:r w:rsidRPr="00E65FAE">
        <w:rPr>
          <w:rFonts w:eastAsia="Calibri"/>
          <w:color w:val="000000"/>
          <w:kern w:val="0"/>
          <w14:ligatures w14:val="none"/>
        </w:rPr>
        <w:t>Elevating participant and community voice through focus groups, interviews, and other feedback mechanisms.</w:t>
      </w:r>
    </w:p>
    <w:p w14:paraId="12E20810" w14:textId="3155CC21" w:rsidR="00E65FAE" w:rsidRDefault="00E65FAE" w:rsidP="002406C3">
      <w:pPr>
        <w:rPr>
          <w:rFonts w:ascii="Calibri" w:eastAsia="Calibri" w:hAnsi="Calibri" w:cs="Calibri"/>
          <w:color w:val="000000"/>
          <w:kern w:val="0"/>
          <w:sz w:val="24"/>
          <w:szCs w:val="24"/>
          <w14:ligatures w14:val="none"/>
        </w:rPr>
      </w:pPr>
      <w:r w:rsidRPr="00E65FAE">
        <w:rPr>
          <w:rFonts w:ascii="Calibri" w:eastAsia="Calibri" w:hAnsi="Calibri" w:cs="Calibri"/>
          <w:color w:val="000000"/>
          <w:kern w:val="0"/>
          <w:sz w:val="24"/>
          <w:szCs w:val="24"/>
          <w14:ligatures w14:val="none"/>
        </w:rPr>
        <w:t>To promote alignment and shared learning across state-funded workforce programs, the TADE provider will convene a COP among technical assistance providers supporting:</w:t>
      </w:r>
    </w:p>
    <w:p w14:paraId="586A7736" w14:textId="54EDE2F9" w:rsidR="00E65FAE" w:rsidRPr="00E65FAE" w:rsidRDefault="00E65FAE" w:rsidP="00086CF0">
      <w:pPr>
        <w:pStyle w:val="ListParagraph"/>
        <w:numPr>
          <w:ilvl w:val="0"/>
          <w:numId w:val="28"/>
        </w:numPr>
        <w:rPr>
          <w:rFonts w:eastAsia="Calibri"/>
          <w:color w:val="000000"/>
          <w:kern w:val="0"/>
          <w14:ligatures w14:val="none"/>
        </w:rPr>
      </w:pPr>
      <w:r w:rsidRPr="00E65FAE">
        <w:rPr>
          <w:rFonts w:eastAsia="Calibri"/>
          <w:color w:val="000000"/>
          <w:kern w:val="0"/>
          <w14:ligatures w14:val="none"/>
        </w:rPr>
        <w:t>DOGWF, ELL, FAP, ESE, OYACPP, and the DOR AJCC Collaboration Project</w:t>
      </w:r>
      <w:r>
        <w:rPr>
          <w:rFonts w:eastAsia="Calibri"/>
          <w:color w:val="000000"/>
          <w:kern w:val="0"/>
          <w14:ligatures w14:val="none"/>
        </w:rPr>
        <w:t>.</w:t>
      </w:r>
    </w:p>
    <w:p w14:paraId="2D63E148" w14:textId="066BD5AA" w:rsidR="00E65FAE" w:rsidRDefault="00E65FAE" w:rsidP="002406C3">
      <w:pPr>
        <w:rPr>
          <w:rFonts w:ascii="Calibri" w:eastAsia="Calibri" w:hAnsi="Calibri" w:cs="Calibri"/>
          <w:color w:val="000000"/>
          <w:kern w:val="0"/>
          <w:sz w:val="24"/>
          <w:szCs w:val="24"/>
          <w14:ligatures w14:val="none"/>
        </w:rPr>
      </w:pPr>
      <w:r w:rsidRPr="00E65FAE">
        <w:rPr>
          <w:rFonts w:ascii="Calibri" w:eastAsia="Calibri" w:hAnsi="Calibri" w:cs="Calibri"/>
          <w:color w:val="000000"/>
          <w:kern w:val="0"/>
          <w:sz w:val="24"/>
          <w:szCs w:val="24"/>
          <w14:ligatures w14:val="none"/>
        </w:rPr>
        <w:t>The COP will serve as a platform for:</w:t>
      </w:r>
    </w:p>
    <w:p w14:paraId="4BFD2178" w14:textId="4157809D" w:rsidR="00E65FAE" w:rsidRPr="00E65FAE" w:rsidRDefault="00E65FAE" w:rsidP="00086CF0">
      <w:pPr>
        <w:pStyle w:val="ListParagraph"/>
        <w:numPr>
          <w:ilvl w:val="0"/>
          <w:numId w:val="28"/>
        </w:numPr>
        <w:rPr>
          <w:rFonts w:eastAsia="Calibri"/>
          <w:color w:val="000000"/>
          <w:kern w:val="0"/>
          <w14:ligatures w14:val="none"/>
        </w:rPr>
      </w:pPr>
      <w:r w:rsidRPr="00E65FAE">
        <w:rPr>
          <w:rFonts w:eastAsia="Calibri"/>
          <w:color w:val="000000"/>
          <w:kern w:val="0"/>
          <w14:ligatures w14:val="none"/>
        </w:rPr>
        <w:lastRenderedPageBreak/>
        <w:t>Sharing promising practices and tools</w:t>
      </w:r>
      <w:r>
        <w:rPr>
          <w:rFonts w:eastAsia="Calibri"/>
          <w:color w:val="000000"/>
          <w:kern w:val="0"/>
          <w14:ligatures w14:val="none"/>
        </w:rPr>
        <w:t>.</w:t>
      </w:r>
    </w:p>
    <w:p w14:paraId="48F9CC07" w14:textId="2EE27962" w:rsidR="00E65FAE" w:rsidRPr="00E65FAE" w:rsidRDefault="00E65FAE" w:rsidP="00086CF0">
      <w:pPr>
        <w:pStyle w:val="ListParagraph"/>
        <w:numPr>
          <w:ilvl w:val="0"/>
          <w:numId w:val="28"/>
        </w:numPr>
        <w:rPr>
          <w:rFonts w:eastAsia="Calibri"/>
          <w:color w:val="000000"/>
          <w:kern w:val="0"/>
          <w14:ligatures w14:val="none"/>
        </w:rPr>
      </w:pPr>
      <w:r w:rsidRPr="00E65FAE">
        <w:rPr>
          <w:rFonts w:eastAsia="Calibri"/>
          <w:color w:val="000000"/>
          <w:kern w:val="0"/>
          <w14:ligatures w14:val="none"/>
        </w:rPr>
        <w:t>Addressing common challenges through collaborative problem-solving</w:t>
      </w:r>
      <w:r>
        <w:rPr>
          <w:rFonts w:eastAsia="Calibri"/>
          <w:color w:val="000000"/>
          <w:kern w:val="0"/>
          <w14:ligatures w14:val="none"/>
        </w:rPr>
        <w:t>.</w:t>
      </w:r>
    </w:p>
    <w:p w14:paraId="3214F904" w14:textId="24F38FDB" w:rsidR="00E65FAE" w:rsidRPr="00E65FAE" w:rsidRDefault="00E65FAE" w:rsidP="00086CF0">
      <w:pPr>
        <w:pStyle w:val="ListParagraph"/>
        <w:numPr>
          <w:ilvl w:val="0"/>
          <w:numId w:val="28"/>
        </w:numPr>
        <w:rPr>
          <w:rFonts w:eastAsia="Calibri"/>
          <w:color w:val="000000"/>
          <w:kern w:val="0"/>
          <w14:ligatures w14:val="none"/>
        </w:rPr>
      </w:pPr>
      <w:r w:rsidRPr="00E65FAE">
        <w:rPr>
          <w:rFonts w:eastAsia="Calibri"/>
          <w:color w:val="000000"/>
          <w:kern w:val="0"/>
          <w14:ligatures w14:val="none"/>
        </w:rPr>
        <w:t>Developing shared resources and strategies</w:t>
      </w:r>
      <w:r>
        <w:rPr>
          <w:rFonts w:eastAsia="Calibri"/>
          <w:color w:val="000000"/>
          <w:kern w:val="0"/>
          <w14:ligatures w14:val="none"/>
        </w:rPr>
        <w:t>.</w:t>
      </w:r>
    </w:p>
    <w:p w14:paraId="3459A7CC" w14:textId="607C1C7B" w:rsidR="00E65FAE" w:rsidRPr="00E65FAE" w:rsidRDefault="00E65FAE" w:rsidP="00086CF0">
      <w:pPr>
        <w:pStyle w:val="ListParagraph"/>
        <w:numPr>
          <w:ilvl w:val="0"/>
          <w:numId w:val="28"/>
        </w:numPr>
        <w:rPr>
          <w:rFonts w:eastAsia="Calibri"/>
          <w:color w:val="000000"/>
          <w:kern w:val="0"/>
          <w14:ligatures w14:val="none"/>
        </w:rPr>
      </w:pPr>
      <w:r w:rsidRPr="00E65FAE">
        <w:rPr>
          <w:rFonts w:eastAsia="Calibri"/>
          <w:color w:val="000000"/>
          <w:kern w:val="0"/>
          <w14:ligatures w14:val="none"/>
        </w:rPr>
        <w:t xml:space="preserve">Synthesizing insights to inform future technical assistance and policy </w:t>
      </w:r>
      <w:r w:rsidR="00E1300F" w:rsidRPr="00E65FAE">
        <w:rPr>
          <w:rFonts w:eastAsia="Calibri"/>
          <w:color w:val="000000"/>
          <w:kern w:val="0"/>
          <w14:ligatures w14:val="none"/>
        </w:rPr>
        <w:t>development</w:t>
      </w:r>
      <w:r w:rsidR="00E1300F">
        <w:rPr>
          <w:rFonts w:eastAsia="Calibri"/>
          <w:color w:val="000000"/>
          <w:kern w:val="0"/>
          <w14:ligatures w14:val="none"/>
        </w:rPr>
        <w:t xml:space="preserve"> and</w:t>
      </w:r>
      <w:r w:rsidR="000D76F2">
        <w:rPr>
          <w:rFonts w:eastAsia="Calibri"/>
          <w:color w:val="000000"/>
          <w:kern w:val="0"/>
          <w14:ligatures w14:val="none"/>
        </w:rPr>
        <w:t xml:space="preserve"> share lessons learned with the broader workforce system</w:t>
      </w:r>
      <w:r>
        <w:rPr>
          <w:rFonts w:eastAsia="Calibri"/>
          <w:color w:val="000000"/>
          <w:kern w:val="0"/>
          <w14:ligatures w14:val="none"/>
        </w:rPr>
        <w:t>.</w:t>
      </w:r>
    </w:p>
    <w:p w14:paraId="51CA2310" w14:textId="4E0D59D1" w:rsidR="00E65FAE" w:rsidRDefault="00E65FAE" w:rsidP="002406C3">
      <w:pPr>
        <w:rPr>
          <w:rFonts w:ascii="Calibri" w:eastAsia="Calibri" w:hAnsi="Calibri" w:cs="Calibri"/>
          <w:color w:val="000000"/>
          <w:kern w:val="0"/>
          <w:sz w:val="24"/>
          <w:szCs w:val="24"/>
          <w14:ligatures w14:val="none"/>
        </w:rPr>
      </w:pPr>
      <w:r w:rsidRPr="00E65FAE">
        <w:rPr>
          <w:rFonts w:ascii="Calibri" w:eastAsia="Calibri" w:hAnsi="Calibri" w:cs="Calibri"/>
          <w:color w:val="000000"/>
          <w:kern w:val="0"/>
          <w:sz w:val="24"/>
          <w:szCs w:val="24"/>
          <w14:ligatures w14:val="none"/>
        </w:rPr>
        <w:t xml:space="preserve">The project design emphasizes ongoing communication and feedback loops between the TADE provider, </w:t>
      </w:r>
      <w:r w:rsidR="00E973B3">
        <w:rPr>
          <w:rFonts w:ascii="Calibri" w:eastAsia="Calibri" w:hAnsi="Calibri" w:cs="Calibri"/>
          <w:color w:val="000000"/>
          <w:kern w:val="0"/>
          <w:sz w:val="24"/>
          <w:szCs w:val="24"/>
          <w14:ligatures w14:val="none"/>
        </w:rPr>
        <w:t xml:space="preserve">PY 25-26 </w:t>
      </w:r>
      <w:r>
        <w:rPr>
          <w:rFonts w:ascii="Calibri" w:eastAsia="Calibri" w:hAnsi="Calibri" w:cs="Calibri"/>
          <w:color w:val="000000"/>
          <w:kern w:val="0"/>
          <w:sz w:val="24"/>
          <w:szCs w:val="24"/>
          <w14:ligatures w14:val="none"/>
        </w:rPr>
        <w:t xml:space="preserve">ETPP </w:t>
      </w:r>
      <w:r w:rsidRPr="00E65FAE">
        <w:rPr>
          <w:rFonts w:ascii="Calibri" w:eastAsia="Calibri" w:hAnsi="Calibri" w:cs="Calibri"/>
          <w:color w:val="000000"/>
          <w:kern w:val="0"/>
          <w:sz w:val="24"/>
          <w:szCs w:val="24"/>
          <w14:ligatures w14:val="none"/>
        </w:rPr>
        <w:t>grantees, and state partners. This includes:</w:t>
      </w:r>
    </w:p>
    <w:p w14:paraId="27CE5DE6" w14:textId="1B117911" w:rsidR="00E65FAE" w:rsidRPr="00E65FAE" w:rsidRDefault="00E65FAE" w:rsidP="00086CF0">
      <w:pPr>
        <w:pStyle w:val="ListParagraph"/>
        <w:numPr>
          <w:ilvl w:val="0"/>
          <w:numId w:val="29"/>
        </w:numPr>
        <w:rPr>
          <w:rFonts w:eastAsia="Calibri"/>
          <w:color w:val="000000"/>
          <w:kern w:val="0"/>
          <w14:ligatures w14:val="none"/>
        </w:rPr>
      </w:pPr>
      <w:r w:rsidRPr="00E65FAE">
        <w:rPr>
          <w:rFonts w:eastAsia="Calibri"/>
          <w:color w:val="000000"/>
          <w:kern w:val="0"/>
          <w14:ligatures w14:val="none"/>
        </w:rPr>
        <w:t>Regular check-ins and learning sessions with grantees</w:t>
      </w:r>
      <w:r>
        <w:rPr>
          <w:rFonts w:eastAsia="Calibri"/>
          <w:color w:val="000000"/>
          <w:kern w:val="0"/>
          <w14:ligatures w14:val="none"/>
        </w:rPr>
        <w:t>.</w:t>
      </w:r>
    </w:p>
    <w:p w14:paraId="32F503FE" w14:textId="2730ED6F" w:rsidR="00E65FAE" w:rsidRPr="00E65FAE" w:rsidRDefault="00E65FAE" w:rsidP="00086CF0">
      <w:pPr>
        <w:pStyle w:val="ListParagraph"/>
        <w:numPr>
          <w:ilvl w:val="0"/>
          <w:numId w:val="29"/>
        </w:numPr>
        <w:rPr>
          <w:rFonts w:eastAsia="Calibri"/>
          <w:color w:val="000000"/>
          <w:kern w:val="0"/>
          <w14:ligatures w14:val="none"/>
        </w:rPr>
      </w:pPr>
      <w:r w:rsidRPr="00E65FAE">
        <w:rPr>
          <w:rFonts w:eastAsia="Calibri"/>
          <w:color w:val="000000"/>
          <w:kern w:val="0"/>
          <w14:ligatures w14:val="none"/>
        </w:rPr>
        <w:t>Periodic synthesis of evaluation findings and TA insights</w:t>
      </w:r>
      <w:r>
        <w:rPr>
          <w:rFonts w:eastAsia="Calibri"/>
          <w:color w:val="000000"/>
          <w:kern w:val="0"/>
          <w14:ligatures w14:val="none"/>
        </w:rPr>
        <w:t>.</w:t>
      </w:r>
    </w:p>
    <w:p w14:paraId="3925DA8A" w14:textId="3A74A028" w:rsidR="00907169" w:rsidRPr="00E65FAE" w:rsidRDefault="00E65FAE" w:rsidP="00086CF0">
      <w:pPr>
        <w:pStyle w:val="ListParagraph"/>
        <w:numPr>
          <w:ilvl w:val="0"/>
          <w:numId w:val="29"/>
        </w:numPr>
        <w:rPr>
          <w:rFonts w:eastAsia="Calibri"/>
          <w:color w:val="000000"/>
          <w:kern w:val="0"/>
          <w14:ligatures w14:val="none"/>
        </w:rPr>
      </w:pPr>
      <w:r w:rsidRPr="00E65FAE">
        <w:rPr>
          <w:rFonts w:eastAsia="Calibri"/>
          <w:color w:val="000000"/>
          <w:kern w:val="0"/>
          <w14:ligatures w14:val="none"/>
        </w:rPr>
        <w:t>Development of learning products (e.g., briefs, case studies, toolkits) to support knowledge sharing and continuous improvement</w:t>
      </w:r>
      <w:r>
        <w:rPr>
          <w:rFonts w:eastAsia="Calibri"/>
          <w:color w:val="000000"/>
          <w:kern w:val="0"/>
          <w14:ligatures w14:val="none"/>
        </w:rPr>
        <w:t>.</w:t>
      </w:r>
      <w:r w:rsidR="00141020" w:rsidRPr="00E65FAE">
        <w:rPr>
          <w:rFonts w:eastAsia="Calibri"/>
          <w:color w:val="000000"/>
          <w:kern w:val="0"/>
          <w14:ligatures w14:val="none"/>
        </w:rPr>
        <w:t xml:space="preserve"> </w:t>
      </w:r>
    </w:p>
    <w:p w14:paraId="15A13A2E" w14:textId="6722C74D" w:rsidR="008544AA" w:rsidRPr="00DC1DE3" w:rsidRDefault="008544AA" w:rsidP="002406C3">
      <w:pPr>
        <w:pStyle w:val="Heading3"/>
        <w:spacing w:before="240"/>
      </w:pPr>
      <w:r w:rsidRPr="00831C2A">
        <w:t>Project</w:t>
      </w:r>
      <w:r w:rsidRPr="00DC1DE3">
        <w:t xml:space="preserve"> Goals and Objectives</w:t>
      </w:r>
      <w:bookmarkEnd w:id="28"/>
      <w:bookmarkEnd w:id="29"/>
    </w:p>
    <w:p w14:paraId="54D77B6B" w14:textId="1F8EAB7D" w:rsidR="00EE62DF" w:rsidRDefault="00BF4DDB" w:rsidP="008E506B">
      <w:pPr>
        <w:pStyle w:val="BodyText"/>
        <w:rPr>
          <w:lang w:val="en-US"/>
        </w:rPr>
      </w:pPr>
      <w:r w:rsidRPr="006B3DA7">
        <w:rPr>
          <w:b/>
          <w:bCs/>
          <w:sz w:val="28"/>
          <w:szCs w:val="28"/>
          <w:lang w:val="en-US"/>
        </w:rPr>
        <w:t>Goal 1</w:t>
      </w:r>
      <w:r w:rsidRPr="006B3DA7">
        <w:rPr>
          <w:sz w:val="28"/>
          <w:szCs w:val="28"/>
          <w:lang w:val="en-US"/>
        </w:rPr>
        <w:t>:</w:t>
      </w:r>
      <w:r w:rsidRPr="00BF4DDB">
        <w:rPr>
          <w:lang w:val="en-US"/>
        </w:rPr>
        <w:t xml:space="preserve"> Support continuous learning and improvement among </w:t>
      </w:r>
      <w:r>
        <w:rPr>
          <w:lang w:val="en-US"/>
        </w:rPr>
        <w:t xml:space="preserve">PY 25-26 </w:t>
      </w:r>
      <w:r w:rsidRPr="00BF4DDB">
        <w:rPr>
          <w:lang w:val="en-US"/>
        </w:rPr>
        <w:t>ETPP grantees through technical assistance</w:t>
      </w:r>
      <w:r w:rsidR="00A62F12">
        <w:rPr>
          <w:lang w:val="en-US"/>
        </w:rPr>
        <w:t xml:space="preserve"> and developmental evaluation</w:t>
      </w:r>
      <w:r w:rsidRPr="00BF4DDB">
        <w:rPr>
          <w:lang w:val="en-US"/>
        </w:rPr>
        <w:t>.</w:t>
      </w:r>
    </w:p>
    <w:p w14:paraId="0A308E5F" w14:textId="6DEDA4CA" w:rsidR="00BF4DDB" w:rsidRPr="006B3DA7" w:rsidRDefault="00BF4DDB" w:rsidP="008E506B">
      <w:pPr>
        <w:pStyle w:val="BodyText"/>
        <w:rPr>
          <w:b/>
          <w:bCs/>
          <w:sz w:val="28"/>
          <w:szCs w:val="28"/>
          <w:lang w:val="en-US"/>
        </w:rPr>
      </w:pPr>
      <w:r w:rsidRPr="006B3DA7">
        <w:rPr>
          <w:b/>
          <w:bCs/>
          <w:sz w:val="28"/>
          <w:szCs w:val="28"/>
          <w:lang w:val="en-US"/>
        </w:rPr>
        <w:t>Objectives:</w:t>
      </w:r>
    </w:p>
    <w:p w14:paraId="4F4ECD97" w14:textId="44F311FB" w:rsidR="00BF4DDB" w:rsidRPr="00BF4DDB" w:rsidRDefault="00BF4DDB" w:rsidP="00086CF0">
      <w:pPr>
        <w:pStyle w:val="BodyText"/>
        <w:numPr>
          <w:ilvl w:val="0"/>
          <w:numId w:val="30"/>
        </w:numPr>
        <w:rPr>
          <w:lang w:val="en-US"/>
        </w:rPr>
      </w:pPr>
      <w:r w:rsidRPr="00BF4DDB">
        <w:rPr>
          <w:lang w:val="en-US"/>
        </w:rPr>
        <w:t>Co-design and implement a developmental evaluation framework with ETPP grantees that supports real-time learning and adaptation.</w:t>
      </w:r>
    </w:p>
    <w:p w14:paraId="1D31F4F9" w14:textId="77777777" w:rsidR="00BF4DDB" w:rsidRPr="00BF4DDB" w:rsidRDefault="00BF4DDB" w:rsidP="00BF4DDB">
      <w:pPr>
        <w:pStyle w:val="BodyText"/>
        <w:ind w:left="720"/>
        <w:rPr>
          <w:lang w:val="en-US"/>
        </w:rPr>
      </w:pPr>
      <w:r w:rsidRPr="00BF4DDB">
        <w:rPr>
          <w:lang w:val="en-US"/>
        </w:rPr>
        <w:t>Example activities: Facilitate kickoff workshops to identify shared learning goals; develop evaluation plans collaboratively with grantees.</w:t>
      </w:r>
    </w:p>
    <w:p w14:paraId="208FA324" w14:textId="34E593B6" w:rsidR="00BF4DDB" w:rsidRPr="00BF4DDB" w:rsidRDefault="00BF4DDB" w:rsidP="00086CF0">
      <w:pPr>
        <w:pStyle w:val="BodyText"/>
        <w:numPr>
          <w:ilvl w:val="0"/>
          <w:numId w:val="30"/>
        </w:numPr>
        <w:rPr>
          <w:lang w:val="en-US"/>
        </w:rPr>
      </w:pPr>
      <w:r w:rsidRPr="00BF4DDB">
        <w:rPr>
          <w:lang w:val="en-US"/>
        </w:rPr>
        <w:t>Provide tailored technical assistance to help grantees use data to refine strategies, address implementation challenges, and improve participant outcomes.</w:t>
      </w:r>
    </w:p>
    <w:p w14:paraId="417255C6" w14:textId="77777777" w:rsidR="00BF4DDB" w:rsidRPr="00BF4DDB" w:rsidRDefault="00BF4DDB" w:rsidP="00BF4DDB">
      <w:pPr>
        <w:pStyle w:val="BodyText"/>
        <w:ind w:left="720"/>
        <w:rPr>
          <w:lang w:val="en-US"/>
        </w:rPr>
      </w:pPr>
      <w:r w:rsidRPr="00BF4DDB">
        <w:rPr>
          <w:lang w:val="en-US"/>
        </w:rPr>
        <w:t>Example activities: Arrange training sessions on emergent topics (e.g., participant engagement, trauma-informed practices); offer one-on-one coaching; support grantees in interpreting and applying evaluation findings.</w:t>
      </w:r>
    </w:p>
    <w:p w14:paraId="5A516186" w14:textId="0BE41049" w:rsidR="00BF4DDB" w:rsidRPr="00BF4DDB" w:rsidRDefault="00BF4DDB" w:rsidP="00086CF0">
      <w:pPr>
        <w:pStyle w:val="BodyText"/>
        <w:numPr>
          <w:ilvl w:val="0"/>
          <w:numId w:val="30"/>
        </w:numPr>
        <w:rPr>
          <w:lang w:val="en-US"/>
        </w:rPr>
      </w:pPr>
      <w:r w:rsidRPr="00BF4DDB">
        <w:rPr>
          <w:lang w:val="en-US"/>
        </w:rPr>
        <w:t xml:space="preserve">Promote inclusive and participant-centered evaluation </w:t>
      </w:r>
      <w:r w:rsidR="00E1300F" w:rsidRPr="00BF4DDB">
        <w:rPr>
          <w:lang w:val="en-US"/>
        </w:rPr>
        <w:t>practices</w:t>
      </w:r>
      <w:r w:rsidRPr="00BF4DDB">
        <w:rPr>
          <w:lang w:val="en-US"/>
        </w:rPr>
        <w:t xml:space="preserve"> </w:t>
      </w:r>
      <w:r w:rsidR="00E1300F">
        <w:rPr>
          <w:lang w:val="en-US"/>
        </w:rPr>
        <w:t xml:space="preserve">that </w:t>
      </w:r>
      <w:r w:rsidRPr="00BF4DDB">
        <w:rPr>
          <w:lang w:val="en-US"/>
        </w:rPr>
        <w:t>reflect the diverse contexts and needs of grantees and the populations they serve.</w:t>
      </w:r>
    </w:p>
    <w:p w14:paraId="7F172E4A" w14:textId="77777777" w:rsidR="00BF4DDB" w:rsidRPr="00BF4DDB" w:rsidRDefault="00BF4DDB" w:rsidP="00BF4DDB">
      <w:pPr>
        <w:pStyle w:val="BodyText"/>
        <w:ind w:left="720"/>
        <w:rPr>
          <w:lang w:val="en-US"/>
        </w:rPr>
      </w:pPr>
      <w:r w:rsidRPr="00BF4DDB">
        <w:rPr>
          <w:lang w:val="en-US"/>
        </w:rPr>
        <w:t>Example activities: Conduct participant focus groups or listening sessions to elevate community voice; integrate culturally responsive evaluation tools.</w:t>
      </w:r>
    </w:p>
    <w:p w14:paraId="3757BA34" w14:textId="20D5AD43" w:rsidR="00BF4DDB" w:rsidRPr="00BF4DDB" w:rsidRDefault="00BF4DDB" w:rsidP="00086CF0">
      <w:pPr>
        <w:pStyle w:val="BodyText"/>
        <w:numPr>
          <w:ilvl w:val="0"/>
          <w:numId w:val="30"/>
        </w:numPr>
        <w:rPr>
          <w:lang w:val="en-US"/>
        </w:rPr>
      </w:pPr>
      <w:r w:rsidRPr="00BF4DDB">
        <w:rPr>
          <w:lang w:val="en-US"/>
        </w:rPr>
        <w:t>Enhance data capacity and infrastructure to support evidence-informed decision-making.</w:t>
      </w:r>
    </w:p>
    <w:p w14:paraId="41427F55" w14:textId="26BB491A" w:rsidR="008544AA" w:rsidRDefault="00BF4DDB" w:rsidP="00BF4DDB">
      <w:pPr>
        <w:pStyle w:val="BodyText"/>
        <w:ind w:left="720"/>
        <w:rPr>
          <w:lang w:val="en-US"/>
        </w:rPr>
      </w:pPr>
      <w:r w:rsidRPr="00BF4DDB">
        <w:rPr>
          <w:lang w:val="en-US"/>
        </w:rPr>
        <w:lastRenderedPageBreak/>
        <w:t>Example activities: Collaborate with grantees and state partners to develop user-friendly data tools (e.g., dashboards using CalJOBS</w:t>
      </w:r>
      <w:r w:rsidR="00D803F4" w:rsidRPr="00D803F4">
        <w:rPr>
          <w:vertAlign w:val="superscript"/>
          <w:lang w:val="en-US"/>
        </w:rPr>
        <w:t>SM</w:t>
      </w:r>
      <w:r w:rsidRPr="00BF4DDB">
        <w:rPr>
          <w:lang w:val="en-US"/>
        </w:rPr>
        <w:t xml:space="preserve"> or other systems); provide training on data collection, analysis, and visualization.</w:t>
      </w:r>
    </w:p>
    <w:p w14:paraId="7945D63C" w14:textId="7D29BD40" w:rsidR="00BF4DDB" w:rsidRDefault="00BF4DDB" w:rsidP="00BF4DDB">
      <w:pPr>
        <w:pStyle w:val="BodyText"/>
        <w:rPr>
          <w:lang w:val="en-US"/>
        </w:rPr>
      </w:pPr>
      <w:r w:rsidRPr="006B3DA7">
        <w:rPr>
          <w:b/>
          <w:bCs/>
          <w:sz w:val="28"/>
          <w:szCs w:val="28"/>
          <w:lang w:val="en-US"/>
        </w:rPr>
        <w:t>Goal 2</w:t>
      </w:r>
      <w:r w:rsidRPr="00BF4DDB">
        <w:rPr>
          <w:b/>
          <w:bCs/>
          <w:lang w:val="en-US"/>
        </w:rPr>
        <w:t>:</w:t>
      </w:r>
      <w:r w:rsidRPr="00BF4DDB">
        <w:rPr>
          <w:lang w:val="en-US"/>
        </w:rPr>
        <w:t xml:space="preserve"> Foster collaboration, alignment, and shared learning across state-funded workforce programs through a COP.</w:t>
      </w:r>
    </w:p>
    <w:p w14:paraId="1727A7C3" w14:textId="42BEEC31" w:rsidR="00BF4DDB" w:rsidRPr="00BF4DDB" w:rsidRDefault="00BF4DDB" w:rsidP="00BF4DDB">
      <w:pPr>
        <w:pStyle w:val="BodyText"/>
        <w:rPr>
          <w:b/>
          <w:bCs/>
          <w:lang w:val="en-US"/>
        </w:rPr>
      </w:pPr>
      <w:r w:rsidRPr="006B3DA7">
        <w:rPr>
          <w:b/>
          <w:bCs/>
          <w:sz w:val="28"/>
          <w:szCs w:val="28"/>
          <w:lang w:val="en-US"/>
        </w:rPr>
        <w:t>Objectives</w:t>
      </w:r>
      <w:r w:rsidRPr="00BF4DDB">
        <w:rPr>
          <w:b/>
          <w:bCs/>
          <w:lang w:val="en-US"/>
        </w:rPr>
        <w:t>:</w:t>
      </w:r>
    </w:p>
    <w:p w14:paraId="35EA3B19" w14:textId="0EFA9263" w:rsidR="00BF4DDB" w:rsidRPr="00BF4DDB" w:rsidRDefault="00BF4DDB" w:rsidP="00086CF0">
      <w:pPr>
        <w:pStyle w:val="BodyText"/>
        <w:numPr>
          <w:ilvl w:val="0"/>
          <w:numId w:val="31"/>
        </w:numPr>
        <w:rPr>
          <w:lang w:val="en-US"/>
        </w:rPr>
      </w:pPr>
      <w:r w:rsidRPr="00BF4DDB">
        <w:rPr>
          <w:lang w:val="en-US"/>
        </w:rPr>
        <w:t>Convene and facilitate a COP of TA providers supporting DOGWF, ELL, FAP, ESE, OYACPP, and the DOR AJCC Collaboration Project.</w:t>
      </w:r>
    </w:p>
    <w:p w14:paraId="75EA0CCA" w14:textId="77777777" w:rsidR="00BF4DDB" w:rsidRPr="00BF4DDB" w:rsidRDefault="00BF4DDB" w:rsidP="00BF4DDB">
      <w:pPr>
        <w:pStyle w:val="BodyText"/>
        <w:ind w:left="720"/>
        <w:rPr>
          <w:lang w:val="en-US"/>
        </w:rPr>
      </w:pPr>
      <w:r w:rsidRPr="00BF4DDB">
        <w:rPr>
          <w:lang w:val="en-US"/>
        </w:rPr>
        <w:t>Example activities: Host quarterly virtual convenings; create shared digital workspaces for resource exchange.</w:t>
      </w:r>
    </w:p>
    <w:p w14:paraId="2EF99200" w14:textId="7FF94884" w:rsidR="00BF4DDB" w:rsidRPr="00BF4DDB" w:rsidRDefault="00BF4DDB" w:rsidP="00086CF0">
      <w:pPr>
        <w:pStyle w:val="BodyText"/>
        <w:numPr>
          <w:ilvl w:val="0"/>
          <w:numId w:val="31"/>
        </w:numPr>
        <w:rPr>
          <w:lang w:val="en-US"/>
        </w:rPr>
      </w:pPr>
      <w:r w:rsidRPr="00BF4DDB">
        <w:rPr>
          <w:lang w:val="en-US"/>
        </w:rPr>
        <w:t>Promote cross-program dialogue to identify shared challenges, surface innovative practices, and align technical assistance strategies.</w:t>
      </w:r>
    </w:p>
    <w:p w14:paraId="3762E424" w14:textId="77777777" w:rsidR="00BF4DDB" w:rsidRPr="00BF4DDB" w:rsidRDefault="00BF4DDB" w:rsidP="00BF4DDB">
      <w:pPr>
        <w:pStyle w:val="BodyText"/>
        <w:ind w:left="720"/>
        <w:rPr>
          <w:lang w:val="en-US"/>
        </w:rPr>
      </w:pPr>
      <w:r w:rsidRPr="00BF4DDB">
        <w:rPr>
          <w:lang w:val="en-US"/>
        </w:rPr>
        <w:t>Example activities: Lead thematic discussions on common TA issues (e.g., employer engagement, inclusive and participant-centered metrics); develop joint learning agendas.</w:t>
      </w:r>
    </w:p>
    <w:p w14:paraId="67D70042" w14:textId="07F016EB" w:rsidR="00BF4DDB" w:rsidRPr="00BF4DDB" w:rsidRDefault="00BF4DDB" w:rsidP="00086CF0">
      <w:pPr>
        <w:pStyle w:val="BodyText"/>
        <w:numPr>
          <w:ilvl w:val="0"/>
          <w:numId w:val="31"/>
        </w:numPr>
        <w:rPr>
          <w:lang w:val="en-US"/>
        </w:rPr>
      </w:pPr>
      <w:r w:rsidRPr="00BF4DDB">
        <w:rPr>
          <w:lang w:val="en-US"/>
        </w:rPr>
        <w:t>Document and disseminate insights and recommendations that inform future TA investments and system-level improvements.</w:t>
      </w:r>
    </w:p>
    <w:p w14:paraId="70C3F9FE" w14:textId="1692D62F" w:rsidR="00205B44" w:rsidRPr="00D34E61" w:rsidRDefault="00BF4DDB" w:rsidP="00D34E61">
      <w:pPr>
        <w:pStyle w:val="BodyText"/>
        <w:ind w:left="720"/>
        <w:rPr>
          <w:lang w:val="en-US"/>
        </w:rPr>
      </w:pPr>
      <w:r w:rsidRPr="00BF4DDB">
        <w:rPr>
          <w:lang w:val="en-US"/>
        </w:rPr>
        <w:t>Example activities: Produce briefs, case studies, or toolkits based on COP discussions and grantee experiences.</w:t>
      </w:r>
    </w:p>
    <w:p w14:paraId="49EE92E7" w14:textId="1590D83B" w:rsidR="00361ADE" w:rsidRDefault="00361ADE" w:rsidP="00361ADE">
      <w:pPr>
        <w:pStyle w:val="BodyText"/>
        <w:rPr>
          <w:lang w:val="en-US"/>
        </w:rPr>
      </w:pPr>
      <w:r w:rsidRPr="00361ADE">
        <w:rPr>
          <w:b/>
          <w:bCs/>
          <w:lang w:val="en-US"/>
        </w:rPr>
        <w:t>Measures of Success</w:t>
      </w:r>
      <w:r w:rsidRPr="00361ADE">
        <w:rPr>
          <w:lang w:val="en-US"/>
        </w:rPr>
        <w:t xml:space="preserve"> (Reflecting Developmental Evaluation Approach)</w:t>
      </w:r>
    </w:p>
    <w:p w14:paraId="7A21E9F7" w14:textId="100E5843" w:rsidR="00361ADE" w:rsidRPr="00361ADE" w:rsidRDefault="00361ADE" w:rsidP="00086CF0">
      <w:pPr>
        <w:pStyle w:val="BodyText"/>
        <w:numPr>
          <w:ilvl w:val="0"/>
          <w:numId w:val="31"/>
        </w:numPr>
        <w:rPr>
          <w:lang w:val="en-US"/>
        </w:rPr>
      </w:pPr>
      <w:r w:rsidRPr="00361ADE">
        <w:rPr>
          <w:lang w:val="en-US"/>
        </w:rPr>
        <w:t>ETPP grantees demonstrate increased capacity to use data for decision-making, adapt program strategies, and improve outcomes over time.</w:t>
      </w:r>
    </w:p>
    <w:p w14:paraId="02199C46" w14:textId="252EB342" w:rsidR="00361ADE" w:rsidRPr="00361ADE" w:rsidRDefault="00361ADE" w:rsidP="00361ADE">
      <w:pPr>
        <w:pStyle w:val="BodyText"/>
        <w:ind w:left="720"/>
        <w:rPr>
          <w:lang w:val="en-US"/>
        </w:rPr>
      </w:pPr>
      <w:r w:rsidRPr="00361ADE">
        <w:rPr>
          <w:lang w:val="en-US"/>
        </w:rPr>
        <w:t>Evidence may include</w:t>
      </w:r>
      <w:r>
        <w:rPr>
          <w:lang w:val="en-US"/>
        </w:rPr>
        <w:t xml:space="preserve"> the</w:t>
      </w:r>
      <w:r w:rsidRPr="00361ADE">
        <w:rPr>
          <w:lang w:val="en-US"/>
        </w:rPr>
        <w:t xml:space="preserve"> use of dashboards, changes in program design based on evaluation findings, or increased staff confidence in using data.</w:t>
      </w:r>
    </w:p>
    <w:p w14:paraId="2B8CE081" w14:textId="3034C84B" w:rsidR="00361ADE" w:rsidRPr="00361ADE" w:rsidRDefault="00361ADE" w:rsidP="00086CF0">
      <w:pPr>
        <w:pStyle w:val="BodyText"/>
        <w:numPr>
          <w:ilvl w:val="0"/>
          <w:numId w:val="31"/>
        </w:numPr>
        <w:rPr>
          <w:lang w:val="en-US"/>
        </w:rPr>
      </w:pPr>
      <w:r w:rsidRPr="00361ADE">
        <w:rPr>
          <w:lang w:val="en-US"/>
        </w:rPr>
        <w:t>Evaluation findings are used iteratively to inform program adjustments and policy recommendations.</w:t>
      </w:r>
    </w:p>
    <w:p w14:paraId="568D7BBF" w14:textId="7AFDB51F" w:rsidR="00361ADE" w:rsidRPr="00361ADE" w:rsidRDefault="00361ADE" w:rsidP="00361ADE">
      <w:pPr>
        <w:pStyle w:val="BodyText"/>
        <w:ind w:left="720"/>
        <w:rPr>
          <w:lang w:val="en-US"/>
        </w:rPr>
      </w:pPr>
      <w:r w:rsidRPr="00361ADE">
        <w:rPr>
          <w:lang w:val="en-US"/>
        </w:rPr>
        <w:t>Evidence may include mid-year learning memos, real-time feedback loops, or revised implementation plans.</w:t>
      </w:r>
    </w:p>
    <w:p w14:paraId="0CD138CA" w14:textId="76845A3F" w:rsidR="00361ADE" w:rsidRPr="00361ADE" w:rsidRDefault="00361ADE" w:rsidP="00086CF0">
      <w:pPr>
        <w:pStyle w:val="BodyText"/>
        <w:numPr>
          <w:ilvl w:val="0"/>
          <w:numId w:val="31"/>
        </w:numPr>
        <w:rPr>
          <w:lang w:val="en-US"/>
        </w:rPr>
      </w:pPr>
      <w:r w:rsidRPr="00361ADE">
        <w:rPr>
          <w:lang w:val="en-US"/>
        </w:rPr>
        <w:t>TA providers report increased collaboration, alignment, and shared learning through the COP.</w:t>
      </w:r>
    </w:p>
    <w:p w14:paraId="517C4E29" w14:textId="721A5920" w:rsidR="00361ADE" w:rsidRPr="00361ADE" w:rsidRDefault="00361ADE" w:rsidP="00361ADE">
      <w:pPr>
        <w:pStyle w:val="BodyText"/>
        <w:ind w:left="720"/>
        <w:rPr>
          <w:lang w:val="en-US"/>
        </w:rPr>
      </w:pPr>
      <w:r w:rsidRPr="00361ADE">
        <w:rPr>
          <w:lang w:val="en-US"/>
        </w:rPr>
        <w:t>Evidence may include joint initiatives, shared tools, or cross-program TA strategies.</w:t>
      </w:r>
    </w:p>
    <w:p w14:paraId="28CF5E40" w14:textId="0CC8DBDB" w:rsidR="00361ADE" w:rsidRPr="00361ADE" w:rsidRDefault="00361ADE" w:rsidP="00086CF0">
      <w:pPr>
        <w:pStyle w:val="BodyText"/>
        <w:numPr>
          <w:ilvl w:val="0"/>
          <w:numId w:val="31"/>
        </w:numPr>
        <w:rPr>
          <w:lang w:val="en-US"/>
        </w:rPr>
      </w:pPr>
      <w:r w:rsidRPr="00361ADE">
        <w:rPr>
          <w:lang w:val="en-US"/>
        </w:rPr>
        <w:lastRenderedPageBreak/>
        <w:t>A set of actionable insights, tools, and promising practices is co-developed and shared across programs to strengthen the broader workforce development system.</w:t>
      </w:r>
    </w:p>
    <w:p w14:paraId="0593824E" w14:textId="77DA0BFF" w:rsidR="00361ADE" w:rsidRPr="00BF4DDB" w:rsidRDefault="00361ADE" w:rsidP="00361ADE">
      <w:pPr>
        <w:pStyle w:val="BodyText"/>
        <w:ind w:left="720"/>
        <w:rPr>
          <w:lang w:val="en-US"/>
        </w:rPr>
      </w:pPr>
      <w:r w:rsidRPr="00361ADE">
        <w:rPr>
          <w:lang w:val="en-US"/>
        </w:rPr>
        <w:t>Evidence may include published toolkits, shared evaluation templates, or policy briefs.</w:t>
      </w:r>
    </w:p>
    <w:p w14:paraId="550CC0E3" w14:textId="5D2D63CD" w:rsidR="008544AA" w:rsidRPr="00DC1DE3" w:rsidRDefault="008544AA" w:rsidP="00291014">
      <w:pPr>
        <w:pStyle w:val="Heading3"/>
      </w:pPr>
      <w:bookmarkStart w:id="30" w:name="_Toc167356417"/>
      <w:bookmarkStart w:id="31" w:name="_Toc167894653"/>
      <w:r w:rsidRPr="00DC1DE3">
        <w:t>Strategies</w:t>
      </w:r>
      <w:bookmarkEnd w:id="30"/>
      <w:bookmarkEnd w:id="31"/>
    </w:p>
    <w:p w14:paraId="6507AED4" w14:textId="4CFE20E6" w:rsidR="002614F4" w:rsidRDefault="002614F4" w:rsidP="00F470F1">
      <w:pPr>
        <w:pStyle w:val="BodyText"/>
        <w:rPr>
          <w:lang w:val="en-US"/>
        </w:rPr>
      </w:pPr>
      <w:r w:rsidRPr="002614F4">
        <w:rPr>
          <w:lang w:val="en-US"/>
        </w:rPr>
        <w:t xml:space="preserve">The </w:t>
      </w:r>
      <w:r w:rsidR="006F1BDB">
        <w:rPr>
          <w:lang w:val="en-US"/>
        </w:rPr>
        <w:t>s</w:t>
      </w:r>
      <w:r w:rsidR="009571DC">
        <w:rPr>
          <w:lang w:val="en-US"/>
        </w:rPr>
        <w:t>trategies outlined in this initiative are designed to support continuous learning, inclusive practice, and systems-level collaboration among ETPP grantees. While the primary focus is on strengthening program effectiveness and responsiveness to participant needs, these strategies are also consistent with and complementary to the broader goals of the CMPCE—particularly its emphasis on economic mobility, regional coordination, and participant-centered design. Through developmental evaluation, tailored technical assistance, and cross-program learning, the TADE provider will help</w:t>
      </w:r>
      <w:r w:rsidR="00F721E4">
        <w:rPr>
          <w:lang w:val="en-US"/>
        </w:rPr>
        <w:t xml:space="preserve"> ETPP</w:t>
      </w:r>
      <w:r w:rsidR="009571DC">
        <w:rPr>
          <w:lang w:val="en-US"/>
        </w:rPr>
        <w:t xml:space="preserve"> grantees refine their approaches and contribute to a more aligned and resilient workforce development ecosystem.</w:t>
      </w:r>
    </w:p>
    <w:p w14:paraId="7ACC4C51" w14:textId="74EB8FB7" w:rsidR="002614F4" w:rsidRPr="00F56A70" w:rsidRDefault="002614F4" w:rsidP="00F470F1">
      <w:pPr>
        <w:pStyle w:val="BodyText"/>
        <w:rPr>
          <w:b/>
          <w:bCs/>
          <w:sz w:val="28"/>
          <w:szCs w:val="28"/>
          <w:lang w:val="en-US"/>
        </w:rPr>
      </w:pPr>
      <w:r w:rsidRPr="00F56A70">
        <w:rPr>
          <w:b/>
          <w:bCs/>
          <w:sz w:val="28"/>
          <w:szCs w:val="28"/>
          <w:lang w:val="en-US"/>
        </w:rPr>
        <w:t>Strategy 1: Implement Developmental Evaluation for</w:t>
      </w:r>
      <w:r w:rsidR="00F56A70">
        <w:rPr>
          <w:b/>
          <w:bCs/>
          <w:sz w:val="28"/>
          <w:szCs w:val="28"/>
          <w:lang w:val="en-US"/>
        </w:rPr>
        <w:t xml:space="preserve"> PY 25-26</w:t>
      </w:r>
      <w:r w:rsidRPr="00F56A70">
        <w:rPr>
          <w:b/>
          <w:bCs/>
          <w:sz w:val="28"/>
          <w:szCs w:val="28"/>
          <w:lang w:val="en-US"/>
        </w:rPr>
        <w:t xml:space="preserve"> ETPP Grantees</w:t>
      </w:r>
    </w:p>
    <w:p w14:paraId="04B0541C" w14:textId="5B33DB2D" w:rsidR="002614F4" w:rsidRPr="002614F4" w:rsidRDefault="002614F4" w:rsidP="00F470F1">
      <w:pPr>
        <w:pStyle w:val="BodyText"/>
        <w:rPr>
          <w:b/>
          <w:bCs/>
          <w:lang w:val="en-US"/>
        </w:rPr>
      </w:pPr>
      <w:r w:rsidRPr="002614F4">
        <w:rPr>
          <w:b/>
          <w:bCs/>
          <w:lang w:val="en-US"/>
        </w:rPr>
        <w:t>Required Activities:</w:t>
      </w:r>
    </w:p>
    <w:p w14:paraId="17F01069" w14:textId="31BE8639" w:rsidR="002614F4" w:rsidRPr="002614F4" w:rsidRDefault="002614F4" w:rsidP="00086CF0">
      <w:pPr>
        <w:pStyle w:val="BodyText"/>
        <w:numPr>
          <w:ilvl w:val="0"/>
          <w:numId w:val="31"/>
        </w:numPr>
        <w:rPr>
          <w:lang w:val="en-US"/>
        </w:rPr>
      </w:pPr>
      <w:r w:rsidRPr="002614F4">
        <w:rPr>
          <w:lang w:val="en-US"/>
        </w:rPr>
        <w:t>Co-develop program-specific evaluation plans that align with an overarching evaluation framework, allowing for local adaptation while supporting shared learning across the initiative.</w:t>
      </w:r>
    </w:p>
    <w:p w14:paraId="6FB2557F" w14:textId="190D384A" w:rsidR="002614F4" w:rsidRPr="002614F4" w:rsidRDefault="002614F4" w:rsidP="00086CF0">
      <w:pPr>
        <w:pStyle w:val="BodyText"/>
        <w:numPr>
          <w:ilvl w:val="0"/>
          <w:numId w:val="31"/>
        </w:numPr>
        <w:rPr>
          <w:lang w:val="en-US"/>
        </w:rPr>
      </w:pPr>
      <w:r w:rsidRPr="002614F4">
        <w:rPr>
          <w:lang w:val="en-US"/>
        </w:rPr>
        <w:t>Conduct real-time data collection and analysis to identify implementation challenges, emerging innovations, and opportunities for improvement.</w:t>
      </w:r>
    </w:p>
    <w:p w14:paraId="2786E2AC" w14:textId="44770355" w:rsidR="002614F4" w:rsidRPr="002614F4" w:rsidRDefault="002614F4" w:rsidP="00086CF0">
      <w:pPr>
        <w:pStyle w:val="BodyText"/>
        <w:numPr>
          <w:ilvl w:val="0"/>
          <w:numId w:val="31"/>
        </w:numPr>
        <w:rPr>
          <w:lang w:val="en-US"/>
        </w:rPr>
      </w:pPr>
      <w:r w:rsidRPr="002614F4">
        <w:rPr>
          <w:lang w:val="en-US"/>
        </w:rPr>
        <w:t>Facilitate feedback loops through regular learning sessions, reflection meetings, and data-sharing touchpoints.</w:t>
      </w:r>
    </w:p>
    <w:p w14:paraId="7CB2ABEF" w14:textId="737D2C59" w:rsidR="002614F4" w:rsidRPr="002614F4" w:rsidRDefault="002614F4" w:rsidP="00086CF0">
      <w:pPr>
        <w:pStyle w:val="BodyText"/>
        <w:numPr>
          <w:ilvl w:val="0"/>
          <w:numId w:val="31"/>
        </w:numPr>
        <w:rPr>
          <w:lang w:val="en-US"/>
        </w:rPr>
      </w:pPr>
      <w:r w:rsidRPr="002614F4">
        <w:rPr>
          <w:lang w:val="en-US"/>
        </w:rPr>
        <w:t>Support grantees in using data for decision-making, including training on data interpretation, storytelling with data, and continuous improvement practices.</w:t>
      </w:r>
    </w:p>
    <w:p w14:paraId="6D7AECA7" w14:textId="77453989" w:rsidR="002614F4" w:rsidRPr="002614F4" w:rsidRDefault="002614F4" w:rsidP="00086CF0">
      <w:pPr>
        <w:pStyle w:val="BodyText"/>
        <w:numPr>
          <w:ilvl w:val="0"/>
          <w:numId w:val="31"/>
        </w:numPr>
        <w:rPr>
          <w:lang w:val="en-US"/>
        </w:rPr>
      </w:pPr>
      <w:r w:rsidRPr="002614F4">
        <w:rPr>
          <w:lang w:val="en-US"/>
        </w:rPr>
        <w:t>Develop user-friendly data tools, such as dashboards or visualizations, using systems like CalJOB</w:t>
      </w:r>
      <w:r>
        <w:rPr>
          <w:lang w:val="en-US"/>
        </w:rPr>
        <w:t>S</w:t>
      </w:r>
      <w:r w:rsidRPr="002614F4">
        <w:rPr>
          <w:vertAlign w:val="superscript"/>
          <w:lang w:val="en-US"/>
        </w:rPr>
        <w:t>SM</w:t>
      </w:r>
      <w:r w:rsidRPr="002614F4">
        <w:rPr>
          <w:lang w:val="en-US"/>
        </w:rPr>
        <w:t xml:space="preserve"> or grantee-specific platforms.</w:t>
      </w:r>
    </w:p>
    <w:p w14:paraId="5587E0EB" w14:textId="3E4A5ECB" w:rsidR="00281622" w:rsidRDefault="002614F4" w:rsidP="00086CF0">
      <w:pPr>
        <w:pStyle w:val="BodyText"/>
        <w:numPr>
          <w:ilvl w:val="0"/>
          <w:numId w:val="31"/>
        </w:numPr>
        <w:rPr>
          <w:lang w:val="en-US"/>
        </w:rPr>
      </w:pPr>
      <w:r w:rsidRPr="002614F4">
        <w:rPr>
          <w:lang w:val="en-US"/>
        </w:rPr>
        <w:t>Elevate participant and community voice through focus groups, interviews, or participatory evaluation methods.</w:t>
      </w:r>
    </w:p>
    <w:p w14:paraId="49FB4C39" w14:textId="51B3681B" w:rsidR="002614F4" w:rsidRPr="00F56A70" w:rsidRDefault="002614F4" w:rsidP="002614F4">
      <w:pPr>
        <w:pStyle w:val="BodyText"/>
        <w:rPr>
          <w:b/>
          <w:bCs/>
          <w:sz w:val="28"/>
          <w:szCs w:val="28"/>
          <w:lang w:val="en-US"/>
        </w:rPr>
      </w:pPr>
      <w:r w:rsidRPr="00F56A70">
        <w:rPr>
          <w:b/>
          <w:bCs/>
          <w:sz w:val="28"/>
          <w:szCs w:val="28"/>
          <w:lang w:val="en-US"/>
        </w:rPr>
        <w:t>Strategy 2: Provide Responsive, Inclusive, and Participant-</w:t>
      </w:r>
      <w:r w:rsidR="00B70A5E">
        <w:rPr>
          <w:b/>
          <w:bCs/>
          <w:sz w:val="28"/>
          <w:szCs w:val="28"/>
          <w:lang w:val="en-US"/>
        </w:rPr>
        <w:t>C</w:t>
      </w:r>
      <w:r w:rsidRPr="00F56A70">
        <w:rPr>
          <w:b/>
          <w:bCs/>
          <w:sz w:val="28"/>
          <w:szCs w:val="28"/>
          <w:lang w:val="en-US"/>
        </w:rPr>
        <w:t>entered Technical Assistance</w:t>
      </w:r>
    </w:p>
    <w:p w14:paraId="24209F6F" w14:textId="48A7F742" w:rsidR="002614F4" w:rsidRPr="002614F4" w:rsidRDefault="002614F4" w:rsidP="002614F4">
      <w:pPr>
        <w:pStyle w:val="BodyText"/>
        <w:rPr>
          <w:b/>
          <w:bCs/>
          <w:lang w:val="en-US"/>
        </w:rPr>
      </w:pPr>
      <w:r w:rsidRPr="002614F4">
        <w:rPr>
          <w:b/>
          <w:bCs/>
          <w:lang w:val="en-US"/>
        </w:rPr>
        <w:t>Required Activities:</w:t>
      </w:r>
    </w:p>
    <w:p w14:paraId="266E8B63" w14:textId="24FA09A1" w:rsidR="002614F4" w:rsidRPr="002614F4" w:rsidRDefault="002614F4" w:rsidP="00086CF0">
      <w:pPr>
        <w:pStyle w:val="BodyText"/>
        <w:numPr>
          <w:ilvl w:val="0"/>
          <w:numId w:val="32"/>
        </w:numPr>
        <w:rPr>
          <w:lang w:val="en-US"/>
        </w:rPr>
      </w:pPr>
      <w:r w:rsidRPr="002614F4">
        <w:rPr>
          <w:lang w:val="en-US"/>
        </w:rPr>
        <w:t>Conduct needs assessments to identify TA priorities across grantees.</w:t>
      </w:r>
    </w:p>
    <w:p w14:paraId="79E6207D" w14:textId="70C6E588" w:rsidR="002614F4" w:rsidRPr="002614F4" w:rsidRDefault="002614F4" w:rsidP="00086CF0">
      <w:pPr>
        <w:pStyle w:val="BodyText"/>
        <w:numPr>
          <w:ilvl w:val="0"/>
          <w:numId w:val="32"/>
        </w:numPr>
        <w:rPr>
          <w:lang w:val="en-US"/>
        </w:rPr>
      </w:pPr>
      <w:r w:rsidRPr="002614F4">
        <w:rPr>
          <w:lang w:val="en-US"/>
        </w:rPr>
        <w:lastRenderedPageBreak/>
        <w:t>Deliver tailored TA through coaching, workshops, peer learning sessions, and resource development.</w:t>
      </w:r>
    </w:p>
    <w:p w14:paraId="0C795F36" w14:textId="0B008048" w:rsidR="002614F4" w:rsidRPr="002614F4" w:rsidRDefault="002614F4" w:rsidP="00086CF0">
      <w:pPr>
        <w:pStyle w:val="BodyText"/>
        <w:numPr>
          <w:ilvl w:val="0"/>
          <w:numId w:val="32"/>
        </w:numPr>
        <w:rPr>
          <w:lang w:val="en-US"/>
        </w:rPr>
      </w:pPr>
      <w:r w:rsidRPr="002614F4">
        <w:rPr>
          <w:lang w:val="en-US"/>
        </w:rPr>
        <w:t>Offer training on emergent topics, such as trauma-informed practices, employer engagement, or culturally responsive service delivery.</w:t>
      </w:r>
    </w:p>
    <w:p w14:paraId="7BEBB3FC" w14:textId="3FD784F4" w:rsidR="002614F4" w:rsidRDefault="002614F4" w:rsidP="00086CF0">
      <w:pPr>
        <w:pStyle w:val="BodyText"/>
        <w:numPr>
          <w:ilvl w:val="0"/>
          <w:numId w:val="32"/>
        </w:numPr>
        <w:rPr>
          <w:lang w:val="en-US"/>
        </w:rPr>
      </w:pPr>
      <w:r w:rsidRPr="002614F4">
        <w:rPr>
          <w:lang w:val="en-US"/>
        </w:rPr>
        <w:t>Document and share promising practices across grantees to foster peer learning and innovation.</w:t>
      </w:r>
    </w:p>
    <w:p w14:paraId="45675D83" w14:textId="15AABF1E" w:rsidR="009F586E" w:rsidRPr="00F56A70" w:rsidRDefault="009F586E" w:rsidP="009F586E">
      <w:pPr>
        <w:pStyle w:val="BodyText"/>
        <w:rPr>
          <w:b/>
          <w:bCs/>
          <w:sz w:val="28"/>
          <w:szCs w:val="28"/>
          <w:lang w:val="en-US"/>
        </w:rPr>
      </w:pPr>
      <w:r w:rsidRPr="00F56A70">
        <w:rPr>
          <w:b/>
          <w:bCs/>
          <w:sz w:val="28"/>
          <w:szCs w:val="28"/>
          <w:lang w:val="en-US"/>
        </w:rPr>
        <w:t>Strategy 3: Facilitate a Cross-Program COP</w:t>
      </w:r>
    </w:p>
    <w:p w14:paraId="1835EDFC" w14:textId="297B5404" w:rsidR="009F586E" w:rsidRPr="009F586E" w:rsidRDefault="009F586E" w:rsidP="009F586E">
      <w:pPr>
        <w:pStyle w:val="BodyText"/>
        <w:rPr>
          <w:b/>
          <w:bCs/>
          <w:lang w:val="en-US"/>
        </w:rPr>
      </w:pPr>
      <w:r w:rsidRPr="009F586E">
        <w:rPr>
          <w:b/>
          <w:bCs/>
          <w:lang w:val="en-US"/>
        </w:rPr>
        <w:t>Required Activities:</w:t>
      </w:r>
    </w:p>
    <w:p w14:paraId="2BB5B6C7" w14:textId="5CA45F8D" w:rsidR="009F586E" w:rsidRPr="009F586E" w:rsidRDefault="009F586E" w:rsidP="00086CF0">
      <w:pPr>
        <w:pStyle w:val="BodyText"/>
        <w:numPr>
          <w:ilvl w:val="0"/>
          <w:numId w:val="33"/>
        </w:numPr>
        <w:rPr>
          <w:lang w:val="en-US"/>
        </w:rPr>
      </w:pPr>
      <w:r w:rsidRPr="009F586E">
        <w:rPr>
          <w:lang w:val="en-US"/>
        </w:rPr>
        <w:t>Convene a COP of TA providers supporting DOGWF, ELL, FAP, ESE, OYACPP, and the DOR AJCC Collaboration Project.</w:t>
      </w:r>
    </w:p>
    <w:p w14:paraId="7531C76F" w14:textId="2690E1C5" w:rsidR="009F586E" w:rsidRPr="009F586E" w:rsidRDefault="009F586E" w:rsidP="00086CF0">
      <w:pPr>
        <w:pStyle w:val="BodyText"/>
        <w:numPr>
          <w:ilvl w:val="0"/>
          <w:numId w:val="33"/>
        </w:numPr>
        <w:rPr>
          <w:lang w:val="en-US"/>
        </w:rPr>
      </w:pPr>
      <w:r w:rsidRPr="009F586E">
        <w:rPr>
          <w:lang w:val="en-US"/>
        </w:rPr>
        <w:t>Design and facilitate structured learning exchanges, including quarterly convenings, thematic discussions, and collaborative problem-solving sessions.</w:t>
      </w:r>
    </w:p>
    <w:p w14:paraId="11BCD0AF" w14:textId="6AE09276" w:rsidR="009F586E" w:rsidRPr="009F586E" w:rsidRDefault="009F586E" w:rsidP="00086CF0">
      <w:pPr>
        <w:pStyle w:val="BodyText"/>
        <w:numPr>
          <w:ilvl w:val="0"/>
          <w:numId w:val="33"/>
        </w:numPr>
        <w:rPr>
          <w:lang w:val="en-US"/>
        </w:rPr>
      </w:pPr>
      <w:r w:rsidRPr="009F586E">
        <w:rPr>
          <w:lang w:val="en-US"/>
        </w:rPr>
        <w:t>Develop shared tools and resources, such as TA playbooks, evaluation templates, or Inclusive and participant-centered frameworks.</w:t>
      </w:r>
    </w:p>
    <w:p w14:paraId="03EFF9BB" w14:textId="514007D7" w:rsidR="00B70A5E" w:rsidRPr="00D34E61" w:rsidRDefault="009F586E" w:rsidP="00A8300A">
      <w:pPr>
        <w:pStyle w:val="BodyText"/>
        <w:numPr>
          <w:ilvl w:val="0"/>
          <w:numId w:val="33"/>
        </w:numPr>
        <w:rPr>
          <w:lang w:val="en-US"/>
        </w:rPr>
      </w:pPr>
      <w:r w:rsidRPr="009F586E">
        <w:rPr>
          <w:lang w:val="en-US"/>
        </w:rPr>
        <w:t>Capture and disseminate cross-program insights through briefs, case studies, or presentations to state leadership.</w:t>
      </w:r>
    </w:p>
    <w:p w14:paraId="7BFB2295" w14:textId="2084063C" w:rsidR="00A8300A" w:rsidRPr="00F56A70" w:rsidRDefault="00A8300A" w:rsidP="00A8300A">
      <w:pPr>
        <w:pStyle w:val="BodyText"/>
        <w:rPr>
          <w:b/>
          <w:bCs/>
          <w:sz w:val="28"/>
          <w:szCs w:val="28"/>
          <w:lang w:val="en-US"/>
        </w:rPr>
      </w:pPr>
      <w:r w:rsidRPr="00F56A70">
        <w:rPr>
          <w:b/>
          <w:bCs/>
          <w:sz w:val="28"/>
          <w:szCs w:val="28"/>
          <w:lang w:val="en-US"/>
        </w:rPr>
        <w:t>Strategy 4: Align T</w:t>
      </w:r>
      <w:r w:rsidR="006356CC">
        <w:rPr>
          <w:b/>
          <w:bCs/>
          <w:sz w:val="28"/>
          <w:szCs w:val="28"/>
          <w:lang w:val="en-US"/>
        </w:rPr>
        <w:t xml:space="preserve">echnical </w:t>
      </w:r>
      <w:r w:rsidRPr="00F56A70">
        <w:rPr>
          <w:b/>
          <w:bCs/>
          <w:sz w:val="28"/>
          <w:szCs w:val="28"/>
          <w:lang w:val="en-US"/>
        </w:rPr>
        <w:t>A</w:t>
      </w:r>
      <w:r w:rsidR="006356CC">
        <w:rPr>
          <w:b/>
          <w:bCs/>
          <w:sz w:val="28"/>
          <w:szCs w:val="28"/>
          <w:lang w:val="en-US"/>
        </w:rPr>
        <w:t>ssistance and Evaluation</w:t>
      </w:r>
      <w:r w:rsidRPr="00F56A70">
        <w:rPr>
          <w:b/>
          <w:bCs/>
          <w:sz w:val="28"/>
          <w:szCs w:val="28"/>
          <w:lang w:val="en-US"/>
        </w:rPr>
        <w:t xml:space="preserve"> with Statewide Workforce Goals</w:t>
      </w:r>
    </w:p>
    <w:p w14:paraId="6E20E54D" w14:textId="6C6A9FCB" w:rsidR="00A8300A" w:rsidRPr="00A8300A" w:rsidRDefault="00A8300A" w:rsidP="00A8300A">
      <w:pPr>
        <w:pStyle w:val="BodyText"/>
        <w:rPr>
          <w:b/>
          <w:bCs/>
          <w:lang w:val="en-US"/>
        </w:rPr>
      </w:pPr>
      <w:r w:rsidRPr="00A8300A">
        <w:rPr>
          <w:b/>
          <w:bCs/>
          <w:lang w:val="en-US"/>
        </w:rPr>
        <w:t>Required Activities:</w:t>
      </w:r>
    </w:p>
    <w:p w14:paraId="53E7B48E" w14:textId="2A46356E" w:rsidR="00A8300A" w:rsidRPr="00A8300A" w:rsidRDefault="00A8300A" w:rsidP="00086CF0">
      <w:pPr>
        <w:pStyle w:val="BodyText"/>
        <w:numPr>
          <w:ilvl w:val="0"/>
          <w:numId w:val="34"/>
        </w:numPr>
        <w:rPr>
          <w:lang w:val="en-US"/>
        </w:rPr>
      </w:pPr>
      <w:r w:rsidRPr="00A8300A">
        <w:rPr>
          <w:lang w:val="en-US"/>
        </w:rPr>
        <w:t>Ensure alignment with CMPCE priorities, including inclusive and participant-centered economic mobility, and regional collaboration.</w:t>
      </w:r>
    </w:p>
    <w:p w14:paraId="7B06A09F" w14:textId="60CF3DBF" w:rsidR="00A8300A" w:rsidRPr="00A8300A" w:rsidRDefault="00A8300A" w:rsidP="00086CF0">
      <w:pPr>
        <w:pStyle w:val="BodyText"/>
        <w:numPr>
          <w:ilvl w:val="0"/>
          <w:numId w:val="34"/>
        </w:numPr>
        <w:rPr>
          <w:lang w:val="en-US"/>
        </w:rPr>
      </w:pPr>
      <w:r w:rsidRPr="00A8300A">
        <w:rPr>
          <w:lang w:val="en-US"/>
        </w:rPr>
        <w:t>Engage with state partners to share findings, inform policy, and support continuous improvement at the systems level.</w:t>
      </w:r>
    </w:p>
    <w:p w14:paraId="246D63AF" w14:textId="473730F4" w:rsidR="006D773E" w:rsidRPr="00541D1C" w:rsidRDefault="00A8300A" w:rsidP="00086CF0">
      <w:pPr>
        <w:pStyle w:val="BodyText"/>
        <w:numPr>
          <w:ilvl w:val="0"/>
          <w:numId w:val="34"/>
        </w:numPr>
        <w:rPr>
          <w:lang w:val="en-US"/>
        </w:rPr>
      </w:pPr>
      <w:r w:rsidRPr="00A8300A">
        <w:rPr>
          <w:lang w:val="en-US"/>
        </w:rPr>
        <w:t>Produce periodic learning reports that synthesize evaluation findings, TA outcomes, and recommendations for future investment</w:t>
      </w:r>
      <w:r w:rsidR="00B72172">
        <w:rPr>
          <w:lang w:val="en-US"/>
        </w:rPr>
        <w:t>s</w:t>
      </w:r>
      <w:r w:rsidRPr="00A8300A">
        <w:rPr>
          <w:lang w:val="en-US"/>
        </w:rPr>
        <w:t>.</w:t>
      </w:r>
    </w:p>
    <w:p w14:paraId="4BCF78D7" w14:textId="1C7CB059" w:rsidR="008544AA" w:rsidRPr="00F70610" w:rsidRDefault="00F70610" w:rsidP="0057774B">
      <w:pPr>
        <w:pStyle w:val="Heading3"/>
      </w:pPr>
      <w:r>
        <w:t>Services</w:t>
      </w:r>
    </w:p>
    <w:p w14:paraId="78317158" w14:textId="484E5048" w:rsidR="00F70610" w:rsidRDefault="00541D1C" w:rsidP="00541D1C">
      <w:pPr>
        <w:pStyle w:val="BodyText"/>
      </w:pPr>
      <w:r w:rsidRPr="00541D1C">
        <w:t xml:space="preserve">The </w:t>
      </w:r>
      <w:r>
        <w:t xml:space="preserve">selected </w:t>
      </w:r>
      <w:r w:rsidRPr="00541D1C">
        <w:t xml:space="preserve">TADE provider will deliver a coordinated set of </w:t>
      </w:r>
      <w:r w:rsidR="00050876">
        <w:t>activiti</w:t>
      </w:r>
      <w:r w:rsidRPr="00541D1C">
        <w:t xml:space="preserve">es that support both program-level learning and system-level collaboration. </w:t>
      </w:r>
      <w:r w:rsidR="00050876">
        <w:t>Activiti</w:t>
      </w:r>
      <w:r w:rsidRPr="00541D1C">
        <w:t>es will be grounded in a developmental evaluation approach and designed to be inclusive, adaptive, and responsive to the needs of ETPP grantees and the broader workforce development ecosystem.</w:t>
      </w:r>
    </w:p>
    <w:p w14:paraId="10A2E81D" w14:textId="6819D4ED" w:rsidR="0056697C" w:rsidRPr="007D0394" w:rsidRDefault="0056697C" w:rsidP="0056697C">
      <w:pPr>
        <w:pStyle w:val="BodyText"/>
        <w:rPr>
          <w:b/>
          <w:bCs/>
          <w:sz w:val="28"/>
          <w:szCs w:val="28"/>
        </w:rPr>
      </w:pPr>
      <w:r w:rsidRPr="007D0394">
        <w:rPr>
          <w:b/>
          <w:bCs/>
          <w:sz w:val="28"/>
          <w:szCs w:val="28"/>
        </w:rPr>
        <w:lastRenderedPageBreak/>
        <w:t>1. Technical Assistance</w:t>
      </w:r>
      <w:r w:rsidR="007D0394">
        <w:rPr>
          <w:b/>
          <w:bCs/>
          <w:sz w:val="28"/>
          <w:szCs w:val="28"/>
        </w:rPr>
        <w:t xml:space="preserve"> and Developmental Evaluation</w:t>
      </w:r>
      <w:r w:rsidRPr="007D0394">
        <w:rPr>
          <w:b/>
          <w:bCs/>
          <w:sz w:val="28"/>
          <w:szCs w:val="28"/>
        </w:rPr>
        <w:t xml:space="preserve"> for</w:t>
      </w:r>
      <w:r w:rsidR="00493B7D" w:rsidRPr="007D0394">
        <w:rPr>
          <w:b/>
          <w:bCs/>
          <w:sz w:val="28"/>
          <w:szCs w:val="28"/>
        </w:rPr>
        <w:t xml:space="preserve"> PY 25-26</w:t>
      </w:r>
      <w:r w:rsidRPr="007D0394">
        <w:rPr>
          <w:b/>
          <w:bCs/>
          <w:sz w:val="28"/>
          <w:szCs w:val="28"/>
        </w:rPr>
        <w:t xml:space="preserve"> ETPP </w:t>
      </w:r>
      <w:r w:rsidR="002419DF">
        <w:rPr>
          <w:b/>
          <w:bCs/>
          <w:sz w:val="28"/>
          <w:szCs w:val="28"/>
        </w:rPr>
        <w:t>G</w:t>
      </w:r>
      <w:r w:rsidRPr="007D0394">
        <w:rPr>
          <w:b/>
          <w:bCs/>
          <w:sz w:val="28"/>
          <w:szCs w:val="28"/>
        </w:rPr>
        <w:t>rantees.</w:t>
      </w:r>
    </w:p>
    <w:p w14:paraId="1C1FF9E4" w14:textId="77777777" w:rsidR="00EA2C47" w:rsidRDefault="0056697C" w:rsidP="0056697C">
      <w:pPr>
        <w:pStyle w:val="BodyText"/>
      </w:pPr>
      <w:r>
        <w:t xml:space="preserve">The TADE provider will serve as a learning partner to ETPP grantees, offering support that enables programs to reflect, adapt, and improve over time. </w:t>
      </w:r>
    </w:p>
    <w:p w14:paraId="0551FD65" w14:textId="388ECDE8" w:rsidR="0056697C" w:rsidRDefault="00050876" w:rsidP="0056697C">
      <w:pPr>
        <w:pStyle w:val="BodyText"/>
      </w:pPr>
      <w:r>
        <w:t>Activiti</w:t>
      </w:r>
      <w:r w:rsidR="0056697C">
        <w:t>es will include:</w:t>
      </w:r>
    </w:p>
    <w:p w14:paraId="1ABC2922" w14:textId="65E7772A" w:rsidR="0056697C" w:rsidRDefault="0056697C" w:rsidP="00086CF0">
      <w:pPr>
        <w:pStyle w:val="BodyText"/>
        <w:numPr>
          <w:ilvl w:val="0"/>
          <w:numId w:val="35"/>
        </w:numPr>
      </w:pPr>
      <w:r>
        <w:t>Co-development of program-specific evaluation plans aligned with a shared, overarching framework.</w:t>
      </w:r>
    </w:p>
    <w:p w14:paraId="3F82B1A7" w14:textId="5BF06544" w:rsidR="0056697C" w:rsidRDefault="0056697C" w:rsidP="00086CF0">
      <w:pPr>
        <w:pStyle w:val="BodyText"/>
        <w:numPr>
          <w:ilvl w:val="0"/>
          <w:numId w:val="35"/>
        </w:numPr>
      </w:pPr>
      <w:r>
        <w:t>Real-time data collection and analysis to identify implementation challenges, emerging strategies, and areas for improvement.</w:t>
      </w:r>
    </w:p>
    <w:p w14:paraId="13E62545" w14:textId="234C5102" w:rsidR="0056697C" w:rsidRDefault="0056697C" w:rsidP="00086CF0">
      <w:pPr>
        <w:pStyle w:val="BodyText"/>
        <w:numPr>
          <w:ilvl w:val="0"/>
          <w:numId w:val="35"/>
        </w:numPr>
      </w:pPr>
      <w:r>
        <w:t>Customized technical assistance, including one-on-one coaching, training sessions, and peer learning opportunities.</w:t>
      </w:r>
    </w:p>
    <w:p w14:paraId="7F30741F" w14:textId="1D5BD5A8" w:rsidR="0056697C" w:rsidRDefault="0056697C" w:rsidP="00086CF0">
      <w:pPr>
        <w:pStyle w:val="BodyText"/>
        <w:numPr>
          <w:ilvl w:val="0"/>
          <w:numId w:val="35"/>
        </w:numPr>
      </w:pPr>
      <w:r>
        <w:t>Support for data use and capacity-building, including the development of tools such as dashboards and data visualizations using systems like CalJOBS</w:t>
      </w:r>
      <w:r w:rsidRPr="0056697C">
        <w:rPr>
          <w:vertAlign w:val="superscript"/>
        </w:rPr>
        <w:t>SM</w:t>
      </w:r>
      <w:r>
        <w:t>.</w:t>
      </w:r>
    </w:p>
    <w:p w14:paraId="1D52BF74" w14:textId="3043924E" w:rsidR="0056697C" w:rsidRDefault="0056697C" w:rsidP="00086CF0">
      <w:pPr>
        <w:pStyle w:val="BodyText"/>
        <w:numPr>
          <w:ilvl w:val="0"/>
          <w:numId w:val="35"/>
        </w:numPr>
      </w:pPr>
      <w:r>
        <w:t>Facilitation of participant and stakeholder feedback, such as focus groups or listening sessions, to inform program refinement.</w:t>
      </w:r>
    </w:p>
    <w:p w14:paraId="4D1BCE25" w14:textId="69474EE2" w:rsidR="0056697C" w:rsidRPr="007D0394" w:rsidRDefault="0056697C" w:rsidP="0056697C">
      <w:pPr>
        <w:pStyle w:val="BodyText"/>
        <w:rPr>
          <w:sz w:val="28"/>
          <w:szCs w:val="28"/>
        </w:rPr>
      </w:pPr>
      <w:r w:rsidRPr="007D0394">
        <w:rPr>
          <w:b/>
          <w:bCs/>
          <w:sz w:val="28"/>
          <w:szCs w:val="28"/>
        </w:rPr>
        <w:t>2.</w:t>
      </w:r>
      <w:r w:rsidRPr="007D0394">
        <w:rPr>
          <w:sz w:val="28"/>
          <w:szCs w:val="28"/>
        </w:rPr>
        <w:t xml:space="preserve"> </w:t>
      </w:r>
      <w:r w:rsidRPr="007D0394">
        <w:rPr>
          <w:b/>
          <w:bCs/>
          <w:sz w:val="28"/>
          <w:szCs w:val="28"/>
        </w:rPr>
        <w:t xml:space="preserve">Facilitation of a COP for TA </w:t>
      </w:r>
      <w:r w:rsidR="00EA2C47" w:rsidRPr="007D0394">
        <w:rPr>
          <w:b/>
          <w:bCs/>
          <w:sz w:val="28"/>
          <w:szCs w:val="28"/>
        </w:rPr>
        <w:t>p</w:t>
      </w:r>
      <w:r w:rsidRPr="007D0394">
        <w:rPr>
          <w:b/>
          <w:bCs/>
          <w:sz w:val="28"/>
          <w:szCs w:val="28"/>
        </w:rPr>
        <w:t>roviders.</w:t>
      </w:r>
    </w:p>
    <w:p w14:paraId="283ACD4A" w14:textId="066F55A8" w:rsidR="0056697C" w:rsidRDefault="0056697C" w:rsidP="0056697C">
      <w:pPr>
        <w:pStyle w:val="BodyText"/>
      </w:pPr>
      <w:r w:rsidRPr="0056697C">
        <w:t xml:space="preserve">To promote alignment and shared learning across related workforce initiatives, the </w:t>
      </w:r>
      <w:r w:rsidR="00EA2C47">
        <w:t xml:space="preserve">selected </w:t>
      </w:r>
      <w:r w:rsidRPr="0056697C">
        <w:t>TADE provider will convene and coordinate a C</w:t>
      </w:r>
      <w:r>
        <w:t>O</w:t>
      </w:r>
      <w:r w:rsidRPr="0056697C">
        <w:t>P among TA providers supporting:</w:t>
      </w:r>
    </w:p>
    <w:p w14:paraId="68242651" w14:textId="33B67FE7" w:rsidR="0056697C" w:rsidRDefault="0056697C" w:rsidP="00086CF0">
      <w:pPr>
        <w:pStyle w:val="BodyText"/>
        <w:numPr>
          <w:ilvl w:val="0"/>
          <w:numId w:val="36"/>
        </w:numPr>
      </w:pPr>
      <w:r w:rsidRPr="0056697C">
        <w:t xml:space="preserve">Displaced Oil and Gas Workers Fund </w:t>
      </w:r>
      <w:r>
        <w:t>(DOGWF)</w:t>
      </w:r>
    </w:p>
    <w:p w14:paraId="4DDEF2E7" w14:textId="54F39E24" w:rsidR="0056697C" w:rsidRDefault="0056697C" w:rsidP="00086CF0">
      <w:pPr>
        <w:pStyle w:val="BodyText"/>
        <w:numPr>
          <w:ilvl w:val="0"/>
          <w:numId w:val="36"/>
        </w:numPr>
      </w:pPr>
      <w:r>
        <w:t>English Language Learner</w:t>
      </w:r>
      <w:r w:rsidR="00634DE3">
        <w:t>s</w:t>
      </w:r>
      <w:r>
        <w:t xml:space="preserve"> (ELL) Grants</w:t>
      </w:r>
    </w:p>
    <w:p w14:paraId="7D195CF5" w14:textId="415780C3" w:rsidR="0056697C" w:rsidRDefault="0056697C" w:rsidP="00086CF0">
      <w:pPr>
        <w:pStyle w:val="BodyText"/>
        <w:numPr>
          <w:ilvl w:val="0"/>
          <w:numId w:val="36"/>
        </w:numPr>
      </w:pPr>
      <w:r>
        <w:t>Farmworker</w:t>
      </w:r>
      <w:r w:rsidR="00634DE3">
        <w:t>s</w:t>
      </w:r>
      <w:r>
        <w:t xml:space="preserve"> Advancement Program (FAP)</w:t>
      </w:r>
    </w:p>
    <w:p w14:paraId="5110296D" w14:textId="76315E24" w:rsidR="0056697C" w:rsidRDefault="0056697C" w:rsidP="00086CF0">
      <w:pPr>
        <w:pStyle w:val="BodyText"/>
        <w:numPr>
          <w:ilvl w:val="0"/>
          <w:numId w:val="36"/>
        </w:numPr>
      </w:pPr>
      <w:r>
        <w:t>Employment Social Enterprise (ESE) Grants</w:t>
      </w:r>
    </w:p>
    <w:p w14:paraId="74120F57" w14:textId="1D4B02C5" w:rsidR="0056697C" w:rsidRDefault="0056697C" w:rsidP="00086CF0">
      <w:pPr>
        <w:pStyle w:val="BodyText"/>
        <w:numPr>
          <w:ilvl w:val="0"/>
          <w:numId w:val="36"/>
        </w:numPr>
      </w:pPr>
      <w:r>
        <w:t>Opportunity Young Adult Career Pathways Program (OYACPP)</w:t>
      </w:r>
    </w:p>
    <w:p w14:paraId="06405A22" w14:textId="15BDB350" w:rsidR="0056697C" w:rsidRDefault="0056697C" w:rsidP="00086CF0">
      <w:pPr>
        <w:pStyle w:val="BodyText"/>
        <w:numPr>
          <w:ilvl w:val="0"/>
          <w:numId w:val="36"/>
        </w:numPr>
      </w:pPr>
      <w:r>
        <w:t>Department of Rehabilitation (DOR) AJCC Collaboration Project</w:t>
      </w:r>
    </w:p>
    <w:p w14:paraId="69BFC941" w14:textId="7BDD7905" w:rsidR="00DC7A3E" w:rsidRDefault="00DC7A3E" w:rsidP="00DC7A3E">
      <w:pPr>
        <w:pStyle w:val="BodyText"/>
      </w:pPr>
      <w:r w:rsidRPr="00DC7A3E">
        <w:t>Services will include</w:t>
      </w:r>
      <w:r>
        <w:t>:</w:t>
      </w:r>
    </w:p>
    <w:p w14:paraId="13D3FA74" w14:textId="6668313C" w:rsidR="00DC7A3E" w:rsidRDefault="00DC7A3E" w:rsidP="00086CF0">
      <w:pPr>
        <w:pStyle w:val="BodyText"/>
        <w:numPr>
          <w:ilvl w:val="0"/>
          <w:numId w:val="37"/>
        </w:numPr>
      </w:pPr>
      <w:r>
        <w:t>Regular convenings and structured learning exchanges to share insights, tools, and promising practices.</w:t>
      </w:r>
    </w:p>
    <w:p w14:paraId="463BDF39" w14:textId="109667D0" w:rsidR="00DC7A3E" w:rsidRDefault="00DC7A3E" w:rsidP="00086CF0">
      <w:pPr>
        <w:pStyle w:val="BodyText"/>
        <w:numPr>
          <w:ilvl w:val="0"/>
          <w:numId w:val="37"/>
        </w:numPr>
      </w:pPr>
      <w:r>
        <w:lastRenderedPageBreak/>
        <w:t>Collaborative problem-solving sessions focused on common challenges and opportunities.</w:t>
      </w:r>
    </w:p>
    <w:p w14:paraId="01EF788F" w14:textId="6C82DD9C" w:rsidR="00DC7A3E" w:rsidRDefault="00DC7A3E" w:rsidP="00086CF0">
      <w:pPr>
        <w:pStyle w:val="BodyText"/>
        <w:numPr>
          <w:ilvl w:val="0"/>
          <w:numId w:val="37"/>
        </w:numPr>
      </w:pPr>
      <w:r>
        <w:t>Development of shared resources, such as TA toolkits, evaluation templates, or implementation guides.</w:t>
      </w:r>
    </w:p>
    <w:p w14:paraId="75D9BF83" w14:textId="734BC35E" w:rsidR="00DC7A3E" w:rsidRPr="00F70610" w:rsidRDefault="00DC7A3E" w:rsidP="00086CF0">
      <w:pPr>
        <w:pStyle w:val="BodyText"/>
        <w:numPr>
          <w:ilvl w:val="0"/>
          <w:numId w:val="37"/>
        </w:numPr>
      </w:pPr>
      <w:r>
        <w:t>Synthesis and dissemination of cross-program learnings to inform future investments and policy decisions</w:t>
      </w:r>
    </w:p>
    <w:p w14:paraId="6559D1A9" w14:textId="77777777" w:rsidR="008544AA" w:rsidRPr="00831C2A" w:rsidRDefault="008544AA" w:rsidP="00291014">
      <w:pPr>
        <w:pStyle w:val="Heading3"/>
      </w:pPr>
      <w:bookmarkStart w:id="32" w:name="_Toc167356419"/>
      <w:bookmarkStart w:id="33" w:name="_Toc167894655"/>
      <w:bookmarkStart w:id="34" w:name="_Hlk213916826"/>
      <w:r w:rsidRPr="00831C2A">
        <w:t>Supporting Data</w:t>
      </w:r>
      <w:bookmarkEnd w:id="32"/>
      <w:bookmarkEnd w:id="33"/>
    </w:p>
    <w:bookmarkEnd w:id="34"/>
    <w:p w14:paraId="61F0E36D" w14:textId="01522257" w:rsidR="00E940D4" w:rsidRPr="00E6116F" w:rsidRDefault="00FD3D97" w:rsidP="00FD3D97">
      <w:pPr>
        <w:spacing w:after="240"/>
        <w:rPr>
          <w:rFonts w:ascii="Calibri" w:eastAsia="Calibri" w:hAnsi="Calibri" w:cstheme="minorHAnsi"/>
          <w:sz w:val="24"/>
          <w:szCs w:val="24"/>
          <w:lang w:bidi="en-US"/>
        </w:rPr>
      </w:pPr>
      <w:r w:rsidRPr="00FD3D97">
        <w:rPr>
          <w:rFonts w:ascii="Calibri" w:eastAsia="Calibri" w:hAnsi="Calibri" w:cstheme="minorHAnsi"/>
          <w:sz w:val="24"/>
          <w:szCs w:val="24"/>
          <w:lang w:bidi="en-US"/>
        </w:rPr>
        <w:t>This TADE initiative relies on the strategic use of both quantitative and qualitative data to support continuous learning, program improvement, and cross-program insights. The approach emphasizes timely, actionable, and contextually relevant data that reflects both shared outcomes and local priorities.</w:t>
      </w:r>
      <w:r w:rsidR="008D3143" w:rsidRPr="008D3143">
        <w:rPr>
          <w:rFonts w:ascii="Calibri" w:eastAsia="Calibri" w:hAnsi="Calibri" w:cstheme="minorHAnsi"/>
          <w:sz w:val="24"/>
          <w:szCs w:val="24"/>
          <w:lang w:bidi="en-US"/>
        </w:rPr>
        <w:t xml:space="preserve">   </w:t>
      </w:r>
    </w:p>
    <w:p w14:paraId="74FA8708" w14:textId="53FB1210" w:rsidR="00FD3D97" w:rsidRPr="007D0394" w:rsidRDefault="00920E8B" w:rsidP="00FD3D97">
      <w:pPr>
        <w:spacing w:after="240"/>
        <w:rPr>
          <w:rFonts w:ascii="Calibri" w:eastAsia="Calibri" w:hAnsi="Calibri" w:cs="Calibri"/>
          <w:b/>
          <w:bCs/>
          <w:sz w:val="28"/>
          <w:szCs w:val="28"/>
          <w:lang w:bidi="en-US"/>
        </w:rPr>
      </w:pPr>
      <w:r w:rsidRPr="007D0394">
        <w:rPr>
          <w:rFonts w:ascii="Calibri" w:eastAsia="Calibri" w:hAnsi="Calibri" w:cs="Calibri"/>
          <w:b/>
          <w:bCs/>
          <w:sz w:val="28"/>
          <w:szCs w:val="28"/>
          <w:lang w:bidi="en-US"/>
        </w:rPr>
        <w:t xml:space="preserve">1. </w:t>
      </w:r>
      <w:r w:rsidR="00FD3D97" w:rsidRPr="007D0394">
        <w:rPr>
          <w:rFonts w:ascii="Calibri" w:eastAsia="Calibri" w:hAnsi="Calibri" w:cs="Calibri"/>
          <w:b/>
          <w:bCs/>
          <w:sz w:val="28"/>
          <w:szCs w:val="28"/>
          <w:lang w:bidi="en-US"/>
        </w:rPr>
        <w:t>Data Sources</w:t>
      </w:r>
      <w:r w:rsidR="008D3143" w:rsidRPr="007D0394">
        <w:rPr>
          <w:rFonts w:ascii="Calibri" w:eastAsia="Calibri" w:hAnsi="Calibri" w:cs="Calibri"/>
          <w:b/>
          <w:bCs/>
          <w:sz w:val="28"/>
          <w:szCs w:val="28"/>
          <w:lang w:bidi="en-US"/>
        </w:rPr>
        <w:t xml:space="preserve">   </w:t>
      </w:r>
    </w:p>
    <w:p w14:paraId="41EA030A" w14:textId="77777777" w:rsidR="00FD3D97" w:rsidRPr="00920E8B" w:rsidRDefault="00FD3D97"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The selected TADE provider will be expected to collect, analyze, and synthesize data from a variety of sources, including:</w:t>
      </w:r>
    </w:p>
    <w:p w14:paraId="36A815C8" w14:textId="4EAFC7B2" w:rsidR="00FD3D97" w:rsidRPr="00920E8B" w:rsidRDefault="00FD3D97" w:rsidP="00086CF0">
      <w:pPr>
        <w:pStyle w:val="ListParagraph"/>
        <w:numPr>
          <w:ilvl w:val="0"/>
          <w:numId w:val="41"/>
        </w:numPr>
        <w:spacing w:after="240"/>
        <w:rPr>
          <w:rFonts w:eastAsia="Calibri"/>
          <w:lang w:bidi="en-US"/>
        </w:rPr>
      </w:pPr>
      <w:r w:rsidRPr="00920E8B">
        <w:rPr>
          <w:rFonts w:eastAsia="Calibri"/>
          <w:lang w:bidi="en-US"/>
        </w:rPr>
        <w:t>Administrative data systems, such as CalJOBS</w:t>
      </w:r>
      <w:r w:rsidRPr="00920E8B">
        <w:rPr>
          <w:rFonts w:eastAsia="Calibri"/>
          <w:vertAlign w:val="superscript"/>
          <w:lang w:bidi="en-US"/>
        </w:rPr>
        <w:t>SM</w:t>
      </w:r>
      <w:r w:rsidRPr="00920E8B">
        <w:rPr>
          <w:rFonts w:eastAsia="Calibri"/>
          <w:lang w:bidi="en-US"/>
        </w:rPr>
        <w:t>, to track participant outcomes (e.g., employment, wages, training completion).</w:t>
      </w:r>
    </w:p>
    <w:p w14:paraId="6958579F" w14:textId="34C8A10D" w:rsidR="00FD3D97" w:rsidRPr="00920E8B" w:rsidRDefault="00FD3D97" w:rsidP="00086CF0">
      <w:pPr>
        <w:pStyle w:val="ListParagraph"/>
        <w:numPr>
          <w:ilvl w:val="0"/>
          <w:numId w:val="41"/>
        </w:numPr>
        <w:spacing w:after="240"/>
        <w:rPr>
          <w:rFonts w:eastAsia="Calibri"/>
          <w:lang w:bidi="en-US"/>
        </w:rPr>
      </w:pPr>
      <w:r w:rsidRPr="00920E8B">
        <w:rPr>
          <w:rFonts w:eastAsia="Calibri"/>
          <w:lang w:bidi="en-US"/>
        </w:rPr>
        <w:t>Grantee-reported data, including service delivery metrics, program milestones, and implementation updates.</w:t>
      </w:r>
    </w:p>
    <w:p w14:paraId="7D2650EA" w14:textId="097AFF54" w:rsidR="00FD3D97" w:rsidRPr="00920E8B" w:rsidRDefault="00FD3D97" w:rsidP="00086CF0">
      <w:pPr>
        <w:pStyle w:val="ListParagraph"/>
        <w:numPr>
          <w:ilvl w:val="0"/>
          <w:numId w:val="41"/>
        </w:numPr>
        <w:spacing w:after="240"/>
        <w:rPr>
          <w:rFonts w:eastAsia="Calibri"/>
          <w:lang w:bidi="en-US"/>
        </w:rPr>
      </w:pPr>
      <w:r w:rsidRPr="00920E8B">
        <w:rPr>
          <w:rFonts w:eastAsia="Calibri"/>
          <w:lang w:bidi="en-US"/>
        </w:rPr>
        <w:t>Participant and community feedback, gathered through surveys, focus groups, interviews, or other inclusive methods.</w:t>
      </w:r>
    </w:p>
    <w:p w14:paraId="41FB1F43" w14:textId="7C161087" w:rsidR="00FD3D97" w:rsidRPr="00920E8B" w:rsidRDefault="00FD3D97" w:rsidP="00086CF0">
      <w:pPr>
        <w:pStyle w:val="ListParagraph"/>
        <w:numPr>
          <w:ilvl w:val="0"/>
          <w:numId w:val="41"/>
        </w:numPr>
        <w:spacing w:after="240"/>
        <w:rPr>
          <w:rFonts w:eastAsia="Calibri"/>
          <w:lang w:bidi="en-US"/>
        </w:rPr>
      </w:pPr>
      <w:r w:rsidRPr="00920E8B">
        <w:rPr>
          <w:rFonts w:eastAsia="Calibri"/>
          <w:lang w:bidi="en-US"/>
        </w:rPr>
        <w:t>Staff and stakeholder reflections, such as implementation journals, TA session notes, and learning debriefs.</w:t>
      </w:r>
    </w:p>
    <w:p w14:paraId="27C4D240" w14:textId="1E7DE151" w:rsidR="00E6116F" w:rsidRPr="00604F0B" w:rsidRDefault="00FD3D97" w:rsidP="00FD3D97">
      <w:pPr>
        <w:pStyle w:val="ListParagraph"/>
        <w:numPr>
          <w:ilvl w:val="0"/>
          <w:numId w:val="41"/>
        </w:numPr>
        <w:spacing w:after="240"/>
        <w:rPr>
          <w:rFonts w:eastAsia="Calibri"/>
          <w:lang w:bidi="en-US"/>
        </w:rPr>
      </w:pPr>
      <w:r w:rsidRPr="00920E8B">
        <w:rPr>
          <w:rFonts w:eastAsia="Calibri"/>
          <w:lang w:bidi="en-US"/>
        </w:rPr>
        <w:t>Custom data tools, including dashboards, visualizations, and templates developed in collaboration with grantees.</w:t>
      </w:r>
    </w:p>
    <w:p w14:paraId="5274343B" w14:textId="388D8219" w:rsidR="00FD3D97" w:rsidRPr="007D0394" w:rsidRDefault="00920E8B" w:rsidP="00FD3D97">
      <w:pPr>
        <w:spacing w:after="240"/>
        <w:rPr>
          <w:rFonts w:ascii="Calibri" w:eastAsia="Calibri" w:hAnsi="Calibri" w:cs="Calibri"/>
          <w:sz w:val="28"/>
          <w:szCs w:val="28"/>
          <w:lang w:bidi="en-US"/>
        </w:rPr>
      </w:pPr>
      <w:r w:rsidRPr="007D0394">
        <w:rPr>
          <w:rFonts w:ascii="Calibri" w:eastAsia="Calibri" w:hAnsi="Calibri" w:cs="Calibri"/>
          <w:b/>
          <w:bCs/>
          <w:sz w:val="28"/>
          <w:szCs w:val="28"/>
          <w:lang w:bidi="en-US"/>
        </w:rPr>
        <w:t>2.</w:t>
      </w:r>
      <w:r w:rsidRPr="007D0394">
        <w:rPr>
          <w:rFonts w:ascii="Calibri" w:eastAsia="Calibri" w:hAnsi="Calibri" w:cs="Calibri"/>
          <w:sz w:val="28"/>
          <w:szCs w:val="28"/>
          <w:lang w:bidi="en-US"/>
        </w:rPr>
        <w:t xml:space="preserve"> </w:t>
      </w:r>
      <w:r w:rsidR="00FD3D97" w:rsidRPr="007D0394">
        <w:rPr>
          <w:rFonts w:ascii="Calibri" w:eastAsia="Calibri" w:hAnsi="Calibri" w:cs="Calibri"/>
          <w:b/>
          <w:bCs/>
          <w:sz w:val="28"/>
          <w:szCs w:val="28"/>
          <w:lang w:bidi="en-US"/>
        </w:rPr>
        <w:t>Data Use and Application</w:t>
      </w:r>
    </w:p>
    <w:p w14:paraId="53F1BEA0" w14:textId="77777777" w:rsidR="00FD3D97" w:rsidRPr="00920E8B" w:rsidRDefault="00FD3D97"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 xml:space="preserve">The TADE provider must demonstrate the ability to use data not only for reporting but as a core driver of learning and adaptation. </w:t>
      </w:r>
    </w:p>
    <w:p w14:paraId="121AF85A" w14:textId="77777777" w:rsidR="00FD3D97" w:rsidRPr="00920E8B" w:rsidRDefault="00FD3D97"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This includes:</w:t>
      </w:r>
      <w:r w:rsidR="008D3143" w:rsidRPr="00920E8B">
        <w:rPr>
          <w:rFonts w:ascii="Calibri" w:eastAsia="Calibri" w:hAnsi="Calibri" w:cs="Calibri"/>
          <w:sz w:val="24"/>
          <w:szCs w:val="24"/>
          <w:lang w:bidi="en-US"/>
        </w:rPr>
        <w:t xml:space="preserve">    </w:t>
      </w:r>
    </w:p>
    <w:p w14:paraId="593B91C7" w14:textId="7B0725FE" w:rsidR="00FD3D97" w:rsidRPr="00920E8B" w:rsidRDefault="00FD3D97" w:rsidP="00086CF0">
      <w:pPr>
        <w:pStyle w:val="ListParagraph"/>
        <w:numPr>
          <w:ilvl w:val="0"/>
          <w:numId w:val="40"/>
        </w:numPr>
        <w:spacing w:after="240"/>
        <w:rPr>
          <w:rFonts w:eastAsia="Calibri"/>
          <w:lang w:bidi="en-US"/>
        </w:rPr>
      </w:pPr>
      <w:r w:rsidRPr="00920E8B">
        <w:rPr>
          <w:rFonts w:eastAsia="Calibri"/>
          <w:lang w:bidi="en-US"/>
        </w:rPr>
        <w:lastRenderedPageBreak/>
        <w:t xml:space="preserve">Supporting </w:t>
      </w:r>
      <w:r w:rsidR="005A2EF6">
        <w:rPr>
          <w:rFonts w:eastAsia="Calibri"/>
          <w:lang w:bidi="en-US"/>
        </w:rPr>
        <w:t xml:space="preserve">ETPP </w:t>
      </w:r>
      <w:r w:rsidRPr="00920E8B">
        <w:rPr>
          <w:rFonts w:eastAsia="Calibri"/>
          <w:lang w:bidi="en-US"/>
        </w:rPr>
        <w:t>grantees in interpreting and applying data to inform program design and service delivery.</w:t>
      </w:r>
    </w:p>
    <w:p w14:paraId="5D54656B" w14:textId="7A52CB7A" w:rsidR="00FD3D97" w:rsidRPr="00920E8B" w:rsidRDefault="00FD3D97" w:rsidP="00086CF0">
      <w:pPr>
        <w:pStyle w:val="ListParagraph"/>
        <w:numPr>
          <w:ilvl w:val="0"/>
          <w:numId w:val="40"/>
        </w:numPr>
        <w:spacing w:after="240"/>
        <w:rPr>
          <w:rFonts w:eastAsia="Calibri"/>
          <w:lang w:bidi="en-US"/>
        </w:rPr>
      </w:pPr>
      <w:r w:rsidRPr="00920E8B">
        <w:rPr>
          <w:rFonts w:eastAsia="Calibri"/>
          <w:lang w:bidi="en-US"/>
        </w:rPr>
        <w:t>Identifying emerging trends and implementation challenges through real-time analysis.</w:t>
      </w:r>
    </w:p>
    <w:p w14:paraId="09C3A9D1" w14:textId="25D8F9B1" w:rsidR="00FD3D97" w:rsidRPr="00920E8B" w:rsidRDefault="00FD3D97" w:rsidP="00086CF0">
      <w:pPr>
        <w:pStyle w:val="ListParagraph"/>
        <w:numPr>
          <w:ilvl w:val="0"/>
          <w:numId w:val="40"/>
        </w:numPr>
        <w:spacing w:after="240"/>
        <w:rPr>
          <w:rFonts w:eastAsia="Calibri"/>
          <w:lang w:bidi="en-US"/>
        </w:rPr>
      </w:pPr>
      <w:r w:rsidRPr="00920E8B">
        <w:rPr>
          <w:rFonts w:eastAsia="Calibri"/>
          <w:lang w:bidi="en-US"/>
        </w:rPr>
        <w:t>Developing and deploying user-friendly data tools to support decision-making and communication.</w:t>
      </w:r>
    </w:p>
    <w:p w14:paraId="0F8F67D9" w14:textId="0A34BFE8" w:rsidR="00E940D4" w:rsidRPr="00E6116F" w:rsidRDefault="00FD3D97" w:rsidP="00FD3D97">
      <w:pPr>
        <w:pStyle w:val="ListParagraph"/>
        <w:numPr>
          <w:ilvl w:val="0"/>
          <w:numId w:val="40"/>
        </w:numPr>
        <w:spacing w:after="240"/>
        <w:rPr>
          <w:rFonts w:eastAsia="Calibri"/>
          <w:lang w:bidi="en-US"/>
        </w:rPr>
      </w:pPr>
      <w:r w:rsidRPr="00920E8B">
        <w:rPr>
          <w:rFonts w:eastAsia="Calibri"/>
          <w:lang w:bidi="en-US"/>
        </w:rPr>
        <w:t>Integrating participant voice and lived experience into evaluation findings to ensure services remain relevant and responsive.</w:t>
      </w:r>
    </w:p>
    <w:p w14:paraId="7B6BC413" w14:textId="549C69B0" w:rsidR="00FD3D97" w:rsidRPr="007D0394" w:rsidRDefault="00920E8B" w:rsidP="00FD3D97">
      <w:pPr>
        <w:spacing w:after="240"/>
        <w:rPr>
          <w:rFonts w:ascii="Calibri" w:eastAsia="Calibri" w:hAnsi="Calibri" w:cs="Calibri"/>
          <w:b/>
          <w:bCs/>
          <w:sz w:val="28"/>
          <w:szCs w:val="28"/>
          <w:lang w:bidi="en-US"/>
        </w:rPr>
      </w:pPr>
      <w:r w:rsidRPr="007D0394">
        <w:rPr>
          <w:rFonts w:ascii="Calibri" w:eastAsia="Calibri" w:hAnsi="Calibri" w:cs="Calibri"/>
          <w:b/>
          <w:bCs/>
          <w:sz w:val="28"/>
          <w:szCs w:val="28"/>
          <w:lang w:bidi="en-US"/>
        </w:rPr>
        <w:t>3.</w:t>
      </w:r>
      <w:r w:rsidR="008D3143" w:rsidRPr="007D0394">
        <w:rPr>
          <w:rFonts w:ascii="Calibri" w:eastAsia="Calibri" w:hAnsi="Calibri" w:cs="Calibri"/>
          <w:sz w:val="28"/>
          <w:szCs w:val="28"/>
          <w:lang w:bidi="en-US"/>
        </w:rPr>
        <w:t xml:space="preserve"> </w:t>
      </w:r>
      <w:r w:rsidR="00FD3D97" w:rsidRPr="007D0394">
        <w:rPr>
          <w:rFonts w:ascii="Calibri" w:eastAsia="Calibri" w:hAnsi="Calibri" w:cs="Calibri"/>
          <w:b/>
          <w:bCs/>
          <w:sz w:val="28"/>
          <w:szCs w:val="28"/>
          <w:lang w:bidi="en-US"/>
        </w:rPr>
        <w:t>Evidence of Impact and Learning</w:t>
      </w:r>
    </w:p>
    <w:p w14:paraId="1DE95E94" w14:textId="76E72F4A" w:rsidR="00FD3D97" w:rsidRPr="00920E8B" w:rsidRDefault="00FD3D97"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 xml:space="preserve">The TADE provider will be responsible for synthesizing data across </w:t>
      </w:r>
      <w:r w:rsidR="007F72DB">
        <w:rPr>
          <w:rFonts w:ascii="Calibri" w:eastAsia="Calibri" w:hAnsi="Calibri" w:cs="Calibri"/>
          <w:sz w:val="24"/>
          <w:szCs w:val="24"/>
          <w:lang w:bidi="en-US"/>
        </w:rPr>
        <w:t xml:space="preserve">ETPP </w:t>
      </w:r>
      <w:r w:rsidRPr="00920E8B">
        <w:rPr>
          <w:rFonts w:ascii="Calibri" w:eastAsia="Calibri" w:hAnsi="Calibri" w:cs="Calibri"/>
          <w:sz w:val="24"/>
          <w:szCs w:val="24"/>
          <w:lang w:bidi="en-US"/>
        </w:rPr>
        <w:t>grantees and programs to generate:</w:t>
      </w:r>
    </w:p>
    <w:p w14:paraId="747A53A9" w14:textId="3D219E6C" w:rsidR="00FD3D97" w:rsidRPr="00920E8B" w:rsidRDefault="00FD3D97" w:rsidP="00086CF0">
      <w:pPr>
        <w:pStyle w:val="ListParagraph"/>
        <w:numPr>
          <w:ilvl w:val="0"/>
          <w:numId w:val="39"/>
        </w:numPr>
        <w:spacing w:after="240"/>
        <w:rPr>
          <w:rFonts w:eastAsia="Calibri"/>
          <w:lang w:bidi="en-US"/>
        </w:rPr>
      </w:pPr>
      <w:r w:rsidRPr="00920E8B">
        <w:rPr>
          <w:rFonts w:eastAsia="Calibri"/>
          <w:lang w:bidi="en-US"/>
        </w:rPr>
        <w:t>Insights into effective practices, implementation challenges, and opportunities for improvement.</w:t>
      </w:r>
    </w:p>
    <w:p w14:paraId="13E86B3D" w14:textId="558D491E" w:rsidR="00FD3D97" w:rsidRPr="00920E8B" w:rsidRDefault="00FD3D97" w:rsidP="00086CF0">
      <w:pPr>
        <w:pStyle w:val="ListParagraph"/>
        <w:numPr>
          <w:ilvl w:val="0"/>
          <w:numId w:val="39"/>
        </w:numPr>
        <w:spacing w:after="240"/>
        <w:rPr>
          <w:rFonts w:eastAsia="Calibri"/>
          <w:lang w:bidi="en-US"/>
        </w:rPr>
      </w:pPr>
      <w:r w:rsidRPr="00920E8B">
        <w:rPr>
          <w:rFonts w:eastAsia="Calibri"/>
          <w:lang w:bidi="en-US"/>
        </w:rPr>
        <w:t>Cross-program themes and recommendations through the COP.</w:t>
      </w:r>
    </w:p>
    <w:p w14:paraId="31771785" w14:textId="358CEB4F" w:rsidR="00FD3D97" w:rsidRPr="00920E8B" w:rsidRDefault="00FD3D97" w:rsidP="00086CF0">
      <w:pPr>
        <w:pStyle w:val="ListParagraph"/>
        <w:numPr>
          <w:ilvl w:val="0"/>
          <w:numId w:val="39"/>
        </w:numPr>
        <w:spacing w:after="240"/>
        <w:rPr>
          <w:rFonts w:eastAsia="Calibri"/>
          <w:lang w:bidi="en-US"/>
        </w:rPr>
      </w:pPr>
      <w:r w:rsidRPr="00920E8B">
        <w:rPr>
          <w:rFonts w:eastAsia="Calibri"/>
          <w:lang w:bidi="en-US"/>
        </w:rPr>
        <w:t>Learning products, such as briefs, case studies, and toolkits, that document promising strategies and inform future investments.</w:t>
      </w:r>
    </w:p>
    <w:p w14:paraId="45FE81F7" w14:textId="0399A7B1" w:rsidR="001142C6" w:rsidRPr="007D0394" w:rsidRDefault="008D3143" w:rsidP="00FD3D97">
      <w:pPr>
        <w:spacing w:after="240"/>
        <w:rPr>
          <w:rFonts w:ascii="Calibri" w:eastAsia="Calibri" w:hAnsi="Calibri" w:cs="Calibri"/>
          <w:b/>
          <w:bCs/>
          <w:sz w:val="28"/>
          <w:szCs w:val="28"/>
          <w:lang w:bidi="en-US"/>
        </w:rPr>
      </w:pPr>
      <w:r w:rsidRPr="00920E8B">
        <w:rPr>
          <w:rFonts w:ascii="Calibri" w:eastAsia="Calibri" w:hAnsi="Calibri" w:cs="Calibri"/>
          <w:sz w:val="24"/>
          <w:szCs w:val="24"/>
          <w:lang w:bidi="en-US"/>
        </w:rPr>
        <w:t xml:space="preserve"> </w:t>
      </w:r>
      <w:bookmarkStart w:id="35" w:name="_Toc167356420"/>
      <w:r w:rsidR="00507468" w:rsidRPr="007D0394">
        <w:rPr>
          <w:rFonts w:ascii="Calibri" w:eastAsia="Calibri" w:hAnsi="Calibri" w:cs="Calibri"/>
          <w:b/>
          <w:bCs/>
          <w:sz w:val="28"/>
          <w:szCs w:val="28"/>
          <w:lang w:bidi="en-US"/>
        </w:rPr>
        <w:t>Applicant Requirements</w:t>
      </w:r>
    </w:p>
    <w:p w14:paraId="564C9EC9" w14:textId="77777777" w:rsidR="00507468" w:rsidRPr="00920E8B" w:rsidRDefault="00507468"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 xml:space="preserve">Applicants must demonstrate in their proposal that they have successfully implemented similar data strategies in past projects. </w:t>
      </w:r>
    </w:p>
    <w:p w14:paraId="1603DC3C" w14:textId="5EED7273" w:rsidR="00507468" w:rsidRPr="00920E8B" w:rsidRDefault="00507468" w:rsidP="00FD3D97">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This includes:</w:t>
      </w:r>
    </w:p>
    <w:p w14:paraId="63AF5BE7" w14:textId="2C5BEC04" w:rsidR="00507468" w:rsidRPr="00920E8B" w:rsidRDefault="00507468" w:rsidP="00086CF0">
      <w:pPr>
        <w:pStyle w:val="ListParagraph"/>
        <w:numPr>
          <w:ilvl w:val="0"/>
          <w:numId w:val="38"/>
        </w:numPr>
        <w:spacing w:after="240"/>
        <w:rPr>
          <w:rFonts w:eastAsia="Calibri"/>
          <w:lang w:bidi="en-US"/>
        </w:rPr>
      </w:pPr>
      <w:r w:rsidRPr="00920E8B">
        <w:rPr>
          <w:rFonts w:eastAsia="Calibri"/>
          <w:lang w:bidi="en-US"/>
        </w:rPr>
        <w:t>Experience working with administrative data systems (e.g., CalJOBS</w:t>
      </w:r>
      <w:r w:rsidRPr="00920E8B">
        <w:rPr>
          <w:rFonts w:eastAsia="Calibri"/>
          <w:vertAlign w:val="superscript"/>
          <w:lang w:bidi="en-US"/>
        </w:rPr>
        <w:t>SM</w:t>
      </w:r>
      <w:r w:rsidRPr="00920E8B">
        <w:rPr>
          <w:rFonts w:eastAsia="Calibri"/>
          <w:lang w:bidi="en-US"/>
        </w:rPr>
        <w:t xml:space="preserve"> or equivalent).</w:t>
      </w:r>
    </w:p>
    <w:p w14:paraId="59659FA2" w14:textId="5D7A30CA" w:rsidR="00507468" w:rsidRPr="00920E8B" w:rsidRDefault="00507468" w:rsidP="00086CF0">
      <w:pPr>
        <w:pStyle w:val="ListParagraph"/>
        <w:numPr>
          <w:ilvl w:val="0"/>
          <w:numId w:val="38"/>
        </w:numPr>
        <w:spacing w:after="240"/>
        <w:rPr>
          <w:rFonts w:eastAsia="Calibri"/>
          <w:lang w:bidi="en-US"/>
        </w:rPr>
      </w:pPr>
      <w:r w:rsidRPr="00920E8B">
        <w:rPr>
          <w:rFonts w:eastAsia="Calibri"/>
          <w:lang w:bidi="en-US"/>
        </w:rPr>
        <w:t>Development of data tools (e.g., dashboards, visualizations).</w:t>
      </w:r>
    </w:p>
    <w:p w14:paraId="2AA9E737" w14:textId="33AE9F55" w:rsidR="00507468" w:rsidRPr="00920E8B" w:rsidRDefault="00507468" w:rsidP="00086CF0">
      <w:pPr>
        <w:pStyle w:val="ListParagraph"/>
        <w:numPr>
          <w:ilvl w:val="0"/>
          <w:numId w:val="38"/>
        </w:numPr>
        <w:spacing w:after="240"/>
        <w:rPr>
          <w:rFonts w:eastAsia="Calibri"/>
          <w:lang w:bidi="en-US"/>
        </w:rPr>
      </w:pPr>
      <w:r w:rsidRPr="00920E8B">
        <w:rPr>
          <w:rFonts w:eastAsia="Calibri"/>
          <w:lang w:bidi="en-US"/>
        </w:rPr>
        <w:t>Use of participant and stakeholder feedback to inform program improvement.</w:t>
      </w:r>
    </w:p>
    <w:p w14:paraId="116A7873" w14:textId="4D235393" w:rsidR="00507468" w:rsidRPr="00920E8B" w:rsidRDefault="00507468" w:rsidP="00086CF0">
      <w:pPr>
        <w:pStyle w:val="ListParagraph"/>
        <w:numPr>
          <w:ilvl w:val="0"/>
          <w:numId w:val="38"/>
        </w:numPr>
        <w:spacing w:after="240"/>
        <w:rPr>
          <w:rFonts w:eastAsia="Calibri"/>
          <w:lang w:bidi="en-US"/>
        </w:rPr>
      </w:pPr>
      <w:r w:rsidRPr="00920E8B">
        <w:rPr>
          <w:rFonts w:eastAsia="Calibri"/>
          <w:lang w:bidi="en-US"/>
        </w:rPr>
        <w:t>Evidence of supporting organizations in using data for real-time learning and decision-making.</w:t>
      </w:r>
    </w:p>
    <w:p w14:paraId="7746AF96" w14:textId="515C6DBB" w:rsidR="00507468" w:rsidRDefault="00507468" w:rsidP="00507468">
      <w:pPr>
        <w:spacing w:after="240"/>
        <w:rPr>
          <w:rFonts w:ascii="Calibri" w:eastAsia="Calibri" w:hAnsi="Calibri" w:cs="Calibri"/>
          <w:sz w:val="24"/>
          <w:szCs w:val="24"/>
          <w:lang w:bidi="en-US"/>
        </w:rPr>
      </w:pPr>
      <w:r w:rsidRPr="00920E8B">
        <w:rPr>
          <w:rFonts w:ascii="Calibri" w:eastAsia="Calibri" w:hAnsi="Calibri" w:cs="Calibri"/>
          <w:sz w:val="24"/>
          <w:szCs w:val="24"/>
          <w:lang w:bidi="en-US"/>
        </w:rPr>
        <w:t>Applicants should provide specific examples, outcomes, and tools from prior work to substantiate their capacity to fulfill these responsibilities.</w:t>
      </w:r>
    </w:p>
    <w:p w14:paraId="67028221" w14:textId="55452F9F" w:rsidR="006113A6" w:rsidRPr="00831C2A" w:rsidRDefault="006113A6" w:rsidP="006113A6">
      <w:pPr>
        <w:pStyle w:val="Heading3"/>
      </w:pPr>
      <w:r>
        <w:lastRenderedPageBreak/>
        <w:t>Proposed Outcomes</w:t>
      </w:r>
    </w:p>
    <w:p w14:paraId="2C87BA28" w14:textId="13C83744" w:rsidR="006113A6" w:rsidRDefault="006113A6" w:rsidP="00507468">
      <w:pPr>
        <w:spacing w:after="240"/>
        <w:rPr>
          <w:rFonts w:ascii="Calibri" w:eastAsia="Calibri" w:hAnsi="Calibri" w:cs="Calibri"/>
          <w:sz w:val="24"/>
          <w:szCs w:val="24"/>
          <w:lang w:bidi="en-US"/>
        </w:rPr>
      </w:pPr>
      <w:r w:rsidRPr="006113A6">
        <w:rPr>
          <w:rFonts w:ascii="Calibri" w:eastAsia="Calibri" w:hAnsi="Calibri" w:cs="Calibri"/>
          <w:sz w:val="24"/>
          <w:szCs w:val="24"/>
          <w:lang w:bidi="en-US"/>
        </w:rPr>
        <w:t>The TADE provider will be responsible for delivering measurable, results-oriented outcomes aligned with the two core purposes of this initiative:</w:t>
      </w:r>
    </w:p>
    <w:p w14:paraId="04331843" w14:textId="3DA595A4" w:rsidR="006113A6" w:rsidRPr="006113A6" w:rsidRDefault="006113A6" w:rsidP="00086CF0">
      <w:pPr>
        <w:numPr>
          <w:ilvl w:val="0"/>
          <w:numId w:val="42"/>
        </w:numPr>
        <w:spacing w:after="240"/>
        <w:rPr>
          <w:rFonts w:ascii="Calibri" w:eastAsia="Calibri" w:hAnsi="Calibri" w:cs="Calibri"/>
          <w:sz w:val="24"/>
          <w:szCs w:val="24"/>
          <w:lang w:bidi="en-US"/>
        </w:rPr>
      </w:pPr>
      <w:r w:rsidRPr="006113A6">
        <w:rPr>
          <w:rFonts w:ascii="Calibri" w:eastAsia="Calibri" w:hAnsi="Calibri" w:cs="Calibri"/>
          <w:sz w:val="24"/>
          <w:szCs w:val="24"/>
          <w:lang w:bidi="en-US"/>
        </w:rPr>
        <w:t xml:space="preserve">Providing </w:t>
      </w:r>
      <w:r w:rsidR="001D54C5">
        <w:rPr>
          <w:rFonts w:ascii="Calibri" w:eastAsia="Calibri" w:hAnsi="Calibri" w:cs="Calibri"/>
          <w:sz w:val="24"/>
          <w:szCs w:val="24"/>
          <w:lang w:bidi="en-US"/>
        </w:rPr>
        <w:t>T</w:t>
      </w:r>
      <w:r w:rsidRPr="006113A6">
        <w:rPr>
          <w:rFonts w:ascii="Calibri" w:eastAsia="Calibri" w:hAnsi="Calibri" w:cs="Calibri"/>
          <w:sz w:val="24"/>
          <w:szCs w:val="24"/>
          <w:lang w:bidi="en-US"/>
        </w:rPr>
        <w:t xml:space="preserve">echnical </w:t>
      </w:r>
      <w:r w:rsidR="001D54C5">
        <w:rPr>
          <w:rFonts w:ascii="Calibri" w:eastAsia="Calibri" w:hAnsi="Calibri" w:cs="Calibri"/>
          <w:sz w:val="24"/>
          <w:szCs w:val="24"/>
          <w:lang w:bidi="en-US"/>
        </w:rPr>
        <w:t>A</w:t>
      </w:r>
      <w:r w:rsidRPr="006113A6">
        <w:rPr>
          <w:rFonts w:ascii="Calibri" w:eastAsia="Calibri" w:hAnsi="Calibri" w:cs="Calibri"/>
          <w:sz w:val="24"/>
          <w:szCs w:val="24"/>
          <w:lang w:bidi="en-US"/>
        </w:rPr>
        <w:t>ssistance</w:t>
      </w:r>
      <w:r w:rsidR="00596F06" w:rsidRPr="00596F06">
        <w:rPr>
          <w:rFonts w:ascii="Calibri" w:eastAsia="Calibri" w:hAnsi="Calibri" w:cs="Calibri"/>
          <w:sz w:val="24"/>
          <w:szCs w:val="24"/>
          <w:lang w:bidi="en-US"/>
        </w:rPr>
        <w:t xml:space="preserve"> and </w:t>
      </w:r>
      <w:r w:rsidR="001D54C5">
        <w:rPr>
          <w:rFonts w:ascii="Calibri" w:eastAsia="Calibri" w:hAnsi="Calibri" w:cs="Calibri"/>
          <w:sz w:val="24"/>
          <w:szCs w:val="24"/>
          <w:lang w:bidi="en-US"/>
        </w:rPr>
        <w:t>D</w:t>
      </w:r>
      <w:r w:rsidR="00596F06" w:rsidRPr="00596F06">
        <w:rPr>
          <w:rFonts w:ascii="Calibri" w:eastAsia="Calibri" w:hAnsi="Calibri" w:cs="Calibri"/>
          <w:sz w:val="24"/>
          <w:szCs w:val="24"/>
          <w:lang w:bidi="en-US"/>
        </w:rPr>
        <w:t xml:space="preserve">evelopmental </w:t>
      </w:r>
      <w:r w:rsidR="001D54C5">
        <w:rPr>
          <w:rFonts w:ascii="Calibri" w:eastAsia="Calibri" w:hAnsi="Calibri" w:cs="Calibri"/>
          <w:sz w:val="24"/>
          <w:szCs w:val="24"/>
          <w:lang w:bidi="en-US"/>
        </w:rPr>
        <w:t>E</w:t>
      </w:r>
      <w:r w:rsidR="00596F06" w:rsidRPr="00596F06">
        <w:rPr>
          <w:rFonts w:ascii="Calibri" w:eastAsia="Calibri" w:hAnsi="Calibri" w:cs="Calibri"/>
          <w:sz w:val="24"/>
          <w:szCs w:val="24"/>
          <w:lang w:bidi="en-US"/>
        </w:rPr>
        <w:t>valuation</w:t>
      </w:r>
      <w:r w:rsidRPr="006113A6">
        <w:rPr>
          <w:rFonts w:ascii="Calibri" w:eastAsia="Calibri" w:hAnsi="Calibri" w:cs="Calibri"/>
          <w:sz w:val="24"/>
          <w:szCs w:val="24"/>
          <w:lang w:bidi="en-US"/>
        </w:rPr>
        <w:t xml:space="preserve"> to</w:t>
      </w:r>
      <w:r w:rsidR="00596F06" w:rsidRPr="00596F06">
        <w:rPr>
          <w:rFonts w:ascii="Calibri" w:eastAsia="Calibri" w:hAnsi="Calibri" w:cs="Calibri"/>
          <w:sz w:val="24"/>
          <w:szCs w:val="24"/>
          <w:lang w:bidi="en-US"/>
        </w:rPr>
        <w:t xml:space="preserve"> PY 25-26</w:t>
      </w:r>
      <w:r w:rsidRPr="006113A6">
        <w:rPr>
          <w:rFonts w:ascii="Calibri" w:eastAsia="Calibri" w:hAnsi="Calibri" w:cs="Calibri"/>
          <w:sz w:val="24"/>
          <w:szCs w:val="24"/>
          <w:lang w:bidi="en-US"/>
        </w:rPr>
        <w:t xml:space="preserve"> ETPP grantees, and </w:t>
      </w:r>
    </w:p>
    <w:p w14:paraId="373686F0" w14:textId="5AA6BD9B" w:rsidR="006113A6" w:rsidRDefault="006113A6" w:rsidP="00086CF0">
      <w:pPr>
        <w:numPr>
          <w:ilvl w:val="0"/>
          <w:numId w:val="42"/>
        </w:numPr>
        <w:spacing w:after="240"/>
        <w:rPr>
          <w:rFonts w:ascii="Calibri" w:eastAsia="Calibri" w:hAnsi="Calibri" w:cs="Calibri"/>
          <w:sz w:val="24"/>
          <w:szCs w:val="24"/>
          <w:lang w:bidi="en-US"/>
        </w:rPr>
      </w:pPr>
      <w:r w:rsidRPr="006113A6">
        <w:rPr>
          <w:rFonts w:ascii="Calibri" w:eastAsia="Calibri" w:hAnsi="Calibri" w:cs="Calibri"/>
          <w:sz w:val="24"/>
          <w:szCs w:val="24"/>
          <w:lang w:bidi="en-US"/>
        </w:rPr>
        <w:t>Facilitating a COP among TA providers supporting related workforce programs.</w:t>
      </w:r>
    </w:p>
    <w:p w14:paraId="731AE749" w14:textId="204754A6" w:rsidR="00596F06" w:rsidRDefault="00596F06" w:rsidP="00596F06">
      <w:pPr>
        <w:spacing w:after="240"/>
        <w:rPr>
          <w:rFonts w:ascii="Calibri" w:eastAsia="Calibri" w:hAnsi="Calibri" w:cs="Calibri"/>
          <w:sz w:val="24"/>
          <w:szCs w:val="24"/>
          <w:lang w:bidi="en-US"/>
        </w:rPr>
      </w:pPr>
      <w:r w:rsidRPr="00596F06">
        <w:rPr>
          <w:rFonts w:ascii="Calibri" w:eastAsia="Calibri" w:hAnsi="Calibri" w:cs="Calibri"/>
          <w:sz w:val="24"/>
          <w:szCs w:val="24"/>
          <w:lang w:bidi="en-US"/>
        </w:rPr>
        <w:t xml:space="preserve">At </w:t>
      </w:r>
      <w:r>
        <w:rPr>
          <w:rFonts w:ascii="Calibri" w:eastAsia="Calibri" w:hAnsi="Calibri" w:cs="Calibri"/>
          <w:sz w:val="24"/>
          <w:szCs w:val="24"/>
          <w:lang w:bidi="en-US"/>
        </w:rPr>
        <w:t xml:space="preserve">a </w:t>
      </w:r>
      <w:r w:rsidRPr="00596F06">
        <w:rPr>
          <w:rFonts w:ascii="Calibri" w:eastAsia="Calibri" w:hAnsi="Calibri" w:cs="Calibri"/>
          <w:sz w:val="24"/>
          <w:szCs w:val="24"/>
          <w:lang w:bidi="en-US"/>
        </w:rPr>
        <w:t>minimum, the TADE provider will provide the following outcomes:</w:t>
      </w:r>
    </w:p>
    <w:p w14:paraId="3B9C2351" w14:textId="1A83ACBD"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4"/>
          <w:szCs w:val="24"/>
          <w:lang w:bidi="en-US"/>
        </w:rPr>
        <w:t>Purpose 1</w:t>
      </w:r>
      <w:r w:rsidRPr="00596F06">
        <w:rPr>
          <w:rFonts w:ascii="Calibri" w:eastAsia="Calibri" w:hAnsi="Calibri" w:cs="Calibri"/>
          <w:sz w:val="24"/>
          <w:szCs w:val="24"/>
          <w:lang w:bidi="en-US"/>
        </w:rPr>
        <w:t>: Technical Assistance</w:t>
      </w:r>
      <w:r>
        <w:rPr>
          <w:rFonts w:ascii="Calibri" w:eastAsia="Calibri" w:hAnsi="Calibri" w:cs="Calibri"/>
          <w:sz w:val="24"/>
          <w:szCs w:val="24"/>
          <w:lang w:bidi="en-US"/>
        </w:rPr>
        <w:t xml:space="preserve"> and Developmental Evaluation</w:t>
      </w:r>
      <w:r w:rsidRPr="00596F06">
        <w:rPr>
          <w:rFonts w:ascii="Calibri" w:eastAsia="Calibri" w:hAnsi="Calibri" w:cs="Calibri"/>
          <w:sz w:val="24"/>
          <w:szCs w:val="24"/>
          <w:lang w:bidi="en-US"/>
        </w:rPr>
        <w:t xml:space="preserve"> for ETPP Grantees</w:t>
      </w:r>
      <w:r>
        <w:rPr>
          <w:rFonts w:ascii="Calibri" w:eastAsia="Calibri" w:hAnsi="Calibri" w:cs="Calibri"/>
          <w:sz w:val="24"/>
          <w:szCs w:val="24"/>
          <w:lang w:bidi="en-US"/>
        </w:rPr>
        <w:t>.</w:t>
      </w:r>
    </w:p>
    <w:p w14:paraId="1EDAF1E5" w14:textId="7AAA0DB7"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8"/>
          <w:szCs w:val="28"/>
          <w:lang w:bidi="en-US"/>
        </w:rPr>
        <w:t>Outcome 1</w:t>
      </w:r>
      <w:r w:rsidRPr="00596F06">
        <w:rPr>
          <w:rFonts w:ascii="Calibri" w:eastAsia="Calibri" w:hAnsi="Calibri" w:cs="Calibri"/>
          <w:sz w:val="24"/>
          <w:szCs w:val="24"/>
          <w:lang w:bidi="en-US"/>
        </w:rPr>
        <w:t>: Measurable Improvements in Grantee Capacity for Data-Driven</w:t>
      </w:r>
      <w:r w:rsidR="004E0C75">
        <w:rPr>
          <w:rFonts w:ascii="Calibri" w:eastAsia="Calibri" w:hAnsi="Calibri" w:cs="Calibri"/>
          <w:sz w:val="24"/>
          <w:szCs w:val="24"/>
          <w:lang w:bidi="en-US"/>
        </w:rPr>
        <w:t xml:space="preserve"> Outcomes.</w:t>
      </w:r>
    </w:p>
    <w:p w14:paraId="2854BE14" w14:textId="184E5E25" w:rsidR="00596F06" w:rsidRPr="006113A6" w:rsidRDefault="00596F06" w:rsidP="00596F06">
      <w:pPr>
        <w:spacing w:after="240"/>
        <w:rPr>
          <w:rFonts w:ascii="Calibri" w:eastAsia="Calibri" w:hAnsi="Calibri" w:cs="Calibri"/>
          <w:b/>
          <w:bCs/>
          <w:sz w:val="24"/>
          <w:szCs w:val="24"/>
          <w:lang w:bidi="en-US"/>
        </w:rPr>
      </w:pPr>
      <w:r w:rsidRPr="001D54C5">
        <w:rPr>
          <w:rFonts w:ascii="Calibri" w:eastAsia="Calibri" w:hAnsi="Calibri" w:cs="Calibri"/>
          <w:b/>
          <w:bCs/>
          <w:sz w:val="24"/>
          <w:szCs w:val="24"/>
          <w:lang w:bidi="en-US"/>
        </w:rPr>
        <w:t>Decision-Making</w:t>
      </w:r>
    </w:p>
    <w:p w14:paraId="7413C6D6" w14:textId="1DA3EA89" w:rsidR="00596F06" w:rsidRPr="00596F06" w:rsidRDefault="00596F06" w:rsidP="00086CF0">
      <w:pPr>
        <w:pStyle w:val="ListParagraph"/>
        <w:numPr>
          <w:ilvl w:val="0"/>
          <w:numId w:val="47"/>
        </w:numPr>
        <w:spacing w:after="240"/>
        <w:rPr>
          <w:rFonts w:eastAsia="Calibri"/>
          <w:lang w:bidi="en-US"/>
        </w:rPr>
      </w:pPr>
      <w:r w:rsidRPr="00596F06">
        <w:rPr>
          <w:rFonts w:eastAsia="Calibri"/>
          <w:lang w:bidi="en-US"/>
        </w:rPr>
        <w:t>Grantees demonstrate increased ability to collect, interpret, and apply data to improve program design and service delivery.</w:t>
      </w:r>
    </w:p>
    <w:p w14:paraId="35C002B8" w14:textId="3365F49F" w:rsidR="00596F06" w:rsidRPr="00596F06" w:rsidRDefault="00596F06" w:rsidP="00086CF0">
      <w:pPr>
        <w:pStyle w:val="ListParagraph"/>
        <w:numPr>
          <w:ilvl w:val="0"/>
          <w:numId w:val="47"/>
        </w:numPr>
        <w:spacing w:after="240"/>
        <w:rPr>
          <w:rFonts w:eastAsia="Calibri"/>
          <w:lang w:bidi="en-US"/>
        </w:rPr>
      </w:pPr>
      <w:r w:rsidRPr="00596F06">
        <w:rPr>
          <w:rFonts w:eastAsia="Calibri"/>
          <w:lang w:bidi="en-US"/>
        </w:rPr>
        <w:t xml:space="preserve">At least 90% of </w:t>
      </w:r>
      <w:r w:rsidR="00337045">
        <w:rPr>
          <w:rFonts w:eastAsia="Calibri"/>
          <w:lang w:bidi="en-US"/>
        </w:rPr>
        <w:t xml:space="preserve">ETPP </w:t>
      </w:r>
      <w:r w:rsidRPr="00596F06">
        <w:rPr>
          <w:rFonts w:eastAsia="Calibri"/>
          <w:lang w:bidi="en-US"/>
        </w:rPr>
        <w:t>grantees adopt and regularly use customized data tools (e.g., dashboards, tracking templates).</w:t>
      </w:r>
    </w:p>
    <w:p w14:paraId="3921E3DC" w14:textId="28340FB6" w:rsidR="006113A6" w:rsidRPr="00596F06" w:rsidRDefault="00596F06" w:rsidP="00086CF0">
      <w:pPr>
        <w:pStyle w:val="ListParagraph"/>
        <w:numPr>
          <w:ilvl w:val="0"/>
          <w:numId w:val="47"/>
        </w:numPr>
        <w:spacing w:after="240"/>
        <w:rPr>
          <w:rFonts w:eastAsia="Calibri"/>
          <w:lang w:bidi="en-US"/>
        </w:rPr>
      </w:pPr>
      <w:r w:rsidRPr="00596F06">
        <w:rPr>
          <w:rFonts w:eastAsia="Calibri"/>
          <w:lang w:bidi="en-US"/>
        </w:rPr>
        <w:t xml:space="preserve">Grantees report specific program adjustments made </w:t>
      </w:r>
      <w:proofErr w:type="gramStart"/>
      <w:r w:rsidRPr="00596F06">
        <w:rPr>
          <w:rFonts w:eastAsia="Calibri"/>
          <w:lang w:bidi="en-US"/>
        </w:rPr>
        <w:t>as a result of</w:t>
      </w:r>
      <w:proofErr w:type="gramEnd"/>
      <w:r w:rsidRPr="00596F06">
        <w:rPr>
          <w:rFonts w:eastAsia="Calibri"/>
          <w:lang w:bidi="en-US"/>
        </w:rPr>
        <w:t xml:space="preserve"> evaluation findings.</w:t>
      </w:r>
    </w:p>
    <w:p w14:paraId="295FE2D5" w14:textId="4036B65F"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8"/>
          <w:szCs w:val="28"/>
          <w:lang w:bidi="en-US"/>
        </w:rPr>
        <w:t>Outcome 2</w:t>
      </w:r>
      <w:r w:rsidRPr="001D54C5">
        <w:rPr>
          <w:rFonts w:ascii="Calibri" w:eastAsia="Calibri" w:hAnsi="Calibri" w:cs="Calibri"/>
          <w:sz w:val="28"/>
          <w:szCs w:val="28"/>
          <w:lang w:bidi="en-US"/>
        </w:rPr>
        <w:t xml:space="preserve">: </w:t>
      </w:r>
      <w:r w:rsidRPr="00596F06">
        <w:rPr>
          <w:rFonts w:ascii="Calibri" w:eastAsia="Calibri" w:hAnsi="Calibri" w:cs="Calibri"/>
          <w:sz w:val="24"/>
          <w:szCs w:val="24"/>
          <w:lang w:bidi="en-US"/>
        </w:rPr>
        <w:t>Implementation of Inclusive and Responsive Evaluation Practices</w:t>
      </w:r>
      <w:r w:rsidR="000C271D">
        <w:rPr>
          <w:rFonts w:ascii="Calibri" w:eastAsia="Calibri" w:hAnsi="Calibri" w:cs="Calibri"/>
          <w:sz w:val="24"/>
          <w:szCs w:val="24"/>
          <w:lang w:bidi="en-US"/>
        </w:rPr>
        <w:t>.</w:t>
      </w:r>
    </w:p>
    <w:p w14:paraId="024AB6D0" w14:textId="084E1313" w:rsidR="00596F06" w:rsidRPr="00596F06" w:rsidRDefault="00596F06" w:rsidP="00086CF0">
      <w:pPr>
        <w:pStyle w:val="ListParagraph"/>
        <w:numPr>
          <w:ilvl w:val="0"/>
          <w:numId w:val="46"/>
        </w:numPr>
        <w:spacing w:after="240"/>
        <w:rPr>
          <w:rFonts w:eastAsia="Calibri"/>
          <w:lang w:bidi="en-US"/>
        </w:rPr>
      </w:pPr>
      <w:r w:rsidRPr="00596F06">
        <w:rPr>
          <w:rFonts w:eastAsia="Calibri"/>
          <w:lang w:bidi="en-US"/>
        </w:rPr>
        <w:t>All grantees co-develop evaluation plans that reflect both statewide goals and local learning priorities.</w:t>
      </w:r>
    </w:p>
    <w:p w14:paraId="07540E33" w14:textId="140140C1" w:rsidR="00596F06" w:rsidRPr="00596F06" w:rsidRDefault="00596F06" w:rsidP="00086CF0">
      <w:pPr>
        <w:pStyle w:val="ListParagraph"/>
        <w:numPr>
          <w:ilvl w:val="0"/>
          <w:numId w:val="46"/>
        </w:numPr>
        <w:spacing w:after="240"/>
        <w:rPr>
          <w:rFonts w:eastAsia="Calibri"/>
          <w:lang w:bidi="en-US"/>
        </w:rPr>
      </w:pPr>
      <w:r w:rsidRPr="00596F06">
        <w:rPr>
          <w:rFonts w:eastAsia="Calibri"/>
          <w:lang w:bidi="en-US"/>
        </w:rPr>
        <w:t>At least 75% of grantees incorporate participant or community feedback into their evaluation or program design.</w:t>
      </w:r>
    </w:p>
    <w:p w14:paraId="515F1F19" w14:textId="6E33BA4D" w:rsidR="00596F06" w:rsidRPr="00596F06" w:rsidRDefault="00596F06" w:rsidP="00086CF0">
      <w:pPr>
        <w:pStyle w:val="ListParagraph"/>
        <w:numPr>
          <w:ilvl w:val="0"/>
          <w:numId w:val="46"/>
        </w:numPr>
        <w:spacing w:after="240"/>
        <w:rPr>
          <w:rFonts w:eastAsia="Calibri"/>
          <w:lang w:bidi="en-US"/>
        </w:rPr>
      </w:pPr>
      <w:r w:rsidRPr="00596F06">
        <w:rPr>
          <w:rFonts w:eastAsia="Calibri"/>
          <w:lang w:bidi="en-US"/>
        </w:rPr>
        <w:t>Evaluation activities result in documented examples of adaptive changes based on real-time learning.</w:t>
      </w:r>
    </w:p>
    <w:p w14:paraId="1674D784" w14:textId="3B1DA5FA"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8"/>
          <w:szCs w:val="28"/>
          <w:lang w:bidi="en-US"/>
        </w:rPr>
        <w:t>Outcome 3</w:t>
      </w:r>
      <w:r w:rsidRPr="001D54C5">
        <w:rPr>
          <w:rFonts w:ascii="Calibri" w:eastAsia="Calibri" w:hAnsi="Calibri" w:cs="Calibri"/>
          <w:sz w:val="28"/>
          <w:szCs w:val="28"/>
          <w:lang w:bidi="en-US"/>
        </w:rPr>
        <w:t>:</w:t>
      </w:r>
      <w:r w:rsidRPr="00596F06">
        <w:rPr>
          <w:rFonts w:ascii="Calibri" w:eastAsia="Calibri" w:hAnsi="Calibri" w:cs="Calibri"/>
          <w:sz w:val="24"/>
          <w:szCs w:val="24"/>
          <w:lang w:bidi="en-US"/>
        </w:rPr>
        <w:t xml:space="preserve"> Delivery of High-Quality, Targeted Technical Assistance</w:t>
      </w:r>
      <w:r w:rsidR="0062633F">
        <w:rPr>
          <w:rFonts w:ascii="Calibri" w:eastAsia="Calibri" w:hAnsi="Calibri" w:cs="Calibri"/>
          <w:sz w:val="24"/>
          <w:szCs w:val="24"/>
          <w:lang w:bidi="en-US"/>
        </w:rPr>
        <w:t>.</w:t>
      </w:r>
    </w:p>
    <w:p w14:paraId="5F971F94" w14:textId="7BEBDA85" w:rsidR="00596F06" w:rsidRPr="00596F06" w:rsidRDefault="00596F06" w:rsidP="00086CF0">
      <w:pPr>
        <w:pStyle w:val="ListParagraph"/>
        <w:numPr>
          <w:ilvl w:val="0"/>
          <w:numId w:val="45"/>
        </w:numPr>
        <w:spacing w:after="240"/>
        <w:rPr>
          <w:rFonts w:eastAsia="Calibri"/>
          <w:lang w:bidi="en-US"/>
        </w:rPr>
      </w:pPr>
      <w:r w:rsidRPr="00596F06">
        <w:rPr>
          <w:rFonts w:eastAsia="Calibri"/>
          <w:lang w:bidi="en-US"/>
        </w:rPr>
        <w:t>Grantees receive TA that is timely, relevant, and aligned with their identified needs.</w:t>
      </w:r>
    </w:p>
    <w:p w14:paraId="43A368A7" w14:textId="606D18FC" w:rsidR="00596F06" w:rsidRPr="00596F06" w:rsidRDefault="00596F06" w:rsidP="00086CF0">
      <w:pPr>
        <w:pStyle w:val="ListParagraph"/>
        <w:numPr>
          <w:ilvl w:val="0"/>
          <w:numId w:val="45"/>
        </w:numPr>
        <w:spacing w:after="240"/>
        <w:rPr>
          <w:rFonts w:eastAsia="Calibri"/>
          <w:lang w:bidi="en-US"/>
        </w:rPr>
      </w:pPr>
      <w:r w:rsidRPr="00596F06">
        <w:rPr>
          <w:rFonts w:eastAsia="Calibri"/>
          <w:lang w:bidi="en-US"/>
        </w:rPr>
        <w:t xml:space="preserve">A minimum of 10 training sessions or peer learning events </w:t>
      </w:r>
      <w:r w:rsidR="0062633F">
        <w:rPr>
          <w:rFonts w:eastAsia="Calibri"/>
          <w:lang w:bidi="en-US"/>
        </w:rPr>
        <w:t>is</w:t>
      </w:r>
      <w:r w:rsidRPr="00596F06">
        <w:rPr>
          <w:rFonts w:eastAsia="Calibri"/>
          <w:lang w:bidi="en-US"/>
        </w:rPr>
        <w:t xml:space="preserve"> delivered on emerging or high-priority topics.</w:t>
      </w:r>
    </w:p>
    <w:p w14:paraId="53568935" w14:textId="66D42EE2" w:rsidR="00596F06" w:rsidRPr="00596F06" w:rsidRDefault="00596F06" w:rsidP="00086CF0">
      <w:pPr>
        <w:pStyle w:val="ListParagraph"/>
        <w:numPr>
          <w:ilvl w:val="0"/>
          <w:numId w:val="45"/>
        </w:numPr>
        <w:spacing w:after="240"/>
        <w:rPr>
          <w:rFonts w:eastAsia="Calibri"/>
          <w:lang w:bidi="en-US"/>
        </w:rPr>
      </w:pPr>
      <w:r w:rsidRPr="00596F06">
        <w:rPr>
          <w:rFonts w:eastAsia="Calibri"/>
          <w:lang w:bidi="en-US"/>
        </w:rPr>
        <w:lastRenderedPageBreak/>
        <w:t>Post-TA surveys show at least 85% of grantees report increased confidence or capacity in key focus areas (e.g., data use, program design, participant engagement).</w:t>
      </w:r>
    </w:p>
    <w:p w14:paraId="4B6141F6" w14:textId="0AF5FA83" w:rsidR="00F92897" w:rsidRPr="006B74FF"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4"/>
          <w:szCs w:val="24"/>
          <w:lang w:bidi="en-US"/>
        </w:rPr>
        <w:t>Purpose 2:</w:t>
      </w:r>
      <w:r w:rsidRPr="00596F06">
        <w:rPr>
          <w:rFonts w:ascii="Calibri" w:eastAsia="Calibri" w:hAnsi="Calibri" w:cs="Calibri"/>
          <w:sz w:val="24"/>
          <w:szCs w:val="24"/>
          <w:lang w:bidi="en-US"/>
        </w:rPr>
        <w:t xml:space="preserve"> Facilitation of a COP </w:t>
      </w:r>
      <w:r w:rsidR="00EC6052">
        <w:rPr>
          <w:rFonts w:ascii="Calibri" w:eastAsia="Calibri" w:hAnsi="Calibri" w:cs="Calibri"/>
          <w:sz w:val="24"/>
          <w:szCs w:val="24"/>
          <w:lang w:bidi="en-US"/>
        </w:rPr>
        <w:t>A</w:t>
      </w:r>
      <w:r w:rsidRPr="00596F06">
        <w:rPr>
          <w:rFonts w:ascii="Calibri" w:eastAsia="Calibri" w:hAnsi="Calibri" w:cs="Calibri"/>
          <w:sz w:val="24"/>
          <w:szCs w:val="24"/>
          <w:lang w:bidi="en-US"/>
        </w:rPr>
        <w:t>mong TA Providers</w:t>
      </w:r>
      <w:r w:rsidR="003D4F93">
        <w:rPr>
          <w:rFonts w:ascii="Calibri" w:eastAsia="Calibri" w:hAnsi="Calibri" w:cs="Calibri"/>
          <w:sz w:val="24"/>
          <w:szCs w:val="24"/>
          <w:lang w:bidi="en-US"/>
        </w:rPr>
        <w:t>.</w:t>
      </w:r>
    </w:p>
    <w:p w14:paraId="34874E9E" w14:textId="1C60DF3F"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8"/>
          <w:szCs w:val="28"/>
          <w:lang w:bidi="en-US"/>
        </w:rPr>
        <w:t>Outcome 4:</w:t>
      </w:r>
      <w:r w:rsidRPr="00596F06">
        <w:rPr>
          <w:rFonts w:ascii="Calibri" w:eastAsia="Calibri" w:hAnsi="Calibri" w:cs="Calibri"/>
          <w:sz w:val="24"/>
          <w:szCs w:val="24"/>
          <w:lang w:bidi="en-US"/>
        </w:rPr>
        <w:t xml:space="preserve"> Strengthened Cross-Program Collaboration and Shared Learning</w:t>
      </w:r>
      <w:r w:rsidR="003F46DF">
        <w:rPr>
          <w:rFonts w:ascii="Calibri" w:eastAsia="Calibri" w:hAnsi="Calibri" w:cs="Calibri"/>
          <w:sz w:val="24"/>
          <w:szCs w:val="24"/>
          <w:lang w:bidi="en-US"/>
        </w:rPr>
        <w:t>.</w:t>
      </w:r>
    </w:p>
    <w:p w14:paraId="33D294EB" w14:textId="0F7B9703" w:rsidR="00596F06" w:rsidRPr="00596F06" w:rsidRDefault="00596F06" w:rsidP="00086CF0">
      <w:pPr>
        <w:pStyle w:val="ListParagraph"/>
        <w:numPr>
          <w:ilvl w:val="0"/>
          <w:numId w:val="44"/>
        </w:numPr>
        <w:spacing w:after="240"/>
        <w:rPr>
          <w:rFonts w:eastAsia="Calibri"/>
          <w:lang w:bidi="en-US"/>
        </w:rPr>
      </w:pPr>
      <w:r w:rsidRPr="00596F06">
        <w:rPr>
          <w:rFonts w:eastAsia="Calibri"/>
          <w:lang w:bidi="en-US"/>
        </w:rPr>
        <w:t>A COP is launched and sustained with active participation from TA providers supporting DOGWF, ELL, FAP, ESE, OYACPP, and the DOR AJCC Collaboration Project.</w:t>
      </w:r>
    </w:p>
    <w:p w14:paraId="30A7B7C4" w14:textId="4E21901D" w:rsidR="00596F06" w:rsidRPr="00596F06" w:rsidRDefault="00596F06" w:rsidP="00086CF0">
      <w:pPr>
        <w:pStyle w:val="ListParagraph"/>
        <w:numPr>
          <w:ilvl w:val="0"/>
          <w:numId w:val="44"/>
        </w:numPr>
        <w:spacing w:after="240"/>
        <w:rPr>
          <w:rFonts w:eastAsia="Calibri"/>
          <w:lang w:bidi="en-US"/>
        </w:rPr>
      </w:pPr>
      <w:r w:rsidRPr="00596F06">
        <w:rPr>
          <w:rFonts w:eastAsia="Calibri"/>
          <w:lang w:bidi="en-US"/>
        </w:rPr>
        <w:t>At least four structured convenings are held annually, with documented agendas, shared tools, and collaborative outputs.</w:t>
      </w:r>
    </w:p>
    <w:p w14:paraId="010533C0" w14:textId="1D3E6F05" w:rsidR="00596F06" w:rsidRPr="00596F06" w:rsidRDefault="00596F06" w:rsidP="00086CF0">
      <w:pPr>
        <w:pStyle w:val="ListParagraph"/>
        <w:numPr>
          <w:ilvl w:val="0"/>
          <w:numId w:val="44"/>
        </w:numPr>
        <w:spacing w:after="240"/>
        <w:rPr>
          <w:rFonts w:eastAsia="Calibri"/>
          <w:lang w:bidi="en-US"/>
        </w:rPr>
      </w:pPr>
      <w:r w:rsidRPr="00596F06">
        <w:rPr>
          <w:rFonts w:eastAsia="Calibri"/>
          <w:lang w:bidi="en-US"/>
        </w:rPr>
        <w:t>COP participants report increased alignment of TA strategies and identification of shared challenges and solutions.</w:t>
      </w:r>
    </w:p>
    <w:p w14:paraId="1B6175F8" w14:textId="5373F776" w:rsidR="00596F06" w:rsidRDefault="00596F06" w:rsidP="00596F06">
      <w:pPr>
        <w:spacing w:after="240"/>
        <w:rPr>
          <w:rFonts w:ascii="Calibri" w:eastAsia="Calibri" w:hAnsi="Calibri" w:cs="Calibri"/>
          <w:sz w:val="24"/>
          <w:szCs w:val="24"/>
          <w:lang w:bidi="en-US"/>
        </w:rPr>
      </w:pPr>
      <w:r w:rsidRPr="001D54C5">
        <w:rPr>
          <w:rFonts w:ascii="Calibri" w:eastAsia="Calibri" w:hAnsi="Calibri" w:cs="Calibri"/>
          <w:b/>
          <w:bCs/>
          <w:sz w:val="28"/>
          <w:szCs w:val="28"/>
          <w:lang w:bidi="en-US"/>
        </w:rPr>
        <w:t>Outcome 5:</w:t>
      </w:r>
      <w:r w:rsidRPr="00596F06">
        <w:rPr>
          <w:rFonts w:ascii="Calibri" w:eastAsia="Calibri" w:hAnsi="Calibri" w:cs="Calibri"/>
          <w:sz w:val="24"/>
          <w:szCs w:val="24"/>
          <w:lang w:bidi="en-US"/>
        </w:rPr>
        <w:t xml:space="preserve"> Development of Actionable Learning Products and Policy Insights</w:t>
      </w:r>
    </w:p>
    <w:p w14:paraId="6433E440" w14:textId="4E51A22A" w:rsidR="00596F06" w:rsidRPr="00596F06" w:rsidRDefault="00596F06" w:rsidP="00086CF0">
      <w:pPr>
        <w:pStyle w:val="ListParagraph"/>
        <w:numPr>
          <w:ilvl w:val="0"/>
          <w:numId w:val="43"/>
        </w:numPr>
        <w:spacing w:after="240"/>
        <w:rPr>
          <w:rFonts w:eastAsia="Calibri"/>
          <w:lang w:bidi="en-US"/>
        </w:rPr>
      </w:pPr>
      <w:r w:rsidRPr="00596F06">
        <w:rPr>
          <w:rFonts w:eastAsia="Calibri"/>
          <w:lang w:bidi="en-US"/>
        </w:rPr>
        <w:t xml:space="preserve">A minimum of three learning products (e.g., briefs, case studies, toolkits) are developed and disseminated to </w:t>
      </w:r>
      <w:r w:rsidR="002175B5">
        <w:rPr>
          <w:rFonts w:eastAsia="Calibri"/>
          <w:lang w:bidi="en-US"/>
        </w:rPr>
        <w:t xml:space="preserve">ETPP </w:t>
      </w:r>
      <w:r w:rsidRPr="00596F06">
        <w:rPr>
          <w:rFonts w:eastAsia="Calibri"/>
          <w:lang w:bidi="en-US"/>
        </w:rPr>
        <w:t>grantees and state partners.</w:t>
      </w:r>
    </w:p>
    <w:p w14:paraId="35C8549A" w14:textId="7CDCC45F" w:rsidR="00596F06" w:rsidRPr="00596F06" w:rsidRDefault="00596F06" w:rsidP="00086CF0">
      <w:pPr>
        <w:pStyle w:val="ListParagraph"/>
        <w:numPr>
          <w:ilvl w:val="0"/>
          <w:numId w:val="43"/>
        </w:numPr>
        <w:spacing w:after="240"/>
        <w:rPr>
          <w:rFonts w:eastAsia="Calibri"/>
          <w:lang w:bidi="en-US"/>
        </w:rPr>
      </w:pPr>
      <w:r w:rsidRPr="00596F06">
        <w:rPr>
          <w:rFonts w:eastAsia="Calibri"/>
          <w:lang w:bidi="en-US"/>
        </w:rPr>
        <w:t>A final evaluation report synthesizes cross-program findings and includes actionable recommendations for future funding and system improvements.</w:t>
      </w:r>
    </w:p>
    <w:p w14:paraId="09BA6707" w14:textId="3C650F5A" w:rsidR="00596F06" w:rsidRDefault="00596F06" w:rsidP="00086CF0">
      <w:pPr>
        <w:pStyle w:val="ListParagraph"/>
        <w:numPr>
          <w:ilvl w:val="0"/>
          <w:numId w:val="43"/>
        </w:numPr>
        <w:spacing w:after="240"/>
        <w:rPr>
          <w:rFonts w:eastAsia="Calibri"/>
          <w:lang w:bidi="en-US"/>
        </w:rPr>
      </w:pPr>
      <w:r w:rsidRPr="00596F06">
        <w:rPr>
          <w:rFonts w:eastAsia="Calibri"/>
          <w:lang w:bidi="en-US"/>
        </w:rPr>
        <w:t>State leadership uses TADE-generated insights to inform at least one policy or programmatic decision during the grant period.</w:t>
      </w:r>
    </w:p>
    <w:p w14:paraId="19F294D1" w14:textId="77777777" w:rsidR="006B74FF" w:rsidRDefault="006B74FF" w:rsidP="006B74FF">
      <w:pPr>
        <w:spacing w:after="240"/>
        <w:rPr>
          <w:rFonts w:eastAsia="Calibri"/>
          <w:lang w:bidi="en-US"/>
        </w:rPr>
      </w:pPr>
    </w:p>
    <w:p w14:paraId="65346346" w14:textId="77777777" w:rsidR="002D4B2F" w:rsidRDefault="002D4B2F" w:rsidP="006B74FF">
      <w:pPr>
        <w:spacing w:after="240"/>
        <w:rPr>
          <w:rFonts w:eastAsia="Calibri"/>
          <w:lang w:bidi="en-US"/>
        </w:rPr>
      </w:pPr>
    </w:p>
    <w:p w14:paraId="6EAB0593" w14:textId="77777777" w:rsidR="002D4B2F" w:rsidRDefault="002D4B2F" w:rsidP="006B74FF">
      <w:pPr>
        <w:spacing w:after="240"/>
        <w:rPr>
          <w:rFonts w:eastAsia="Calibri"/>
          <w:lang w:bidi="en-US"/>
        </w:rPr>
      </w:pPr>
    </w:p>
    <w:p w14:paraId="090B24A6" w14:textId="77777777" w:rsidR="002D4B2F" w:rsidRDefault="002D4B2F" w:rsidP="006B74FF">
      <w:pPr>
        <w:spacing w:after="240"/>
        <w:rPr>
          <w:rFonts w:eastAsia="Calibri"/>
          <w:lang w:bidi="en-US"/>
        </w:rPr>
      </w:pPr>
    </w:p>
    <w:p w14:paraId="3C58056C" w14:textId="77777777" w:rsidR="002D4B2F" w:rsidRDefault="002D4B2F" w:rsidP="006B74FF">
      <w:pPr>
        <w:spacing w:after="240"/>
        <w:rPr>
          <w:rFonts w:eastAsia="Calibri"/>
          <w:lang w:bidi="en-US"/>
        </w:rPr>
      </w:pPr>
    </w:p>
    <w:p w14:paraId="5A744B72" w14:textId="77777777" w:rsidR="002D4B2F" w:rsidRDefault="002D4B2F" w:rsidP="006B74FF">
      <w:pPr>
        <w:spacing w:after="240"/>
        <w:rPr>
          <w:rFonts w:eastAsia="Calibri"/>
          <w:lang w:bidi="en-US"/>
        </w:rPr>
      </w:pPr>
    </w:p>
    <w:p w14:paraId="3E154EA7" w14:textId="77777777" w:rsidR="002D4B2F" w:rsidRDefault="002D4B2F" w:rsidP="006B74FF">
      <w:pPr>
        <w:spacing w:after="240"/>
        <w:rPr>
          <w:rFonts w:eastAsia="Calibri"/>
          <w:lang w:bidi="en-US"/>
        </w:rPr>
      </w:pPr>
    </w:p>
    <w:p w14:paraId="0002479D" w14:textId="77777777" w:rsidR="006B74FF" w:rsidRPr="006B74FF" w:rsidRDefault="006B74FF" w:rsidP="006B74FF">
      <w:pPr>
        <w:spacing w:after="240"/>
        <w:rPr>
          <w:rFonts w:eastAsia="Calibri"/>
          <w:lang w:bidi="en-US"/>
        </w:rPr>
      </w:pPr>
    </w:p>
    <w:p w14:paraId="1B5E5ADE" w14:textId="0F83952C" w:rsidR="008544AA" w:rsidRPr="00831C2A" w:rsidRDefault="008E506B" w:rsidP="00F470F1">
      <w:pPr>
        <w:pStyle w:val="Heading2"/>
        <w:tabs>
          <w:tab w:val="left" w:pos="360"/>
        </w:tabs>
        <w:ind w:left="0" w:firstLine="0"/>
      </w:pPr>
      <w:r>
        <w:lastRenderedPageBreak/>
        <w:t xml:space="preserve"> </w:t>
      </w:r>
      <w:bookmarkStart w:id="36" w:name="_Toc167894656"/>
      <w:r w:rsidR="008544AA" w:rsidRPr="00952BE3">
        <w:t>Application</w:t>
      </w:r>
      <w:r w:rsidR="008544AA" w:rsidRPr="00831C2A">
        <w:t xml:space="preserve"> and Program Requirements</w:t>
      </w:r>
      <w:bookmarkEnd w:id="35"/>
      <w:bookmarkEnd w:id="36"/>
    </w:p>
    <w:p w14:paraId="0DD0C2C7" w14:textId="77777777" w:rsidR="008544AA" w:rsidRDefault="008544AA" w:rsidP="008544AA">
      <w:pPr>
        <w:rPr>
          <w:rFonts w:cstheme="minorHAnsi"/>
          <w:highlight w:val="yellow"/>
        </w:rPr>
      </w:pPr>
    </w:p>
    <w:p w14:paraId="4DC8D079" w14:textId="3A4F3B46" w:rsidR="005C19FC" w:rsidRPr="00DC1DE3" w:rsidRDefault="005C19FC" w:rsidP="00F470F1">
      <w:pPr>
        <w:pStyle w:val="BodyText"/>
      </w:pPr>
      <w:bookmarkStart w:id="37" w:name="_a0vtydhghvsg"/>
      <w:bookmarkStart w:id="38" w:name="_Hlk207951379"/>
      <w:bookmarkEnd w:id="37"/>
      <w:r w:rsidRPr="002C366F">
        <w:t>All proposals must comply with the specified requirements, use the required format, and include all requested information</w:t>
      </w:r>
      <w:r w:rsidR="000822FE">
        <w:t>, exhibits,</w:t>
      </w:r>
      <w:r w:rsidRPr="002C366F">
        <w:t xml:space="preserve"> and attachments. Incomplete submissions will be considered non-responsive. Proposals that do not meet the minimum requirements will not be evaluated or considered for funding. For guidance on how to correctly complete, format, and submit all elements of the proposal package, please refer to Appendix A.</w:t>
      </w:r>
    </w:p>
    <w:p w14:paraId="34D6DB3A" w14:textId="77777777" w:rsidR="008544AA" w:rsidRPr="00DC1DE3" w:rsidRDefault="008544AA" w:rsidP="00086CF0">
      <w:pPr>
        <w:pStyle w:val="Heading3"/>
        <w:numPr>
          <w:ilvl w:val="0"/>
          <w:numId w:val="6"/>
        </w:numPr>
      </w:pPr>
      <w:bookmarkStart w:id="39" w:name="_Toc117246158"/>
      <w:bookmarkStart w:id="40" w:name="_Toc117246914"/>
      <w:bookmarkStart w:id="41" w:name="_Toc167356421"/>
      <w:bookmarkStart w:id="42" w:name="_Toc167894657"/>
      <w:bookmarkEnd w:id="38"/>
      <w:r w:rsidRPr="00DC1DE3">
        <w:t>Required Exhibits and Attachments</w:t>
      </w:r>
      <w:bookmarkEnd w:id="39"/>
      <w:bookmarkEnd w:id="40"/>
      <w:bookmarkEnd w:id="41"/>
      <w:bookmarkEnd w:id="42"/>
    </w:p>
    <w:p w14:paraId="31A507DA" w14:textId="2F529ECA" w:rsidR="008544AA" w:rsidRPr="008E506B" w:rsidRDefault="008544AA" w:rsidP="00F470F1">
      <w:pPr>
        <w:pStyle w:val="ListParagraph"/>
      </w:pPr>
      <w:bookmarkStart w:id="43" w:name="_aq99vfy3uohu"/>
      <w:bookmarkEnd w:id="43"/>
      <w:r w:rsidRPr="008E506B">
        <w:t>Cover/Signature Page</w:t>
      </w:r>
    </w:p>
    <w:p w14:paraId="232B107C" w14:textId="758899A4" w:rsidR="008544AA" w:rsidRPr="008E506B" w:rsidRDefault="008544AA" w:rsidP="00F470F1">
      <w:pPr>
        <w:pStyle w:val="ListParagraph"/>
      </w:pPr>
      <w:r w:rsidRPr="008E506B">
        <w:t>Executive Summary</w:t>
      </w:r>
    </w:p>
    <w:p w14:paraId="46243A2A" w14:textId="5EB038A8" w:rsidR="008544AA" w:rsidRPr="008E506B" w:rsidRDefault="008544AA" w:rsidP="00F470F1">
      <w:pPr>
        <w:pStyle w:val="ListParagraph"/>
      </w:pPr>
      <w:r w:rsidRPr="008E506B">
        <w:t>Exhibit A</w:t>
      </w:r>
      <w:r w:rsidR="00F62258">
        <w:t xml:space="preserve"> -</w:t>
      </w:r>
      <w:r w:rsidRPr="008E506B">
        <w:t xml:space="preserve"> Project Narrative</w:t>
      </w:r>
    </w:p>
    <w:p w14:paraId="76D84448" w14:textId="33A6A8CA" w:rsidR="008544AA" w:rsidRPr="008E506B" w:rsidRDefault="008544AA" w:rsidP="00F470F1">
      <w:pPr>
        <w:pStyle w:val="ListParagraph"/>
      </w:pPr>
      <w:r w:rsidRPr="008E506B">
        <w:t>Exhibit F</w:t>
      </w:r>
      <w:r w:rsidR="00F62258">
        <w:t xml:space="preserve"> -</w:t>
      </w:r>
      <w:r w:rsidRPr="008E506B">
        <w:t xml:space="preserve"> Budget Summary</w:t>
      </w:r>
    </w:p>
    <w:p w14:paraId="61C074FE" w14:textId="3AA62D22" w:rsidR="008544AA" w:rsidRPr="008E506B" w:rsidRDefault="008544AA" w:rsidP="00F470F1">
      <w:pPr>
        <w:pStyle w:val="ListParagraph"/>
      </w:pPr>
      <w:r w:rsidRPr="008E506B">
        <w:t>Exhibit F2</w:t>
      </w:r>
      <w:r w:rsidR="00F62258">
        <w:t xml:space="preserve"> -</w:t>
      </w:r>
      <w:r w:rsidRPr="008E506B">
        <w:t xml:space="preserve"> Budget Narrative</w:t>
      </w:r>
    </w:p>
    <w:p w14:paraId="6D89BA84" w14:textId="19422BDC" w:rsidR="008544AA" w:rsidRPr="008E506B" w:rsidRDefault="008544AA" w:rsidP="007878C5">
      <w:pPr>
        <w:pStyle w:val="ListParagraph"/>
      </w:pPr>
      <w:r w:rsidRPr="008E506B">
        <w:t>Exhibit G</w:t>
      </w:r>
      <w:r w:rsidR="00F62258">
        <w:t xml:space="preserve"> -</w:t>
      </w:r>
      <w:r w:rsidRPr="008E506B">
        <w:t xml:space="preserve"> Supplemental Budget (if applicable)</w:t>
      </w:r>
    </w:p>
    <w:p w14:paraId="44E1F32A" w14:textId="71ADC5F6" w:rsidR="008544AA" w:rsidRPr="008E506B" w:rsidRDefault="008544AA" w:rsidP="007878C5">
      <w:pPr>
        <w:pStyle w:val="ListParagraph"/>
      </w:pPr>
      <w:r w:rsidRPr="008E506B">
        <w:t>Exhibit J</w:t>
      </w:r>
      <w:r w:rsidR="00F62258">
        <w:t xml:space="preserve"> -</w:t>
      </w:r>
      <w:r w:rsidRPr="008E506B">
        <w:t xml:space="preserve"> Partner Roles and Responsibilities</w:t>
      </w:r>
    </w:p>
    <w:p w14:paraId="2B3A637B" w14:textId="7836B9E5" w:rsidR="008544AA" w:rsidRPr="003B498D" w:rsidRDefault="008544AA" w:rsidP="00F470F1">
      <w:pPr>
        <w:pStyle w:val="ListParagraph"/>
      </w:pPr>
      <w:r w:rsidRPr="008E506B">
        <w:t xml:space="preserve">Partnership Agreement Letters and Commitment </w:t>
      </w:r>
      <w:r w:rsidRPr="003B498D">
        <w:t>Letters</w:t>
      </w:r>
      <w:r w:rsidR="00BF35D3" w:rsidRPr="003B498D">
        <w:t xml:space="preserve"> (if applicable)</w:t>
      </w:r>
    </w:p>
    <w:p w14:paraId="7663A0AE" w14:textId="0AD6328D" w:rsidR="00BF35D3" w:rsidRDefault="00BF35D3" w:rsidP="00BF35D3">
      <w:pPr>
        <w:pStyle w:val="ListParagraph"/>
      </w:pPr>
      <w:r>
        <w:t>Indirect Cost Declaration</w:t>
      </w:r>
    </w:p>
    <w:p w14:paraId="51968D85" w14:textId="09209737" w:rsidR="00BF35D3" w:rsidRPr="008E506B" w:rsidRDefault="00BF35D3" w:rsidP="00BF35D3">
      <w:pPr>
        <w:pStyle w:val="ListParagraph"/>
      </w:pPr>
      <w:r>
        <w:t>Negotiated Indirect Cost Rate Agreement (if applicable)</w:t>
      </w:r>
    </w:p>
    <w:p w14:paraId="1C17D8EC" w14:textId="4FEC8FF3" w:rsidR="008544AA" w:rsidRPr="00DC1DE3" w:rsidRDefault="008544AA" w:rsidP="00291014">
      <w:pPr>
        <w:pStyle w:val="Heading3"/>
        <w:rPr>
          <w:rFonts w:eastAsia="Arial"/>
        </w:rPr>
      </w:pPr>
      <w:bookmarkStart w:id="44" w:name="_Toc117246161"/>
      <w:bookmarkStart w:id="45" w:name="_Toc117246917"/>
      <w:bookmarkStart w:id="46" w:name="_Toc167356422"/>
      <w:bookmarkStart w:id="47" w:name="_Toc167894658"/>
      <w:r w:rsidRPr="543319F8">
        <w:rPr>
          <w:rFonts w:eastAsia="Arial"/>
        </w:rPr>
        <w:t>Registration with the System for Award Management</w:t>
      </w:r>
      <w:bookmarkEnd w:id="44"/>
      <w:bookmarkEnd w:id="45"/>
      <w:bookmarkEnd w:id="46"/>
      <w:bookmarkEnd w:id="47"/>
    </w:p>
    <w:p w14:paraId="23889068" w14:textId="77777777" w:rsidR="002C366F" w:rsidRDefault="002C366F" w:rsidP="002C366F">
      <w:pPr>
        <w:pStyle w:val="BodyText"/>
      </w:pPr>
      <w:bookmarkStart w:id="48" w:name="_q48vmwatn9qq"/>
      <w:bookmarkEnd w:id="48"/>
      <w:r>
        <w:t>To apply for and receive funding for this initiative, applicants must register with the System for Award Management (SAM). Here are the key points to remember:</w:t>
      </w:r>
    </w:p>
    <w:p w14:paraId="4918AD90" w14:textId="77777777" w:rsidR="002C366F" w:rsidRDefault="002C366F" w:rsidP="002C366F">
      <w:pPr>
        <w:pStyle w:val="BodyText"/>
      </w:pPr>
      <w:r>
        <w:t xml:space="preserve">1. </w:t>
      </w:r>
      <w:r w:rsidRPr="004C0B40">
        <w:rPr>
          <w:b/>
          <w:bCs/>
        </w:rPr>
        <w:t>Annual Renewal</w:t>
      </w:r>
      <w:r>
        <w:t>: SAM registration needs to be reviewed and updated every 12 months. Keeping your account current and accurate is essential.</w:t>
      </w:r>
    </w:p>
    <w:p w14:paraId="52C7479A" w14:textId="77777777" w:rsidR="002C366F" w:rsidRDefault="002C366F" w:rsidP="002C366F">
      <w:pPr>
        <w:pStyle w:val="BodyText"/>
      </w:pPr>
      <w:r>
        <w:t xml:space="preserve">2. </w:t>
      </w:r>
      <w:r w:rsidRPr="004C0B40">
        <w:rPr>
          <w:b/>
          <w:bCs/>
        </w:rPr>
        <w:t>Active Status</w:t>
      </w:r>
      <w:r>
        <w:t>: To remain eligible for funding, your SAM registration must be active. Ensure that all information is updated before submitting your funding application.</w:t>
      </w:r>
    </w:p>
    <w:p w14:paraId="4212B410" w14:textId="77777777" w:rsidR="002C366F" w:rsidRDefault="002C366F" w:rsidP="002C366F">
      <w:pPr>
        <w:pStyle w:val="BodyText"/>
      </w:pPr>
      <w:r>
        <w:t xml:space="preserve">3. </w:t>
      </w:r>
      <w:r w:rsidRPr="004C0B40">
        <w:rPr>
          <w:b/>
          <w:bCs/>
        </w:rPr>
        <w:t>Time Consideration</w:t>
      </w:r>
      <w:r>
        <w:t>: The registration or renewal process can take several weeks. It involves submitting sensitive financial and banking information, so start this process as early as possible.</w:t>
      </w:r>
    </w:p>
    <w:p w14:paraId="6292B0D6" w14:textId="77777777" w:rsidR="002C366F" w:rsidRDefault="002C366F" w:rsidP="002C366F">
      <w:pPr>
        <w:pStyle w:val="BodyText"/>
      </w:pPr>
      <w:r>
        <w:lastRenderedPageBreak/>
        <w:t xml:space="preserve">4. </w:t>
      </w:r>
      <w:r w:rsidRPr="004C0B40">
        <w:rPr>
          <w:b/>
          <w:bCs/>
        </w:rPr>
        <w:t>Your Responsibility</w:t>
      </w:r>
      <w:r>
        <w:t>: It is your responsibility to keep your SAM information up to date before applying for funding.</w:t>
      </w:r>
    </w:p>
    <w:p w14:paraId="21F98345" w14:textId="1828EDD2" w:rsidR="002C366F" w:rsidRPr="00DC1DE3" w:rsidRDefault="002C366F" w:rsidP="002C366F">
      <w:pPr>
        <w:pStyle w:val="BodyText"/>
      </w:pPr>
      <w:r>
        <w:t xml:space="preserve">For more information on </w:t>
      </w:r>
      <w:r w:rsidR="00782DB5">
        <w:t xml:space="preserve">SAM </w:t>
      </w:r>
      <w:r>
        <w:t xml:space="preserve">registration requirements, please visit the </w:t>
      </w:r>
      <w:hyperlink r:id="rId22">
        <w:r w:rsidRPr="002C366F">
          <w:rPr>
            <w:color w:val="467886"/>
            <w:lang w:val="en-US"/>
          </w:rPr>
          <w:t>SAM website</w:t>
        </w:r>
      </w:hyperlink>
      <w:r>
        <w:t>.</w:t>
      </w:r>
    </w:p>
    <w:p w14:paraId="18473155" w14:textId="77777777" w:rsidR="008544AA" w:rsidRPr="00DC1DE3" w:rsidRDefault="008544AA" w:rsidP="00291014">
      <w:pPr>
        <w:pStyle w:val="Heading3"/>
        <w:rPr>
          <w:rFonts w:eastAsia="Arial"/>
        </w:rPr>
      </w:pPr>
      <w:bookmarkStart w:id="49" w:name="_Toc117246162"/>
      <w:bookmarkStart w:id="50" w:name="_Toc117246918"/>
      <w:bookmarkStart w:id="51" w:name="_Toc167356423"/>
      <w:bookmarkStart w:id="52" w:name="_Toc167894659"/>
      <w:r w:rsidRPr="00DC1DE3">
        <w:rPr>
          <w:rFonts w:eastAsia="Arial"/>
        </w:rPr>
        <w:t>Partnership Agreement Letters</w:t>
      </w:r>
      <w:bookmarkStart w:id="53" w:name="_Toc116915381"/>
      <w:bookmarkEnd w:id="49"/>
      <w:bookmarkEnd w:id="50"/>
      <w:bookmarkEnd w:id="51"/>
      <w:bookmarkEnd w:id="52"/>
      <w:bookmarkEnd w:id="53"/>
    </w:p>
    <w:p w14:paraId="7E3C4AB0" w14:textId="2C6A5F77" w:rsidR="008544AA" w:rsidRPr="00C9253E" w:rsidRDefault="008544AA" w:rsidP="01476CFA">
      <w:pPr>
        <w:pStyle w:val="BodyText"/>
        <w:rPr>
          <w:lang w:val="en-US"/>
        </w:rPr>
      </w:pPr>
      <w:r w:rsidRPr="00C9253E">
        <w:rPr>
          <w:lang w:val="en-US"/>
        </w:rPr>
        <w:t xml:space="preserve">Applicants must submit agreement letters from each of their </w:t>
      </w:r>
      <w:r w:rsidR="00863CBB" w:rsidRPr="00C9253E">
        <w:rPr>
          <w:lang w:val="en-US"/>
        </w:rPr>
        <w:t xml:space="preserve">recommended </w:t>
      </w:r>
      <w:r w:rsidRPr="00C9253E">
        <w:rPr>
          <w:lang w:val="en-US"/>
        </w:rPr>
        <w:t xml:space="preserve">partners. If the applicant is </w:t>
      </w:r>
      <w:r w:rsidR="003B7B85" w:rsidRPr="00C9253E">
        <w:rPr>
          <w:lang w:val="en-US"/>
        </w:rPr>
        <w:t>a</w:t>
      </w:r>
      <w:r w:rsidRPr="00C9253E">
        <w:rPr>
          <w:lang w:val="en-US"/>
        </w:rPr>
        <w:t xml:space="preserve"> partner and/or is providing leveraged resources, the applicant must provide their own letter to document the commitment. See Appendix A for more information on submitting partnership agreement letters.</w:t>
      </w:r>
      <w:bookmarkStart w:id="54" w:name="_hmgdq2mssbvk"/>
      <w:bookmarkEnd w:id="54"/>
    </w:p>
    <w:p w14:paraId="5BB354E2" w14:textId="336A709B" w:rsidR="00F97725" w:rsidRDefault="003D4842" w:rsidP="00EC4F36">
      <w:pPr>
        <w:pStyle w:val="BodyText"/>
        <w:rPr>
          <w:lang w:val="en-US"/>
        </w:rPr>
      </w:pPr>
      <w:r w:rsidRPr="00C9253E">
        <w:rPr>
          <w:lang w:val="en-US"/>
        </w:rPr>
        <w:t>If applicants include partner organizations in their application, then they must provide a Partnership Agreement Letter from each prospective partner. An agreement letter is required regardless of whether partnerships are mandatory or not.</w:t>
      </w:r>
      <w:bookmarkStart w:id="55" w:name="_Toc167356425"/>
      <w:bookmarkStart w:id="56" w:name="_Toc167894661"/>
    </w:p>
    <w:p w14:paraId="62849B8B" w14:textId="77777777" w:rsidR="00604F0B" w:rsidRDefault="00604F0B" w:rsidP="00EC4F36">
      <w:pPr>
        <w:pStyle w:val="BodyText"/>
        <w:rPr>
          <w:lang w:val="en-US"/>
        </w:rPr>
      </w:pPr>
    </w:p>
    <w:p w14:paraId="5DD30599" w14:textId="77777777" w:rsidR="00604F0B" w:rsidRDefault="00604F0B" w:rsidP="00EC4F36">
      <w:pPr>
        <w:pStyle w:val="BodyText"/>
        <w:rPr>
          <w:lang w:val="en-US"/>
        </w:rPr>
      </w:pPr>
    </w:p>
    <w:p w14:paraId="7B954466" w14:textId="77777777" w:rsidR="00604F0B" w:rsidRDefault="00604F0B" w:rsidP="00EC4F36">
      <w:pPr>
        <w:pStyle w:val="BodyText"/>
        <w:rPr>
          <w:lang w:val="en-US"/>
        </w:rPr>
      </w:pPr>
    </w:p>
    <w:p w14:paraId="1B01C81C" w14:textId="77777777" w:rsidR="00604F0B" w:rsidRDefault="00604F0B" w:rsidP="00EC4F36">
      <w:pPr>
        <w:pStyle w:val="BodyText"/>
        <w:rPr>
          <w:lang w:val="en-US"/>
        </w:rPr>
      </w:pPr>
    </w:p>
    <w:p w14:paraId="3276E6E5" w14:textId="77777777" w:rsidR="00604F0B" w:rsidRDefault="00604F0B" w:rsidP="00EC4F36">
      <w:pPr>
        <w:pStyle w:val="BodyText"/>
        <w:rPr>
          <w:lang w:val="en-US"/>
        </w:rPr>
      </w:pPr>
    </w:p>
    <w:p w14:paraId="7CD51869" w14:textId="77777777" w:rsidR="00604F0B" w:rsidRDefault="00604F0B" w:rsidP="00EC4F36">
      <w:pPr>
        <w:pStyle w:val="BodyText"/>
        <w:rPr>
          <w:lang w:val="en-US"/>
        </w:rPr>
      </w:pPr>
    </w:p>
    <w:p w14:paraId="7699EABA" w14:textId="77777777" w:rsidR="00604F0B" w:rsidRDefault="00604F0B" w:rsidP="00EC4F36">
      <w:pPr>
        <w:pStyle w:val="BodyText"/>
        <w:rPr>
          <w:lang w:val="en-US"/>
        </w:rPr>
      </w:pPr>
    </w:p>
    <w:p w14:paraId="61B24F80" w14:textId="77777777" w:rsidR="00604F0B" w:rsidRDefault="00604F0B" w:rsidP="00EC4F36">
      <w:pPr>
        <w:pStyle w:val="BodyText"/>
        <w:rPr>
          <w:lang w:val="en-US"/>
        </w:rPr>
      </w:pPr>
    </w:p>
    <w:p w14:paraId="014869E5" w14:textId="77777777" w:rsidR="00604F0B" w:rsidRDefault="00604F0B" w:rsidP="00EC4F36">
      <w:pPr>
        <w:pStyle w:val="BodyText"/>
        <w:rPr>
          <w:lang w:val="en-US"/>
        </w:rPr>
      </w:pPr>
    </w:p>
    <w:p w14:paraId="4389BE5B" w14:textId="77777777" w:rsidR="002D4B2F" w:rsidRDefault="002D4B2F" w:rsidP="00EC4F36">
      <w:pPr>
        <w:pStyle w:val="BodyText"/>
        <w:rPr>
          <w:lang w:val="en-US"/>
        </w:rPr>
      </w:pPr>
    </w:p>
    <w:p w14:paraId="4246CCE9" w14:textId="77777777" w:rsidR="00604F0B" w:rsidRDefault="00604F0B" w:rsidP="00EC4F36">
      <w:pPr>
        <w:pStyle w:val="BodyText"/>
        <w:rPr>
          <w:lang w:val="en-US"/>
        </w:rPr>
      </w:pPr>
    </w:p>
    <w:p w14:paraId="12C9DD7C" w14:textId="77777777" w:rsidR="00604F0B" w:rsidRPr="00C9253E" w:rsidRDefault="00604F0B" w:rsidP="00EC4F36">
      <w:pPr>
        <w:pStyle w:val="BodyText"/>
        <w:rPr>
          <w:lang w:val="en-US"/>
        </w:rPr>
      </w:pPr>
    </w:p>
    <w:p w14:paraId="266FEE75" w14:textId="022EE27C" w:rsidR="008544AA" w:rsidRPr="00DC1DE3" w:rsidRDefault="008544AA" w:rsidP="000975E1">
      <w:pPr>
        <w:pStyle w:val="Heading2"/>
        <w:ind w:left="450" w:hanging="450"/>
      </w:pPr>
      <w:r w:rsidRPr="01476CFA">
        <w:lastRenderedPageBreak/>
        <w:t>Budgeting and Performance Requirements</w:t>
      </w:r>
      <w:bookmarkEnd w:id="55"/>
      <w:bookmarkEnd w:id="56"/>
    </w:p>
    <w:p w14:paraId="574DBBE9" w14:textId="4366BFA0" w:rsidR="008544AA" w:rsidRPr="00DC1DE3" w:rsidRDefault="008544AA" w:rsidP="00086CF0">
      <w:pPr>
        <w:pStyle w:val="Heading3"/>
        <w:numPr>
          <w:ilvl w:val="0"/>
          <w:numId w:val="7"/>
        </w:numPr>
      </w:pPr>
      <w:bookmarkStart w:id="57" w:name="_Toc167356426"/>
      <w:bookmarkStart w:id="58" w:name="_Toc167894662"/>
      <w:r w:rsidRPr="00DC1DE3">
        <w:t>Funding Request</w:t>
      </w:r>
      <w:bookmarkEnd w:id="57"/>
      <w:bookmarkEnd w:id="58"/>
    </w:p>
    <w:p w14:paraId="5C2EC4F1" w14:textId="039A5C34" w:rsidR="008544AA" w:rsidRDefault="008544AA" w:rsidP="01476CFA">
      <w:pPr>
        <w:pStyle w:val="BodyText"/>
        <w:rPr>
          <w:rFonts w:eastAsia="Times New Roman"/>
          <w:lang w:val="en-US"/>
        </w:rPr>
      </w:pPr>
      <w:r w:rsidRPr="01476CFA">
        <w:rPr>
          <w:lang w:val="en-US"/>
        </w:rPr>
        <w:t xml:space="preserve">Funding timing and decisions are based on the availability of funds. Estimated amounts and dates are not final and are subject to change. </w:t>
      </w:r>
      <w:r w:rsidRPr="01476CFA">
        <w:rPr>
          <w:lang w:val="en-US" w:bidi="en-US"/>
        </w:rPr>
        <w:t xml:space="preserve">A total of </w:t>
      </w:r>
      <w:r w:rsidRPr="00C9253E">
        <w:rPr>
          <w:rFonts w:eastAsia="Times New Roman"/>
          <w:lang w:val="en-US"/>
        </w:rPr>
        <w:t>$</w:t>
      </w:r>
      <w:r w:rsidR="009E4B6B" w:rsidRPr="00C9253E">
        <w:rPr>
          <w:rFonts w:eastAsia="Times New Roman"/>
          <w:lang w:val="en-US"/>
        </w:rPr>
        <w:t>1.5</w:t>
      </w:r>
      <w:r w:rsidRPr="00C9253E">
        <w:rPr>
          <w:rFonts w:eastAsia="Times New Roman"/>
          <w:lang w:val="en-US"/>
        </w:rPr>
        <w:t xml:space="preserve"> million</w:t>
      </w:r>
      <w:r w:rsidRPr="01476CFA">
        <w:rPr>
          <w:rFonts w:eastAsia="Times New Roman"/>
          <w:lang w:val="en-US"/>
        </w:rPr>
        <w:t xml:space="preserve"> </w:t>
      </w:r>
      <w:r w:rsidRPr="01476CFA">
        <w:rPr>
          <w:lang w:val="en-US" w:bidi="en-US"/>
        </w:rPr>
        <w:t xml:space="preserve">in WIOA Governor’s </w:t>
      </w:r>
      <w:r w:rsidR="009E4B6B">
        <w:rPr>
          <w:lang w:val="en-US" w:bidi="en-US"/>
        </w:rPr>
        <w:t>15</w:t>
      </w:r>
      <w:r w:rsidR="003135AF">
        <w:rPr>
          <w:lang w:val="en-US" w:bidi="en-US"/>
        </w:rPr>
        <w:t xml:space="preserve"> percent</w:t>
      </w:r>
      <w:r w:rsidR="009E4B6B">
        <w:rPr>
          <w:lang w:val="en-US" w:bidi="en-US"/>
        </w:rPr>
        <w:t xml:space="preserve"> </w:t>
      </w:r>
      <w:r w:rsidRPr="01476CFA">
        <w:rPr>
          <w:lang w:val="en-US" w:bidi="en-US"/>
        </w:rPr>
        <w:t xml:space="preserve">Discretionary Funds </w:t>
      </w:r>
      <w:r w:rsidR="009E4B6B">
        <w:rPr>
          <w:lang w:val="en-US" w:bidi="en-US"/>
        </w:rPr>
        <w:t>is</w:t>
      </w:r>
      <w:r w:rsidRPr="01476CFA">
        <w:rPr>
          <w:lang w:val="en-US" w:bidi="en-US"/>
        </w:rPr>
        <w:t xml:space="preserve"> available through this SFP. The EDD anticipates </w:t>
      </w:r>
      <w:r w:rsidR="00DB35D9">
        <w:rPr>
          <w:lang w:val="en-US" w:bidi="en-US"/>
        </w:rPr>
        <w:t xml:space="preserve">that </w:t>
      </w:r>
      <w:r w:rsidR="009E4B6B">
        <w:rPr>
          <w:lang w:val="en-US" w:bidi="en-US"/>
        </w:rPr>
        <w:t>one</w:t>
      </w:r>
      <w:r w:rsidRPr="01476CFA">
        <w:rPr>
          <w:lang w:val="en-US" w:bidi="en-US"/>
        </w:rPr>
        <w:t xml:space="preserve"> award will be granted. </w:t>
      </w:r>
      <w:r w:rsidR="009E4B6B">
        <w:rPr>
          <w:lang w:val="en-US" w:bidi="en-US"/>
        </w:rPr>
        <w:t>The f</w:t>
      </w:r>
      <w:r w:rsidRPr="01476CFA">
        <w:rPr>
          <w:rFonts w:eastAsia="Times New Roman"/>
          <w:lang w:val="en-US"/>
        </w:rPr>
        <w:t xml:space="preserve">inal award may be adjusted depending on the number of successfully submitted proposals. The state expects that the performance period for projects funded under this SFP will be between </w:t>
      </w:r>
      <w:r w:rsidR="009E4B6B" w:rsidRPr="00C006EB">
        <w:rPr>
          <w:rFonts w:eastAsia="Times New Roman"/>
          <w:lang w:val="en-US"/>
        </w:rPr>
        <w:t>18</w:t>
      </w:r>
      <w:r w:rsidRPr="00C006EB">
        <w:rPr>
          <w:rFonts w:eastAsia="Times New Roman"/>
          <w:lang w:val="en-US"/>
        </w:rPr>
        <w:t xml:space="preserve"> and </w:t>
      </w:r>
      <w:r w:rsidR="009E4B6B" w:rsidRPr="00C006EB">
        <w:rPr>
          <w:rFonts w:eastAsia="Times New Roman"/>
          <w:lang w:val="en-US"/>
        </w:rPr>
        <w:t>24</w:t>
      </w:r>
      <w:r w:rsidRPr="00C006EB">
        <w:rPr>
          <w:rFonts w:eastAsia="Times New Roman"/>
          <w:lang w:val="en-US"/>
        </w:rPr>
        <w:t xml:space="preserve"> months.</w:t>
      </w:r>
      <w:r w:rsidRPr="01476CFA">
        <w:rPr>
          <w:rFonts w:eastAsia="Times New Roman"/>
          <w:lang w:val="en-US"/>
        </w:rPr>
        <w:t xml:space="preserve"> Grant funds will not be available for longer than </w:t>
      </w:r>
      <w:r w:rsidR="009E4B6B" w:rsidRPr="00C006EB">
        <w:rPr>
          <w:rFonts w:eastAsia="Times New Roman"/>
          <w:lang w:val="en-US"/>
        </w:rPr>
        <w:t>24</w:t>
      </w:r>
      <w:r w:rsidRPr="00C006EB">
        <w:rPr>
          <w:rFonts w:eastAsia="Times New Roman"/>
          <w:lang w:val="en-US"/>
        </w:rPr>
        <w:t xml:space="preserve"> </w:t>
      </w:r>
      <w:r w:rsidRPr="00AE4170">
        <w:rPr>
          <w:rFonts w:eastAsia="Times New Roman"/>
          <w:lang w:val="en-US"/>
        </w:rPr>
        <w:t>months.</w:t>
      </w:r>
      <w:r w:rsidRPr="01476CFA">
        <w:rPr>
          <w:rFonts w:eastAsia="Times New Roman"/>
          <w:lang w:val="en-US"/>
        </w:rPr>
        <w:t xml:space="preserve"> No obligation or commitment of funds will be allowed before or beyond the grant period of performance. Any grant funds not expended during the grant agreement period shall be returned to the state.</w:t>
      </w:r>
    </w:p>
    <w:p w14:paraId="649C65C1" w14:textId="6A47431D" w:rsidR="008544AA" w:rsidRPr="00DC1DE3" w:rsidRDefault="008544AA" w:rsidP="00291014">
      <w:pPr>
        <w:pStyle w:val="Heading3"/>
      </w:pPr>
      <w:bookmarkStart w:id="59" w:name="_Toc167356427"/>
      <w:bookmarkStart w:id="60" w:name="_Toc167894663"/>
      <w:r w:rsidRPr="00DC1DE3">
        <w:t>Leveraging Resources</w:t>
      </w:r>
      <w:bookmarkEnd w:id="59"/>
      <w:bookmarkEnd w:id="60"/>
    </w:p>
    <w:p w14:paraId="5D90EE7E" w14:textId="639D98B1" w:rsidR="003C29E9" w:rsidRDefault="008F44F6" w:rsidP="003C29E9">
      <w:pPr>
        <w:pStyle w:val="BodyText"/>
      </w:pPr>
      <w:bookmarkStart w:id="61" w:name="_Hlk207954468"/>
      <w:r w:rsidRPr="00DC1DE3">
        <w:t xml:space="preserve">Applicants </w:t>
      </w:r>
      <w:r w:rsidR="003D5874" w:rsidRPr="0096676D">
        <w:t>are not required to</w:t>
      </w:r>
      <w:r w:rsidRPr="00DC1DE3">
        <w:t xml:space="preserve"> demonstrate the ability to leverage </w:t>
      </w:r>
      <w:r>
        <w:t>resources</w:t>
      </w:r>
      <w:r w:rsidRPr="00DC1DE3">
        <w:t xml:space="preserve"> from other sources</w:t>
      </w:r>
      <w:r>
        <w:t xml:space="preserve"> to support the goals and objectives of this grant. </w:t>
      </w:r>
      <w:r w:rsidR="00604F0B">
        <w:t>This grant does not require leveraged resources</w:t>
      </w:r>
    </w:p>
    <w:p w14:paraId="0A36A3B3" w14:textId="77777777" w:rsidR="004161D3" w:rsidRDefault="004161D3" w:rsidP="003C29E9">
      <w:pPr>
        <w:pStyle w:val="BodyText"/>
      </w:pPr>
      <w:r w:rsidRPr="004161D3">
        <w:t xml:space="preserve">The term “leverage” is not defined under any regulation or related administrative requirements. For EDD-funded programs, the term refers to all resources used by the recipient to support grant activity and outcomes, regardless of whether those resources meet the standards required for match. </w:t>
      </w:r>
    </w:p>
    <w:p w14:paraId="43A8CF98" w14:textId="69890593" w:rsidR="007F50DF" w:rsidRDefault="00604F0B" w:rsidP="003C29E9">
      <w:pPr>
        <w:pStyle w:val="BodyText"/>
      </w:pPr>
      <w:bookmarkStart w:id="62" w:name="_Hlk211252604"/>
      <w:r>
        <w:t xml:space="preserve">Applicants are encouraged to </w:t>
      </w:r>
      <w:proofErr w:type="gramStart"/>
      <w:r>
        <w:t>braid</w:t>
      </w:r>
      <w:proofErr w:type="gramEnd"/>
      <w:r>
        <w:t xml:space="preserve"> funds, leverage human capital, and utilize other resources to maximize the project’s success. Leveraged resources can come from a variety of sources. Leveraged resources can include non-cash contributions or third-party in-kind contributions for the purposes of sharing in infrastructure costs. The definition of “in-kind resources” is a contribution of non-cash resources explicitly used for projec</w:t>
      </w:r>
      <w:r w:rsidR="00BF1581">
        <w:t>t</w:t>
      </w:r>
      <w:r>
        <w:t xml:space="preserve"> activities. Examples include but are not limited to dona</w:t>
      </w:r>
      <w:r w:rsidR="00BF1581">
        <w:t>t</w:t>
      </w:r>
      <w:r>
        <w:t>ed personnel, services</w:t>
      </w:r>
      <w:r w:rsidR="00BF1581">
        <w:t>, and the use of equipment or space. See Appendix A for more information on adequately documenting pledge</w:t>
      </w:r>
      <w:r w:rsidR="00F76972">
        <w:t>d</w:t>
      </w:r>
      <w:r w:rsidR="00BF1581">
        <w:t xml:space="preserve"> contribution agreements.</w:t>
      </w:r>
      <w:r>
        <w:t xml:space="preserve"> </w:t>
      </w:r>
    </w:p>
    <w:bookmarkEnd w:id="62"/>
    <w:p w14:paraId="5FC21400" w14:textId="24D16026" w:rsidR="008544AA" w:rsidRPr="00237265" w:rsidRDefault="008544AA" w:rsidP="00F470F1">
      <w:pPr>
        <w:pStyle w:val="BodyText"/>
        <w:rPr>
          <w:i/>
          <w:iCs/>
        </w:rPr>
      </w:pPr>
      <w:r w:rsidRPr="00DC1DE3">
        <w:t xml:space="preserve">All leveraged </w:t>
      </w:r>
      <w:r w:rsidR="008F44F6">
        <w:t xml:space="preserve">resources </w:t>
      </w:r>
      <w:r w:rsidRPr="00DC1DE3">
        <w:t xml:space="preserve">will be subject to the reporting requirements contained in </w:t>
      </w:r>
      <w:r w:rsidRPr="00B9572B">
        <w:rPr>
          <w:i/>
          <w:iCs/>
        </w:rPr>
        <w:t xml:space="preserve">Workforce Services Directive </w:t>
      </w:r>
      <w:hyperlink r:id="rId23" w:history="1">
        <w:r w:rsidR="00ED5A68" w:rsidRPr="00B9572B">
          <w:rPr>
            <w:i/>
            <w:iCs/>
            <w:color w:val="467886"/>
            <w:u w:val="single"/>
            <w:lang w:val="en-US"/>
          </w:rPr>
          <w:t>WSD19-05</w:t>
        </w:r>
      </w:hyperlink>
      <w:r w:rsidRPr="00B9572B">
        <w:rPr>
          <w:i/>
          <w:iCs/>
          <w:color w:val="0000FF"/>
        </w:rPr>
        <w:t xml:space="preserve"> </w:t>
      </w:r>
      <w:r w:rsidRPr="00B9572B">
        <w:rPr>
          <w:i/>
          <w:iCs/>
        </w:rPr>
        <w:t>Subject: Monthly and Quarterly Financial Reporting Requirements (December 4, 2019) and Title 2 Code of Federal Regulations (CFR) Part 200:</w:t>
      </w:r>
      <w:r w:rsidR="008C7B7D" w:rsidRPr="008C7B7D">
        <w:t xml:space="preserve"> </w:t>
      </w:r>
      <w:r w:rsidR="008C7B7D" w:rsidRPr="008C7B7D">
        <w:rPr>
          <w:i/>
          <w:iCs/>
        </w:rPr>
        <w:t xml:space="preserve">Uniform </w:t>
      </w:r>
      <w:r w:rsidR="008C7B7D" w:rsidRPr="008C7B7D">
        <w:rPr>
          <w:i/>
          <w:iCs/>
        </w:rPr>
        <w:lastRenderedPageBreak/>
        <w:t>Administrative Requirements, Cost Principles, and Audit Requirements for Federal Awards</w:t>
      </w:r>
      <w:r w:rsidRPr="00B9572B">
        <w:rPr>
          <w:i/>
          <w:iCs/>
        </w:rPr>
        <w:t xml:space="preserve"> (</w:t>
      </w:r>
      <w:r w:rsidRPr="00BF1581">
        <w:t>Uniform Guidance</w:t>
      </w:r>
      <w:r w:rsidRPr="00B9572B">
        <w:rPr>
          <w:i/>
          <w:iCs/>
        </w:rPr>
        <w:t xml:space="preserve">), Section </w:t>
      </w:r>
      <w:hyperlink r:id="rId24" w:history="1">
        <w:r w:rsidRPr="00B9572B">
          <w:rPr>
            <w:i/>
            <w:iCs/>
            <w:color w:val="467886"/>
            <w:u w:val="single"/>
            <w:lang w:val="en-US"/>
          </w:rPr>
          <w:t>200.306</w:t>
        </w:r>
      </w:hyperlink>
      <w:r w:rsidRPr="00B9572B">
        <w:rPr>
          <w:i/>
          <w:iCs/>
          <w:color w:val="0070C0"/>
        </w:rPr>
        <w:t xml:space="preserve"> </w:t>
      </w:r>
      <w:r w:rsidRPr="00B9572B">
        <w:rPr>
          <w:i/>
          <w:iCs/>
        </w:rPr>
        <w:t>Cost sharing or leveraging.</w:t>
      </w:r>
      <w:r w:rsidR="00356D4A" w:rsidRPr="00B9572B">
        <w:rPr>
          <w:rStyle w:val="FootnoteReference"/>
          <w:i/>
          <w:iCs/>
        </w:rPr>
        <w:footnoteReference w:id="2"/>
      </w:r>
      <w:r w:rsidRPr="00B9572B">
        <w:rPr>
          <w:i/>
          <w:iCs/>
          <w:vertAlign w:val="superscript"/>
          <w:lang w:val="en-US"/>
        </w:rPr>
        <w:footnoteReference w:id="3"/>
      </w:r>
    </w:p>
    <w:p w14:paraId="68F5E499" w14:textId="77777777" w:rsidR="008544AA" w:rsidRPr="00DC1DE3" w:rsidRDefault="008544AA" w:rsidP="00291014">
      <w:pPr>
        <w:pStyle w:val="Heading3"/>
      </w:pPr>
      <w:bookmarkStart w:id="63" w:name="_Toc167356428"/>
      <w:bookmarkStart w:id="64" w:name="_Toc167894664"/>
      <w:bookmarkEnd w:id="61"/>
      <w:r w:rsidRPr="00DC1DE3">
        <w:t>Allowable Uses of Funds</w:t>
      </w:r>
      <w:bookmarkEnd w:id="63"/>
      <w:bookmarkEnd w:id="64"/>
    </w:p>
    <w:p w14:paraId="3C4FAF6D" w14:textId="3485EF1C" w:rsidR="008544AA" w:rsidRPr="00DC1DE3" w:rsidRDefault="008544AA" w:rsidP="00F470F1">
      <w:pPr>
        <w:pStyle w:val="BodyText"/>
      </w:pPr>
      <w:bookmarkStart w:id="65" w:name="_Hlk207955894"/>
      <w:r w:rsidRPr="01476CFA">
        <w:rPr>
          <w:lang w:val="en-US"/>
        </w:rPr>
        <w:t xml:space="preserve">The funds awarded </w:t>
      </w:r>
      <w:r w:rsidR="00CF25F7">
        <w:rPr>
          <w:lang w:val="en-US"/>
        </w:rPr>
        <w:t>under</w:t>
      </w:r>
      <w:r w:rsidRPr="01476CFA">
        <w:rPr>
          <w:lang w:val="en-US"/>
        </w:rPr>
        <w:t xml:space="preserve"> this SFP must be used to</w:t>
      </w:r>
      <w:bookmarkEnd w:id="65"/>
      <w:r w:rsidRPr="01476CFA">
        <w:rPr>
          <w:lang w:val="en-US"/>
        </w:rPr>
        <w:t>:</w:t>
      </w:r>
    </w:p>
    <w:p w14:paraId="4EA02FAD" w14:textId="581903BB" w:rsidR="00894EC7" w:rsidRPr="00894EC7" w:rsidRDefault="00894EC7" w:rsidP="00086CF0">
      <w:pPr>
        <w:pStyle w:val="ListParagraph"/>
        <w:numPr>
          <w:ilvl w:val="0"/>
          <w:numId w:val="20"/>
        </w:numPr>
      </w:pPr>
      <w:r w:rsidRPr="00894EC7">
        <w:t xml:space="preserve">Provide direct technical assistance and </w:t>
      </w:r>
      <w:r w:rsidR="000461D9">
        <w:t>developmental</w:t>
      </w:r>
      <w:r w:rsidRPr="00894EC7">
        <w:t xml:space="preserve"> evaluation to PY 25-26 ETP</w:t>
      </w:r>
      <w:r w:rsidR="000461D9">
        <w:t>P</w:t>
      </w:r>
      <w:r w:rsidRPr="00894EC7">
        <w:t xml:space="preserve"> </w:t>
      </w:r>
      <w:r w:rsidR="00F76972">
        <w:t>grant</w:t>
      </w:r>
      <w:r w:rsidRPr="00894EC7">
        <w:t xml:space="preserve">ees, to ensure that program participants are equipped with specialized skills and competencies that enable them to secure good-paying jobs in both current and emerging sectors, thereby enhancing workforce development.  </w:t>
      </w:r>
    </w:p>
    <w:p w14:paraId="7251E67F" w14:textId="11E42A5B" w:rsidR="00894EC7" w:rsidRPr="00894EC7" w:rsidRDefault="00894EC7" w:rsidP="00086CF0">
      <w:pPr>
        <w:pStyle w:val="ListParagraph"/>
        <w:numPr>
          <w:ilvl w:val="0"/>
          <w:numId w:val="20"/>
        </w:numPr>
      </w:pPr>
      <w:r w:rsidRPr="00894EC7">
        <w:t xml:space="preserve">Appoint project-specific staff or hire additional personnel, as needed, to ensure the effective implementation and management of program activities.  </w:t>
      </w:r>
    </w:p>
    <w:p w14:paraId="4B04907F" w14:textId="542C1D4C" w:rsidR="00894EC7" w:rsidRPr="00894EC7" w:rsidRDefault="00894EC7" w:rsidP="00086CF0">
      <w:pPr>
        <w:pStyle w:val="ListParagraph"/>
        <w:numPr>
          <w:ilvl w:val="0"/>
          <w:numId w:val="20"/>
        </w:numPr>
      </w:pPr>
      <w:r w:rsidRPr="00894EC7">
        <w:t>Facilitate comprehensive staff development for employees of PY 25-26 ETP</w:t>
      </w:r>
      <w:r w:rsidR="000461D9">
        <w:t>P</w:t>
      </w:r>
      <w:r w:rsidRPr="00894EC7">
        <w:t xml:space="preserve"> </w:t>
      </w:r>
      <w:r w:rsidR="00F76972">
        <w:t>grant</w:t>
      </w:r>
      <w:r w:rsidRPr="00894EC7">
        <w:t xml:space="preserve">ees to strengthen their expertise and improve program delivery outcomes.  </w:t>
      </w:r>
    </w:p>
    <w:p w14:paraId="6BA15F08" w14:textId="650A3F12" w:rsidR="008544AA" w:rsidRPr="00894EC7" w:rsidRDefault="00894EC7" w:rsidP="00086CF0">
      <w:pPr>
        <w:pStyle w:val="ListParagraph"/>
        <w:numPr>
          <w:ilvl w:val="0"/>
          <w:numId w:val="20"/>
        </w:numPr>
      </w:pPr>
      <w:r w:rsidRPr="00894EC7">
        <w:t xml:space="preserve">Cover travel expenses for PY 25-26 </w:t>
      </w:r>
      <w:r w:rsidR="00E13F82">
        <w:t>E</w:t>
      </w:r>
      <w:r w:rsidRPr="00894EC7">
        <w:t xml:space="preserve">PTA </w:t>
      </w:r>
      <w:r w:rsidR="00F76972">
        <w:t>grant</w:t>
      </w:r>
      <w:r w:rsidRPr="00894EC7">
        <w:t>ee staff attend</w:t>
      </w:r>
      <w:r w:rsidR="00CA62CB">
        <w:t>ing</w:t>
      </w:r>
      <w:r w:rsidRPr="00894EC7">
        <w:t xml:space="preserve"> mandatory meetings, trainings, or convenings, ensuring that staff are well-informed and can effectively collaborate with stakeholders to support program success.  </w:t>
      </w:r>
    </w:p>
    <w:p w14:paraId="28C79BBC" w14:textId="09C331D6" w:rsidR="008544AA" w:rsidRPr="00CA31A8" w:rsidRDefault="008544AA" w:rsidP="00F470F1">
      <w:pPr>
        <w:pStyle w:val="BodyText"/>
        <w:rPr>
          <w:lang w:val="en-US"/>
        </w:rPr>
      </w:pPr>
      <w:r w:rsidRPr="01476CFA">
        <w:rPr>
          <w:lang w:val="en-US"/>
        </w:rPr>
        <w:t xml:space="preserve">The WIOA and its associated federal regulations, state and federal directives, and Federal Office of Management and Budget (OMB) Uniform Guidance for Grants and Agreements govern the use of the grant funds. Refer to </w:t>
      </w:r>
      <w:r w:rsidRPr="00EF6FD0">
        <w:rPr>
          <w:lang w:val="en-US"/>
        </w:rPr>
        <w:t>Appendix B and Appendix C</w:t>
      </w:r>
      <w:r w:rsidRPr="01476CFA">
        <w:rPr>
          <w:lang w:val="en-US"/>
        </w:rPr>
        <w:t xml:space="preserve"> for the general requirements of these funds. Funds awarded under this SFP cannot be used to purchase real property or to construct buildings.</w:t>
      </w:r>
      <w:r w:rsidR="00CA31A8">
        <w:rPr>
          <w:lang w:val="en-US"/>
        </w:rPr>
        <w:t xml:space="preserve"> </w:t>
      </w:r>
      <w:r w:rsidR="00371A69">
        <w:rPr>
          <w:lang w:val="en-US"/>
        </w:rPr>
        <w:t xml:space="preserve">For </w:t>
      </w:r>
      <w:r w:rsidR="00CA31A8">
        <w:rPr>
          <w:lang w:val="en-US"/>
        </w:rPr>
        <w:t>a comprehensive list of CalJOBS</w:t>
      </w:r>
      <w:r w:rsidR="00CA31A8" w:rsidRPr="003C7630">
        <w:rPr>
          <w:vertAlign w:val="superscript"/>
          <w:lang w:val="en-US"/>
        </w:rPr>
        <w:t>SM</w:t>
      </w:r>
      <w:r w:rsidR="00CA31A8">
        <w:rPr>
          <w:lang w:val="en-US"/>
        </w:rPr>
        <w:t xml:space="preserve"> activity codes, see Workforce Services Directives </w:t>
      </w:r>
      <w:r w:rsidR="00CA31A8" w:rsidRPr="003C7630">
        <w:rPr>
          <w:i/>
          <w:iCs/>
          <w:lang w:val="en-US"/>
        </w:rPr>
        <w:t>CalJOBS Activity Codes</w:t>
      </w:r>
      <w:r w:rsidR="00CA31A8">
        <w:rPr>
          <w:lang w:val="en-US"/>
        </w:rPr>
        <w:t xml:space="preserve"> (October 10, 2024) (</w:t>
      </w:r>
      <w:hyperlink r:id="rId25" w:history="1">
        <w:r w:rsidR="00CA31A8" w:rsidRPr="00AC3AB1">
          <w:rPr>
            <w:color w:val="467886"/>
          </w:rPr>
          <w:t>WSD24-05</w:t>
        </w:r>
      </w:hyperlink>
      <w:r w:rsidR="00CA31A8" w:rsidRPr="00AC3AB1">
        <w:rPr>
          <w:lang w:val="en-US"/>
        </w:rPr>
        <w:t>).</w:t>
      </w:r>
    </w:p>
    <w:p w14:paraId="162A7B38" w14:textId="77777777" w:rsidR="008544AA" w:rsidRPr="00DC1DE3" w:rsidRDefault="008544AA" w:rsidP="00291014">
      <w:pPr>
        <w:pStyle w:val="Heading3"/>
      </w:pPr>
      <w:bookmarkStart w:id="66" w:name="_Toc167356429"/>
      <w:bookmarkStart w:id="67" w:name="_Toc167894665"/>
      <w:r>
        <w:t>A</w:t>
      </w:r>
      <w:r w:rsidRPr="00831C2A">
        <w:t>dministrative</w:t>
      </w:r>
      <w:r w:rsidRPr="00DC1DE3">
        <w:t xml:space="preserve"> Cost Limits</w:t>
      </w:r>
      <w:bookmarkEnd w:id="66"/>
      <w:bookmarkEnd w:id="67"/>
    </w:p>
    <w:p w14:paraId="1D496DE0" w14:textId="4430348E" w:rsidR="008544AA" w:rsidRDefault="008544AA" w:rsidP="00F470F1">
      <w:pPr>
        <w:pStyle w:val="BodyText"/>
      </w:pPr>
      <w:r w:rsidRPr="00DC1DE3">
        <w:t xml:space="preserve">A maximum of </w:t>
      </w:r>
      <w:r w:rsidRPr="00BF1581">
        <w:t>10 percent</w:t>
      </w:r>
      <w:r w:rsidRPr="00DC1DE3">
        <w:t xml:space="preserve"> of the total requested grant amount will be allowed for administrative costs. Refer to </w:t>
      </w:r>
      <w:r w:rsidRPr="00EF6FD0">
        <w:t>Appendix D</w:t>
      </w:r>
      <w:r w:rsidRPr="00DC1DE3">
        <w:t xml:space="preserve"> for the definition of administrative costs.</w:t>
      </w:r>
      <w:bookmarkStart w:id="68" w:name="_Toc167356430"/>
    </w:p>
    <w:p w14:paraId="5CF9B984" w14:textId="77777777" w:rsidR="00410D44" w:rsidRDefault="00410D44" w:rsidP="00F470F1">
      <w:pPr>
        <w:pStyle w:val="BodyText"/>
      </w:pPr>
    </w:p>
    <w:p w14:paraId="1BE3CE45" w14:textId="77777777" w:rsidR="009A322C" w:rsidRPr="001F1568" w:rsidRDefault="009A322C" w:rsidP="00F470F1">
      <w:pPr>
        <w:pStyle w:val="BodyText"/>
      </w:pPr>
    </w:p>
    <w:p w14:paraId="2508F53B" w14:textId="77777777" w:rsidR="008544AA" w:rsidRPr="00207EF8" w:rsidRDefault="008544AA" w:rsidP="00F470F1">
      <w:pPr>
        <w:pStyle w:val="Heading2"/>
        <w:tabs>
          <w:tab w:val="left" w:pos="360"/>
        </w:tabs>
        <w:ind w:left="0" w:firstLine="0"/>
      </w:pPr>
      <w:bookmarkStart w:id="69" w:name="_Toc167894666"/>
      <w:r w:rsidRPr="008F564F">
        <w:lastRenderedPageBreak/>
        <w:t>Submission</w:t>
      </w:r>
      <w:bookmarkEnd w:id="68"/>
      <w:bookmarkEnd w:id="69"/>
    </w:p>
    <w:p w14:paraId="7EF714D1" w14:textId="77777777" w:rsidR="00544A1E" w:rsidRDefault="00544A1E" w:rsidP="000975E1">
      <w:pPr>
        <w:pStyle w:val="BodyText"/>
        <w:spacing w:after="0"/>
      </w:pPr>
    </w:p>
    <w:p w14:paraId="230BBCED" w14:textId="0925F4F9" w:rsidR="008544AA" w:rsidRPr="00746042" w:rsidRDefault="00924E9F" w:rsidP="00F470F1">
      <w:pPr>
        <w:pStyle w:val="BodyText"/>
      </w:pPr>
      <w:bookmarkStart w:id="70" w:name="_Hlk207957633"/>
      <w:r w:rsidRPr="00924E9F">
        <w:rPr>
          <w:lang w:val="en-US"/>
        </w:rPr>
        <w:t xml:space="preserve">Each applicant may submit only one proposal. If multiple applications are received from the same applicant, only the first one submitted will be accepted; all subsequent </w:t>
      </w:r>
      <w:r w:rsidR="00177B5C">
        <w:rPr>
          <w:lang w:val="en-US"/>
        </w:rPr>
        <w:t xml:space="preserve">application </w:t>
      </w:r>
      <w:r w:rsidRPr="00924E9F">
        <w:rPr>
          <w:lang w:val="en-US"/>
        </w:rPr>
        <w:t xml:space="preserve">submissions will be disqualified. </w:t>
      </w:r>
      <w:r w:rsidRPr="00746042">
        <w:rPr>
          <w:lang w:val="en-US"/>
        </w:rPr>
        <w:t>Please ensure that your complete proposal is submitted electronically by the specified deadline.</w:t>
      </w:r>
    </w:p>
    <w:p w14:paraId="145BA020" w14:textId="77777777" w:rsidR="008544AA" w:rsidRPr="00DC1DE3" w:rsidRDefault="008544AA" w:rsidP="00086CF0">
      <w:pPr>
        <w:pStyle w:val="Heading3"/>
        <w:numPr>
          <w:ilvl w:val="0"/>
          <w:numId w:val="8"/>
        </w:numPr>
      </w:pPr>
      <w:bookmarkStart w:id="71" w:name="_Toc97278833"/>
      <w:bookmarkStart w:id="72" w:name="_Toc158817729"/>
      <w:bookmarkStart w:id="73" w:name="_Toc167356431"/>
      <w:bookmarkStart w:id="74" w:name="_Toc167894667"/>
      <w:bookmarkEnd w:id="70"/>
      <w:r w:rsidRPr="00DC1DE3">
        <w:t xml:space="preserve">Submission </w:t>
      </w:r>
      <w:r w:rsidRPr="00831C2A">
        <w:t>Format</w:t>
      </w:r>
      <w:bookmarkEnd w:id="71"/>
      <w:bookmarkEnd w:id="72"/>
      <w:bookmarkEnd w:id="73"/>
      <w:bookmarkEnd w:id="74"/>
    </w:p>
    <w:p w14:paraId="1A1A9ECE" w14:textId="2B9DC637" w:rsidR="008544AA" w:rsidRPr="00513ABB" w:rsidRDefault="008544AA" w:rsidP="00F470F1">
      <w:pPr>
        <w:pStyle w:val="BodyText"/>
      </w:pPr>
      <w:bookmarkStart w:id="75" w:name="_Hlk207958068"/>
      <w:bookmarkStart w:id="76" w:name="_Hlk159099241"/>
      <w:r w:rsidRPr="00513ABB">
        <w:rPr>
          <w:lang w:val="en-US"/>
        </w:rPr>
        <w:t>Each applicant must submit their proposal package via email as a compressed (or “Zipped”) file. Emails must be sent to</w:t>
      </w:r>
      <w:r w:rsidR="003327A5" w:rsidRPr="00513ABB">
        <w:rPr>
          <w:lang w:val="en-US"/>
        </w:rPr>
        <w:t xml:space="preserve"> WSBSFP3@edd.ca.gov</w:t>
      </w:r>
      <w:r w:rsidRPr="00513ABB">
        <w:rPr>
          <w:lang w:val="en-US"/>
        </w:rPr>
        <w:t>. The subject line of each application submission email must include: “[Applicant’s Three Digit Initialism] [Grant Initialism Program Year Initialism] Proposal</w:t>
      </w:r>
      <w:r w:rsidR="0019439A" w:rsidRPr="00513ABB">
        <w:rPr>
          <w:lang w:val="en-US"/>
        </w:rPr>
        <w:t>.</w:t>
      </w:r>
      <w:r w:rsidRPr="00513ABB">
        <w:rPr>
          <w:lang w:val="en-US"/>
        </w:rPr>
        <w:t>” Example: “Subject: ABC</w:t>
      </w:r>
      <w:r w:rsidR="003327A5" w:rsidRPr="00513ABB">
        <w:rPr>
          <w:lang w:val="en-US"/>
        </w:rPr>
        <w:t xml:space="preserve"> EPTA PY 25-26</w:t>
      </w:r>
      <w:r w:rsidRPr="00513ABB">
        <w:rPr>
          <w:lang w:val="en-US"/>
        </w:rPr>
        <w:t xml:space="preserve"> Proposal</w:t>
      </w:r>
      <w:r w:rsidR="0019439A" w:rsidRPr="00513ABB">
        <w:rPr>
          <w:lang w:val="en-US"/>
        </w:rPr>
        <w:t>.</w:t>
      </w:r>
      <w:r w:rsidRPr="00513ABB">
        <w:rPr>
          <w:lang w:val="en-US"/>
        </w:rPr>
        <w:t xml:space="preserve">” The proposal package is due by </w:t>
      </w:r>
      <w:r w:rsidR="003327A5" w:rsidRPr="00513ABB">
        <w:rPr>
          <w:lang w:val="en-US"/>
        </w:rPr>
        <w:t>3</w:t>
      </w:r>
      <w:r w:rsidRPr="00513ABB">
        <w:rPr>
          <w:lang w:val="en-US"/>
        </w:rPr>
        <w:t xml:space="preserve"> p.m. on </w:t>
      </w:r>
      <w:r w:rsidR="0017638E">
        <w:rPr>
          <w:lang w:val="en-US"/>
        </w:rPr>
        <w:t>Febr</w:t>
      </w:r>
      <w:r w:rsidR="003327A5" w:rsidRPr="00EF6FD0">
        <w:rPr>
          <w:lang w:val="en-US"/>
        </w:rPr>
        <w:t xml:space="preserve">uary </w:t>
      </w:r>
      <w:r w:rsidR="0017638E">
        <w:rPr>
          <w:lang w:val="en-US"/>
        </w:rPr>
        <w:t>3</w:t>
      </w:r>
      <w:r w:rsidR="003327A5" w:rsidRPr="00EF6FD0">
        <w:rPr>
          <w:lang w:val="en-US"/>
        </w:rPr>
        <w:t>, 2026</w:t>
      </w:r>
      <w:r w:rsidRPr="00513ABB">
        <w:rPr>
          <w:lang w:val="en-US"/>
        </w:rPr>
        <w:t xml:space="preserve">. </w:t>
      </w:r>
      <w:r w:rsidR="00F76972">
        <w:rPr>
          <w:lang w:val="en-US"/>
        </w:rPr>
        <w:t>Exhibi</w:t>
      </w:r>
      <w:r w:rsidRPr="00513ABB">
        <w:rPr>
          <w:lang w:val="en-US"/>
        </w:rPr>
        <w:t xml:space="preserve">ts must adhere to the following naming convention: [Applicant’s </w:t>
      </w:r>
      <w:r w:rsidR="005141CF" w:rsidRPr="00513ABB">
        <w:rPr>
          <w:lang w:val="en-US"/>
        </w:rPr>
        <w:t>Three-Digit</w:t>
      </w:r>
      <w:r w:rsidRPr="00513ABB">
        <w:rPr>
          <w:lang w:val="en-US"/>
        </w:rPr>
        <w:t xml:space="preserve"> Initialism] </w:t>
      </w:r>
      <w:bookmarkStart w:id="77" w:name="_Hlk167167703"/>
      <w:r w:rsidRPr="00513ABB">
        <w:rPr>
          <w:lang w:val="en-US"/>
        </w:rPr>
        <w:t>[Grant Initialism Program Year Initialism]</w:t>
      </w:r>
      <w:bookmarkEnd w:id="77"/>
      <w:r w:rsidRPr="00513ABB">
        <w:rPr>
          <w:lang w:val="en-US"/>
        </w:rPr>
        <w:t xml:space="preserve"> [Abbreviated Name of </w:t>
      </w:r>
      <w:r w:rsidR="00F76972">
        <w:rPr>
          <w:lang w:val="en-US"/>
        </w:rPr>
        <w:t>Exhibi</w:t>
      </w:r>
      <w:r w:rsidRPr="00513ABB">
        <w:rPr>
          <w:lang w:val="en-US"/>
        </w:rPr>
        <w:t xml:space="preserve">t]. Example: “ABC </w:t>
      </w:r>
      <w:r w:rsidR="003327A5" w:rsidRPr="00513ABB">
        <w:rPr>
          <w:lang w:val="en-US"/>
        </w:rPr>
        <w:t>EPTA PY 25-26</w:t>
      </w:r>
      <w:r w:rsidRPr="00513ABB">
        <w:rPr>
          <w:lang w:val="en-US"/>
        </w:rPr>
        <w:t xml:space="preserve"> </w:t>
      </w:r>
      <w:proofErr w:type="spellStart"/>
      <w:r w:rsidR="00AC3037" w:rsidRPr="00513ABB">
        <w:rPr>
          <w:lang w:val="en-US"/>
        </w:rPr>
        <w:t>ExA</w:t>
      </w:r>
      <w:proofErr w:type="spellEnd"/>
      <w:r w:rsidR="00AC3037" w:rsidRPr="00513ABB">
        <w:rPr>
          <w:lang w:val="en-US"/>
        </w:rPr>
        <w:t>”, for Exhibit A</w:t>
      </w:r>
      <w:r w:rsidR="0019439A" w:rsidRPr="00513ABB">
        <w:rPr>
          <w:lang w:val="en-US"/>
        </w:rPr>
        <w:t>.</w:t>
      </w:r>
      <w:r w:rsidRPr="00513ABB">
        <w:rPr>
          <w:lang w:val="en-US"/>
        </w:rPr>
        <w:t>”</w:t>
      </w:r>
    </w:p>
    <w:bookmarkEnd w:id="75"/>
    <w:p w14:paraId="797E02B9" w14:textId="5F54A242" w:rsidR="008544AA" w:rsidRPr="00513ABB" w:rsidRDefault="008544AA" w:rsidP="00F470F1">
      <w:pPr>
        <w:pStyle w:val="ListParagraph"/>
      </w:pPr>
      <w:r w:rsidRPr="00513ABB">
        <w:t>Applicants may utilize an initialism for their organization’s name if desired. Please use the organization’s CalJOBS</w:t>
      </w:r>
      <w:r w:rsidR="21AB951B" w:rsidRPr="00513ABB">
        <w:rPr>
          <w:vertAlign w:val="superscript"/>
        </w:rPr>
        <w:t xml:space="preserve"> SM</w:t>
      </w:r>
      <w:r w:rsidRPr="00513ABB">
        <w:t xml:space="preserve"> initialism, if available. File names must not exceed 40 characters.</w:t>
      </w:r>
    </w:p>
    <w:p w14:paraId="723B664B" w14:textId="2E1B6B54" w:rsidR="008544AA" w:rsidRPr="00513ABB" w:rsidRDefault="008544AA" w:rsidP="00F470F1">
      <w:pPr>
        <w:pStyle w:val="ListParagraph"/>
      </w:pPr>
      <w:r w:rsidRPr="00513ABB">
        <w:t>The Cover/Signature page (</w:t>
      </w:r>
      <w:proofErr w:type="spellStart"/>
      <w:r w:rsidRPr="00513ABB">
        <w:t>CovSign</w:t>
      </w:r>
      <w:proofErr w:type="spellEnd"/>
      <w:r w:rsidRPr="00513ABB">
        <w:t>), Partnership Agreement Letters (</w:t>
      </w:r>
      <w:proofErr w:type="spellStart"/>
      <w:r w:rsidRPr="00513ABB">
        <w:t>PtrLtr</w:t>
      </w:r>
      <w:proofErr w:type="spellEnd"/>
      <w:r w:rsidRPr="00513ABB">
        <w:t>), and Optional Commitment Letters (</w:t>
      </w:r>
      <w:proofErr w:type="spellStart"/>
      <w:r w:rsidRPr="00513ABB">
        <w:t>ComLtr</w:t>
      </w:r>
      <w:proofErr w:type="spellEnd"/>
      <w:r w:rsidRPr="00513ABB">
        <w:t>) must be submitted in PDF</w:t>
      </w:r>
      <w:r w:rsidR="00172F4F" w:rsidRPr="00513ABB">
        <w:t>.</w:t>
      </w:r>
      <w:r w:rsidRPr="00513ABB">
        <w:t xml:space="preserve"> </w:t>
      </w:r>
      <w:r w:rsidR="00172F4F" w:rsidRPr="00513ABB">
        <w:t>A</w:t>
      </w:r>
      <w:r w:rsidRPr="00513ABB">
        <w:t>ll other exhibits and exhibit attachments must be submitted in Word format.</w:t>
      </w:r>
    </w:p>
    <w:p w14:paraId="6BD04B72" w14:textId="77777777" w:rsidR="008544AA" w:rsidRPr="00513ABB" w:rsidRDefault="008544AA" w:rsidP="00F470F1">
      <w:pPr>
        <w:pStyle w:val="ListParagraph"/>
      </w:pPr>
      <w:r w:rsidRPr="00513ABB">
        <w:t xml:space="preserve">The </w:t>
      </w:r>
      <w:proofErr w:type="spellStart"/>
      <w:r w:rsidRPr="00513ABB">
        <w:t>CovSign</w:t>
      </w:r>
      <w:proofErr w:type="spellEnd"/>
      <w:r w:rsidRPr="00513ABB">
        <w:t xml:space="preserve"> page must include the signature of the signatory authority on the form.</w:t>
      </w:r>
    </w:p>
    <w:p w14:paraId="30EB4C86" w14:textId="36791890" w:rsidR="008544AA" w:rsidRPr="00513ABB" w:rsidRDefault="008544AA" w:rsidP="00F470F1">
      <w:pPr>
        <w:pStyle w:val="ListParagraph"/>
      </w:pPr>
      <w:proofErr w:type="spellStart"/>
      <w:r w:rsidRPr="00513ABB">
        <w:t>PtrLtr</w:t>
      </w:r>
      <w:r w:rsidR="001304BF" w:rsidRPr="00513ABB">
        <w:t>s</w:t>
      </w:r>
      <w:proofErr w:type="spellEnd"/>
      <w:r w:rsidRPr="00513ABB">
        <w:t xml:space="preserve"> and </w:t>
      </w:r>
      <w:proofErr w:type="spellStart"/>
      <w:r w:rsidRPr="00513ABB">
        <w:t>ComLtrs</w:t>
      </w:r>
      <w:proofErr w:type="spellEnd"/>
      <w:r w:rsidRPr="00513ABB">
        <w:t xml:space="preserve"> should be grouped by category, submitted as two separate PDFs, and saved per the following naming conventions: “ABC </w:t>
      </w:r>
      <w:r w:rsidR="003327A5" w:rsidRPr="00513ABB">
        <w:t>EPTA PY 25-26</w:t>
      </w:r>
      <w:r w:rsidRPr="00513ABB">
        <w:t xml:space="preserve"> </w:t>
      </w:r>
      <w:proofErr w:type="spellStart"/>
      <w:r w:rsidR="001304BF" w:rsidRPr="00513ABB">
        <w:t>Ptr</w:t>
      </w:r>
      <w:r w:rsidRPr="00513ABB">
        <w:t>Ltr</w:t>
      </w:r>
      <w:proofErr w:type="spellEnd"/>
      <w:r w:rsidR="00A940CB">
        <w:t>”</w:t>
      </w:r>
      <w:r w:rsidRPr="00513ABB">
        <w:t xml:space="preserve"> and </w:t>
      </w:r>
      <w:r w:rsidR="00A940CB">
        <w:t>“</w:t>
      </w:r>
      <w:r w:rsidRPr="00513ABB">
        <w:t xml:space="preserve">ABC </w:t>
      </w:r>
      <w:r w:rsidR="003327A5" w:rsidRPr="00513ABB">
        <w:t>EPTA PY 25-26</w:t>
      </w:r>
      <w:r w:rsidRPr="00513ABB">
        <w:t xml:space="preserve"> </w:t>
      </w:r>
      <w:proofErr w:type="spellStart"/>
      <w:r w:rsidR="001304BF" w:rsidRPr="00513ABB">
        <w:t>Com</w:t>
      </w:r>
      <w:r w:rsidRPr="00513ABB">
        <w:t>Ltr</w:t>
      </w:r>
      <w:proofErr w:type="spellEnd"/>
      <w:r w:rsidRPr="00513ABB">
        <w:t>.</w:t>
      </w:r>
      <w:r w:rsidR="0019439A" w:rsidRPr="00513ABB">
        <w:t>”</w:t>
      </w:r>
    </w:p>
    <w:p w14:paraId="4DE3911D" w14:textId="5EE0B111" w:rsidR="008544AA" w:rsidRPr="00513ABB" w:rsidRDefault="008544AA" w:rsidP="00F470F1">
      <w:pPr>
        <w:pStyle w:val="ListParagraph"/>
      </w:pPr>
      <w:r w:rsidRPr="00513ABB">
        <w:t>Submit any additional non-required documentation</w:t>
      </w:r>
      <w:r w:rsidR="003327A5" w:rsidRPr="00513ABB">
        <w:t>,</w:t>
      </w:r>
      <w:r w:rsidRPr="00513ABB">
        <w:t xml:space="preserve"> such as data analysis in PDF.</w:t>
      </w:r>
    </w:p>
    <w:p w14:paraId="2E42D69C" w14:textId="77777777" w:rsidR="008544AA" w:rsidRPr="00DC1DE3" w:rsidRDefault="008544AA" w:rsidP="00291014">
      <w:pPr>
        <w:pStyle w:val="Heading3"/>
      </w:pPr>
      <w:bookmarkStart w:id="78" w:name="_Toc167356432"/>
      <w:bookmarkStart w:id="79" w:name="_Toc167894668"/>
      <w:bookmarkEnd w:id="76"/>
      <w:r w:rsidRPr="00DC1DE3">
        <w:t>Submission Guidelines</w:t>
      </w:r>
      <w:bookmarkStart w:id="80" w:name="_Toc130496174"/>
      <w:bookmarkEnd w:id="78"/>
      <w:bookmarkEnd w:id="79"/>
    </w:p>
    <w:p w14:paraId="77B9CF8A" w14:textId="1808C3D7" w:rsidR="008C2D2B" w:rsidRPr="008C2D2B" w:rsidRDefault="008C2D2B" w:rsidP="008C2D2B">
      <w:pPr>
        <w:pStyle w:val="BodyText"/>
        <w:rPr>
          <w:rFonts w:cs="Calibri"/>
          <w:lang w:val="en-US"/>
        </w:rPr>
      </w:pPr>
      <w:r w:rsidRPr="008C2D2B">
        <w:rPr>
          <w:rFonts w:cs="Calibri"/>
          <w:lang w:val="en-US"/>
        </w:rPr>
        <w:t>Please provide only the required information in the exhibits. When submitting exhibits and attachments, use the following naming convention: “[Applicant’s Three-Digit Initialism]</w:t>
      </w:r>
      <w:r w:rsidR="006213B1">
        <w:rPr>
          <w:rFonts w:cs="Calibri"/>
          <w:lang w:val="en-US"/>
        </w:rPr>
        <w:t xml:space="preserve"> </w:t>
      </w:r>
      <w:r w:rsidR="006213B1" w:rsidRPr="006213B1">
        <w:rPr>
          <w:rFonts w:cs="Calibri"/>
          <w:lang w:val="en-US"/>
        </w:rPr>
        <w:t>[Grant Initialism Program Year Initialism]</w:t>
      </w:r>
      <w:r w:rsidR="006213B1">
        <w:rPr>
          <w:rFonts w:cs="Calibri"/>
          <w:lang w:val="en-US"/>
        </w:rPr>
        <w:t xml:space="preserve">and </w:t>
      </w:r>
      <w:r w:rsidRPr="008C2D2B">
        <w:rPr>
          <w:rFonts w:cs="Calibri"/>
          <w:lang w:val="en-US"/>
        </w:rPr>
        <w:t>[</w:t>
      </w:r>
      <w:r w:rsidR="006213B1">
        <w:rPr>
          <w:rFonts w:cs="Calibri"/>
          <w:lang w:val="en-US"/>
        </w:rPr>
        <w:t xml:space="preserve">Abbreviated </w:t>
      </w:r>
      <w:r w:rsidRPr="008C2D2B">
        <w:rPr>
          <w:rFonts w:cs="Calibri"/>
          <w:lang w:val="en-US"/>
        </w:rPr>
        <w:t xml:space="preserve">Exhibit or Attachment Initialism].” For example, “ABC EPTA PY 25-26 </w:t>
      </w:r>
      <w:proofErr w:type="spellStart"/>
      <w:r w:rsidRPr="008C2D2B">
        <w:rPr>
          <w:rFonts w:cs="Calibri"/>
          <w:lang w:val="en-US"/>
        </w:rPr>
        <w:t>ExF</w:t>
      </w:r>
      <w:proofErr w:type="spellEnd"/>
      <w:r w:rsidRPr="008C2D2B">
        <w:rPr>
          <w:rFonts w:cs="Calibri"/>
          <w:lang w:val="en-US"/>
        </w:rPr>
        <w:t>” for Exhibit F. Please ensure that file names do not exceed 40 characters. All exhibits</w:t>
      </w:r>
      <w:r w:rsidR="006213B1">
        <w:rPr>
          <w:rFonts w:cs="Calibri"/>
          <w:lang w:val="en-US"/>
        </w:rPr>
        <w:t xml:space="preserve"> and attachments</w:t>
      </w:r>
      <w:r w:rsidRPr="008C2D2B">
        <w:rPr>
          <w:rFonts w:cs="Calibri"/>
          <w:lang w:val="en-US"/>
        </w:rPr>
        <w:t xml:space="preserve"> must be completed accurately.</w:t>
      </w:r>
    </w:p>
    <w:p w14:paraId="50A6888C" w14:textId="76280A4F" w:rsidR="008C2D2B" w:rsidRPr="008E506B" w:rsidRDefault="008C2D2B" w:rsidP="008C2D2B">
      <w:pPr>
        <w:pStyle w:val="BodyText"/>
        <w:rPr>
          <w:rFonts w:cs="Calibri"/>
          <w:lang w:val="en-US"/>
        </w:rPr>
      </w:pPr>
      <w:r w:rsidRPr="008C2D2B">
        <w:rPr>
          <w:rFonts w:cs="Calibri"/>
          <w:lang w:val="en-US"/>
        </w:rPr>
        <w:t xml:space="preserve">The chart below lists the required documents that must be included in your proposal file submission, along with the suggested naming convention for each </w:t>
      </w:r>
      <w:r w:rsidR="001E772D">
        <w:rPr>
          <w:rFonts w:cs="Calibri"/>
          <w:lang w:val="en-US"/>
        </w:rPr>
        <w:t>document</w:t>
      </w:r>
      <w:r w:rsidRPr="008C2D2B">
        <w:rPr>
          <w:rFonts w:cs="Calibri"/>
          <w:lang w:val="en-US"/>
        </w:rPr>
        <w:t xml:space="preserve">. Applications that </w:t>
      </w:r>
      <w:r w:rsidRPr="008C2D2B">
        <w:rPr>
          <w:rFonts w:cs="Calibri"/>
          <w:lang w:val="en-US"/>
        </w:rPr>
        <w:lastRenderedPageBreak/>
        <w:t xml:space="preserve">do not include all required documents or are submitted after 3 p.m. PST on </w:t>
      </w:r>
      <w:r w:rsidR="0017638E">
        <w:rPr>
          <w:rFonts w:cs="Calibri"/>
          <w:lang w:val="en-US"/>
        </w:rPr>
        <w:t>Febr</w:t>
      </w:r>
      <w:r w:rsidR="003327A5" w:rsidRPr="00A75B8E">
        <w:rPr>
          <w:rFonts w:cs="Calibri"/>
          <w:lang w:val="en-US"/>
        </w:rPr>
        <w:t xml:space="preserve">uary </w:t>
      </w:r>
      <w:r w:rsidR="0017638E">
        <w:rPr>
          <w:rFonts w:cs="Calibri"/>
          <w:lang w:val="en-US"/>
        </w:rPr>
        <w:t>3</w:t>
      </w:r>
      <w:r w:rsidRPr="00A75B8E">
        <w:rPr>
          <w:rFonts w:cs="Calibri"/>
          <w:lang w:val="en-US"/>
        </w:rPr>
        <w:t>, 202</w:t>
      </w:r>
      <w:r w:rsidR="003327A5" w:rsidRPr="00A75B8E">
        <w:rPr>
          <w:rFonts w:cs="Calibri"/>
          <w:lang w:val="en-US"/>
        </w:rPr>
        <w:t>6</w:t>
      </w:r>
      <w:r w:rsidRPr="008C2D2B">
        <w:rPr>
          <w:rFonts w:cs="Calibri"/>
          <w:lang w:val="en-US"/>
        </w:rPr>
        <w:t>, will be considered non-responsive and automatically disqualified from funding consideration.</w:t>
      </w:r>
    </w:p>
    <w:p w14:paraId="163DF0C1" w14:textId="6C49D8FE" w:rsidR="008544AA" w:rsidRPr="008E506B" w:rsidRDefault="008544AA" w:rsidP="00F470F1">
      <w:pPr>
        <w:pStyle w:val="BodyText"/>
        <w:rPr>
          <w:rFonts w:cs="Calibri"/>
        </w:rPr>
      </w:pPr>
      <w:r w:rsidRPr="008E506B">
        <w:rPr>
          <w:rFonts w:cs="Calibri"/>
          <w:b/>
          <w:bCs/>
        </w:rPr>
        <w:t>Disclaimer:</w:t>
      </w:r>
      <w:r w:rsidRPr="008E506B">
        <w:rPr>
          <w:rFonts w:cs="Calibri"/>
        </w:rPr>
        <w:t xml:space="preserve"> The </w:t>
      </w:r>
      <w:r w:rsidR="001E772D">
        <w:rPr>
          <w:rFonts w:cs="Calibri"/>
        </w:rPr>
        <w:t>E</w:t>
      </w:r>
      <w:r w:rsidRPr="008E506B">
        <w:rPr>
          <w:rFonts w:cs="Calibri"/>
        </w:rPr>
        <w:t>xhibits have been updated for accessibility in compliance with the Americans with Disabilities Act.</w:t>
      </w:r>
    </w:p>
    <w:p w14:paraId="6149DDE6" w14:textId="0001A5D2" w:rsidR="008544AA" w:rsidRPr="00547829" w:rsidRDefault="008544AA" w:rsidP="008F564F">
      <w:pPr>
        <w:pStyle w:val="BodyText"/>
        <w:spacing w:after="0"/>
        <w:rPr>
          <w:rFonts w:cs="Calibri"/>
          <w:b/>
          <w:bCs/>
        </w:rPr>
      </w:pPr>
      <w:r w:rsidRPr="00547829">
        <w:rPr>
          <w:rFonts w:cs="Calibri"/>
          <w:b/>
          <w:bCs/>
        </w:rPr>
        <w:t xml:space="preserve">Figure </w:t>
      </w:r>
      <w:r w:rsidR="009C4038" w:rsidRPr="00547829">
        <w:rPr>
          <w:rFonts w:cs="Calibri"/>
          <w:b/>
          <w:bCs/>
        </w:rPr>
        <w:t>5</w:t>
      </w:r>
      <w:r w:rsidR="008F564F" w:rsidRPr="00547829">
        <w:rPr>
          <w:rFonts w:cs="Calibri"/>
          <w:b/>
          <w:bCs/>
        </w:rPr>
        <w:t>.</w:t>
      </w:r>
      <w:r w:rsidRPr="00547829">
        <w:rPr>
          <w:rFonts w:cs="Calibri"/>
          <w:b/>
          <w:bCs/>
        </w:rPr>
        <w:t>1: Document Submission Guidelines</w:t>
      </w:r>
    </w:p>
    <w:tbl>
      <w:tblPr>
        <w:tblStyle w:val="TableGrid3"/>
        <w:tblW w:w="5000" w:type="pct"/>
        <w:tblLook w:val="04A0" w:firstRow="1" w:lastRow="0" w:firstColumn="1" w:lastColumn="0" w:noHBand="0" w:noVBand="1"/>
        <w:tblCaption w:val="Format and Document Order Checklist"/>
        <w:tblDescription w:val="This table list the Document order and can be used as a checklist"/>
      </w:tblPr>
      <w:tblGrid>
        <w:gridCol w:w="4675"/>
        <w:gridCol w:w="4675"/>
      </w:tblGrid>
      <w:tr w:rsidR="008544AA" w:rsidRPr="00547829" w14:paraId="0A311848" w14:textId="77777777" w:rsidTr="001179CF">
        <w:trPr>
          <w:trHeight w:val="377"/>
          <w:tblHeader/>
        </w:trPr>
        <w:tc>
          <w:tcPr>
            <w:tcW w:w="2500" w:type="pct"/>
            <w:shd w:val="clear" w:color="auto" w:fill="D9D9D9" w:themeFill="background1" w:themeFillShade="D9"/>
          </w:tcPr>
          <w:p w14:paraId="69D2ACD3" w14:textId="59D94F16" w:rsidR="008544AA" w:rsidRPr="00547829" w:rsidRDefault="008544AA" w:rsidP="008F564F">
            <w:pPr>
              <w:pStyle w:val="BodyText"/>
              <w:spacing w:after="0"/>
              <w:rPr>
                <w:rFonts w:cs="Calibri"/>
                <w:b/>
              </w:rPr>
            </w:pPr>
            <w:r w:rsidRPr="00547829">
              <w:rPr>
                <w:rFonts w:cs="Calibri"/>
                <w:b/>
              </w:rPr>
              <w:t>Required Documents</w:t>
            </w:r>
          </w:p>
        </w:tc>
        <w:tc>
          <w:tcPr>
            <w:tcW w:w="2500" w:type="pct"/>
            <w:shd w:val="clear" w:color="auto" w:fill="D9D9D9" w:themeFill="background1" w:themeFillShade="D9"/>
          </w:tcPr>
          <w:p w14:paraId="523D068C" w14:textId="77777777" w:rsidR="008544AA" w:rsidRPr="00547829" w:rsidRDefault="008544AA" w:rsidP="008F564F">
            <w:pPr>
              <w:pStyle w:val="BodyText"/>
              <w:spacing w:after="0"/>
              <w:rPr>
                <w:rFonts w:cs="Calibri"/>
                <w:b/>
              </w:rPr>
            </w:pPr>
            <w:r w:rsidRPr="00547829">
              <w:rPr>
                <w:rFonts w:cs="Calibri"/>
                <w:b/>
              </w:rPr>
              <w:t>Naming Convention Suggestions</w:t>
            </w:r>
          </w:p>
        </w:tc>
      </w:tr>
      <w:tr w:rsidR="008544AA" w:rsidRPr="00547829" w14:paraId="26A15B7F" w14:textId="77777777" w:rsidTr="001179CF">
        <w:trPr>
          <w:trHeight w:val="360"/>
        </w:trPr>
        <w:tc>
          <w:tcPr>
            <w:tcW w:w="2500" w:type="pct"/>
          </w:tcPr>
          <w:p w14:paraId="187D3975" w14:textId="4D17AD23" w:rsidR="008544AA" w:rsidRPr="00547829" w:rsidRDefault="008544AA" w:rsidP="00763B60">
            <w:pPr>
              <w:pStyle w:val="BodyText"/>
              <w:spacing w:before="120" w:after="120"/>
              <w:rPr>
                <w:rFonts w:cs="Calibri"/>
                <w:b/>
                <w:bCs/>
                <w:lang w:val="en-US"/>
              </w:rPr>
            </w:pPr>
            <w:r w:rsidRPr="00547829">
              <w:rPr>
                <w:rFonts w:cs="Calibri"/>
                <w:b/>
                <w:bCs/>
                <w:lang w:val="en-US"/>
              </w:rPr>
              <w:t>Exhibit A</w:t>
            </w:r>
            <w:r w:rsidR="009572BF" w:rsidRPr="00547829">
              <w:rPr>
                <w:rFonts w:cs="Calibri"/>
                <w:b/>
                <w:bCs/>
                <w:lang w:val="en-US"/>
              </w:rPr>
              <w:t>:</w:t>
            </w:r>
            <w:r w:rsidRPr="00547829">
              <w:rPr>
                <w:rFonts w:cs="Calibri"/>
                <w:b/>
                <w:bCs/>
                <w:lang w:val="en-US"/>
              </w:rPr>
              <w:t xml:space="preserve"> </w:t>
            </w:r>
            <w:r w:rsidR="1EF5C775" w:rsidRPr="00547829">
              <w:rPr>
                <w:rFonts w:cs="Calibri"/>
                <w:b/>
                <w:bCs/>
                <w:lang w:val="en-US"/>
              </w:rPr>
              <w:t>Project</w:t>
            </w:r>
            <w:r w:rsidRPr="00547829">
              <w:rPr>
                <w:rFonts w:cs="Calibri"/>
                <w:b/>
                <w:bCs/>
                <w:lang w:val="en-US"/>
              </w:rPr>
              <w:t xml:space="preserve"> Narrative (</w:t>
            </w:r>
            <w:proofErr w:type="spellStart"/>
            <w:r w:rsidRPr="00547829">
              <w:rPr>
                <w:rFonts w:cs="Calibri"/>
                <w:b/>
                <w:bCs/>
                <w:lang w:val="en-US"/>
              </w:rPr>
              <w:t>ExA</w:t>
            </w:r>
            <w:proofErr w:type="spellEnd"/>
            <w:r w:rsidRPr="00547829">
              <w:rPr>
                <w:rFonts w:cs="Calibri"/>
                <w:b/>
                <w:bCs/>
                <w:lang w:val="en-US"/>
              </w:rPr>
              <w:t>)</w:t>
            </w:r>
          </w:p>
        </w:tc>
        <w:tc>
          <w:tcPr>
            <w:tcW w:w="2500" w:type="pct"/>
          </w:tcPr>
          <w:p w14:paraId="1711F2EE" w14:textId="5B0E1EEA" w:rsidR="008544AA" w:rsidRPr="00547829" w:rsidRDefault="008544AA" w:rsidP="00763B60">
            <w:pPr>
              <w:pStyle w:val="BodyText"/>
              <w:spacing w:before="120" w:after="120"/>
              <w:rPr>
                <w:rFonts w:cs="Calibri"/>
                <w:color w:val="FFFFFF"/>
              </w:rPr>
            </w:pPr>
            <w:r w:rsidRPr="00547829">
              <w:rPr>
                <w:rFonts w:cs="Calibri"/>
              </w:rPr>
              <w:t xml:space="preserve">[Applicant’s </w:t>
            </w:r>
            <w:r w:rsidR="00371A69" w:rsidRPr="00547829">
              <w:rPr>
                <w:rFonts w:cs="Calibri"/>
              </w:rPr>
              <w:t>Three-Digit</w:t>
            </w:r>
            <w:r w:rsidRPr="00547829">
              <w:rPr>
                <w:rFonts w:cs="Calibri"/>
              </w:rPr>
              <w:t xml:space="preserve">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F54641" w:rsidRPr="00547829">
              <w:rPr>
                <w:rFonts w:cs="Calibri"/>
              </w:rPr>
              <w:t>ExA</w:t>
            </w:r>
            <w:proofErr w:type="spellEnd"/>
          </w:p>
        </w:tc>
      </w:tr>
      <w:tr w:rsidR="001179CF" w:rsidRPr="00547829" w14:paraId="51F73470" w14:textId="77777777" w:rsidTr="001179CF">
        <w:trPr>
          <w:trHeight w:val="360"/>
        </w:trPr>
        <w:tc>
          <w:tcPr>
            <w:tcW w:w="2500" w:type="pct"/>
          </w:tcPr>
          <w:p w14:paraId="6387DDA2" w14:textId="4B56E4E0" w:rsidR="001179CF" w:rsidRPr="00547829" w:rsidRDefault="001179CF" w:rsidP="00763B60">
            <w:pPr>
              <w:pStyle w:val="BodyText"/>
              <w:spacing w:before="120" w:after="120"/>
              <w:rPr>
                <w:rFonts w:cs="Calibri"/>
                <w:b/>
                <w:bCs/>
                <w:lang w:val="en-US"/>
              </w:rPr>
            </w:pPr>
            <w:r>
              <w:rPr>
                <w:rFonts w:cs="Calibri"/>
                <w:b/>
                <w:bCs/>
                <w:lang w:val="en-US"/>
              </w:rPr>
              <w:t>Exhibit F: Budget Summary (</w:t>
            </w:r>
            <w:proofErr w:type="spellStart"/>
            <w:r>
              <w:rPr>
                <w:rFonts w:cs="Calibri"/>
                <w:b/>
                <w:bCs/>
                <w:lang w:val="en-US"/>
              </w:rPr>
              <w:t>ExF</w:t>
            </w:r>
            <w:proofErr w:type="spellEnd"/>
            <w:r>
              <w:rPr>
                <w:rFonts w:cs="Calibri"/>
                <w:b/>
                <w:bCs/>
                <w:lang w:val="en-US"/>
              </w:rPr>
              <w:t>)</w:t>
            </w:r>
          </w:p>
        </w:tc>
        <w:tc>
          <w:tcPr>
            <w:tcW w:w="2500" w:type="pct"/>
          </w:tcPr>
          <w:p w14:paraId="6E4E6EA2" w14:textId="50C3BF54" w:rsidR="001179CF" w:rsidRPr="00547829" w:rsidRDefault="001179CF" w:rsidP="00763B60">
            <w:pPr>
              <w:pStyle w:val="BodyText"/>
              <w:spacing w:before="120" w:after="120"/>
              <w:rPr>
                <w:rFonts w:cs="Calibri"/>
              </w:rPr>
            </w:pPr>
            <w:r w:rsidRPr="001179CF">
              <w:rPr>
                <w:rFonts w:cs="Calibri"/>
              </w:rPr>
              <w:t xml:space="preserve">[Applicant’s Three-Digit Initialism] EPTA PY 25-26 </w:t>
            </w:r>
            <w:proofErr w:type="spellStart"/>
            <w:r w:rsidRPr="001179CF">
              <w:rPr>
                <w:rFonts w:cs="Calibri"/>
              </w:rPr>
              <w:t>Ex</w:t>
            </w:r>
            <w:r>
              <w:rPr>
                <w:rFonts w:cs="Calibri"/>
              </w:rPr>
              <w:t>F</w:t>
            </w:r>
            <w:proofErr w:type="spellEnd"/>
          </w:p>
        </w:tc>
      </w:tr>
      <w:tr w:rsidR="001179CF" w:rsidRPr="00547829" w14:paraId="57A9CBBA" w14:textId="77777777" w:rsidTr="001179CF">
        <w:trPr>
          <w:trHeight w:val="360"/>
        </w:trPr>
        <w:tc>
          <w:tcPr>
            <w:tcW w:w="2500" w:type="pct"/>
          </w:tcPr>
          <w:p w14:paraId="16F6558F" w14:textId="42C03BFE" w:rsidR="001179CF" w:rsidRPr="00547829" w:rsidRDefault="001179CF" w:rsidP="00763B60">
            <w:pPr>
              <w:pStyle w:val="BodyText"/>
              <w:spacing w:before="120" w:after="120"/>
              <w:rPr>
                <w:rFonts w:cs="Calibri"/>
                <w:b/>
                <w:bCs/>
                <w:lang w:val="en-US"/>
              </w:rPr>
            </w:pPr>
            <w:r>
              <w:rPr>
                <w:rFonts w:cs="Calibri"/>
                <w:b/>
                <w:bCs/>
                <w:lang w:val="en-US"/>
              </w:rPr>
              <w:t>Exhibit F2: Budget Narrative (ExF2)</w:t>
            </w:r>
          </w:p>
        </w:tc>
        <w:tc>
          <w:tcPr>
            <w:tcW w:w="2500" w:type="pct"/>
          </w:tcPr>
          <w:p w14:paraId="033D09B3" w14:textId="10E5A055" w:rsidR="001179CF" w:rsidRPr="00547829" w:rsidRDefault="001179CF" w:rsidP="00763B60">
            <w:pPr>
              <w:pStyle w:val="BodyText"/>
              <w:spacing w:before="120" w:after="120"/>
              <w:rPr>
                <w:rFonts w:cs="Calibri"/>
              </w:rPr>
            </w:pPr>
            <w:r w:rsidRPr="001179CF">
              <w:rPr>
                <w:rFonts w:cs="Calibri"/>
              </w:rPr>
              <w:t>[Applicant’s Three-Digit Initialism] EPTA PY 25-26 Ex</w:t>
            </w:r>
            <w:r>
              <w:rPr>
                <w:rFonts w:cs="Calibri"/>
              </w:rPr>
              <w:t>F2</w:t>
            </w:r>
          </w:p>
        </w:tc>
      </w:tr>
      <w:tr w:rsidR="008544AA" w:rsidRPr="00547829" w14:paraId="4B6730D8" w14:textId="77777777" w:rsidTr="001179CF">
        <w:trPr>
          <w:trHeight w:val="360"/>
        </w:trPr>
        <w:tc>
          <w:tcPr>
            <w:tcW w:w="2500" w:type="pct"/>
          </w:tcPr>
          <w:p w14:paraId="57FC6CF2" w14:textId="1F8B37B3" w:rsidR="008544AA" w:rsidRPr="00547829" w:rsidRDefault="008544AA" w:rsidP="00763B60">
            <w:pPr>
              <w:pStyle w:val="BodyText"/>
              <w:spacing w:before="120" w:after="120"/>
              <w:rPr>
                <w:rFonts w:cs="Calibri"/>
                <w:b/>
                <w:bCs/>
                <w:lang w:val="en-US"/>
              </w:rPr>
            </w:pPr>
            <w:r w:rsidRPr="00547829">
              <w:rPr>
                <w:rFonts w:cs="Calibri"/>
                <w:b/>
                <w:bCs/>
                <w:lang w:val="en-US"/>
              </w:rPr>
              <w:t>Exhibit G</w:t>
            </w:r>
            <w:r w:rsidR="009572BF" w:rsidRPr="00547829">
              <w:rPr>
                <w:rFonts w:cs="Calibri"/>
                <w:b/>
                <w:bCs/>
                <w:lang w:val="en-US"/>
              </w:rPr>
              <w:t>:</w:t>
            </w:r>
            <w:r w:rsidRPr="00547829">
              <w:rPr>
                <w:rFonts w:cs="Calibri"/>
                <w:b/>
                <w:bCs/>
                <w:lang w:val="en-US"/>
              </w:rPr>
              <w:t xml:space="preserve"> Supplemental Budget (</w:t>
            </w:r>
            <w:proofErr w:type="spellStart"/>
            <w:r w:rsidRPr="00547829">
              <w:rPr>
                <w:rFonts w:cs="Calibri"/>
                <w:b/>
                <w:bCs/>
                <w:lang w:val="en-US"/>
              </w:rPr>
              <w:t>ExG</w:t>
            </w:r>
            <w:proofErr w:type="spellEnd"/>
            <w:r w:rsidRPr="00547829">
              <w:rPr>
                <w:rFonts w:cs="Calibri"/>
                <w:b/>
                <w:bCs/>
                <w:lang w:val="en-US"/>
              </w:rPr>
              <w:t>)</w:t>
            </w:r>
          </w:p>
        </w:tc>
        <w:tc>
          <w:tcPr>
            <w:tcW w:w="2500" w:type="pct"/>
          </w:tcPr>
          <w:p w14:paraId="09EC5AE1" w14:textId="1868FEA2" w:rsidR="008544AA" w:rsidRPr="00547829" w:rsidRDefault="008544AA" w:rsidP="00763B60">
            <w:pPr>
              <w:pStyle w:val="BodyText"/>
              <w:spacing w:before="120" w:after="120"/>
              <w:rPr>
                <w:rFonts w:cs="Calibri"/>
                <w:color w:val="FFFFFF"/>
              </w:rPr>
            </w:pPr>
            <w:r w:rsidRPr="00547829">
              <w:rPr>
                <w:rFonts w:cs="Calibri"/>
              </w:rPr>
              <w:t xml:space="preserve">[Applicant’s </w:t>
            </w:r>
            <w:r w:rsidR="00371A69" w:rsidRPr="00547829">
              <w:rPr>
                <w:rFonts w:cs="Calibri"/>
              </w:rPr>
              <w:t>Three-Digit</w:t>
            </w:r>
            <w:r w:rsidRPr="00547829">
              <w:rPr>
                <w:rFonts w:cs="Calibri"/>
              </w:rPr>
              <w:t xml:space="preserve">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F54641" w:rsidRPr="00547829">
              <w:rPr>
                <w:rFonts w:cs="Calibri"/>
              </w:rPr>
              <w:t>ExG</w:t>
            </w:r>
            <w:proofErr w:type="spellEnd"/>
          </w:p>
        </w:tc>
      </w:tr>
      <w:tr w:rsidR="008544AA" w:rsidRPr="00547829" w14:paraId="49713B16" w14:textId="77777777" w:rsidTr="001179CF">
        <w:trPr>
          <w:trHeight w:val="360"/>
        </w:trPr>
        <w:tc>
          <w:tcPr>
            <w:tcW w:w="2500" w:type="pct"/>
          </w:tcPr>
          <w:p w14:paraId="5F40B447" w14:textId="4E5C8F62" w:rsidR="008544AA" w:rsidRPr="00547829" w:rsidRDefault="008544AA" w:rsidP="00763B60">
            <w:pPr>
              <w:pStyle w:val="BodyText"/>
              <w:spacing w:before="120" w:after="120"/>
              <w:rPr>
                <w:rFonts w:cs="Calibri"/>
                <w:b/>
                <w:bCs/>
                <w:lang w:val="en-US"/>
              </w:rPr>
            </w:pPr>
            <w:r w:rsidRPr="00547829">
              <w:rPr>
                <w:rFonts w:cs="Calibri"/>
                <w:b/>
                <w:bCs/>
                <w:lang w:val="en-US"/>
              </w:rPr>
              <w:t>Exhibit J</w:t>
            </w:r>
            <w:r w:rsidR="009572BF" w:rsidRPr="00547829">
              <w:rPr>
                <w:rFonts w:cs="Calibri"/>
                <w:b/>
                <w:bCs/>
                <w:lang w:val="en-US"/>
              </w:rPr>
              <w:t>:</w:t>
            </w:r>
            <w:r w:rsidRPr="00547829">
              <w:rPr>
                <w:rFonts w:cs="Calibri"/>
                <w:b/>
                <w:bCs/>
                <w:lang w:val="en-US"/>
              </w:rPr>
              <w:t xml:space="preserve"> Partner Roles and </w:t>
            </w:r>
            <w:r w:rsidR="009572BF" w:rsidRPr="00547829">
              <w:rPr>
                <w:rFonts w:cs="Calibri"/>
                <w:b/>
                <w:bCs/>
                <w:lang w:val="en-US"/>
              </w:rPr>
              <w:t>Responsibilities</w:t>
            </w:r>
            <w:r w:rsidRPr="00547829">
              <w:rPr>
                <w:rFonts w:cs="Calibri"/>
                <w:b/>
                <w:bCs/>
                <w:lang w:val="en-US"/>
              </w:rPr>
              <w:t xml:space="preserve"> (</w:t>
            </w:r>
            <w:proofErr w:type="spellStart"/>
            <w:r w:rsidRPr="00547829">
              <w:rPr>
                <w:rFonts w:cs="Calibri"/>
                <w:b/>
                <w:bCs/>
                <w:lang w:val="en-US"/>
              </w:rPr>
              <w:t>ExJ</w:t>
            </w:r>
            <w:proofErr w:type="spellEnd"/>
            <w:r w:rsidRPr="00547829">
              <w:rPr>
                <w:rFonts w:cs="Calibri"/>
                <w:b/>
                <w:bCs/>
                <w:lang w:val="en-US"/>
              </w:rPr>
              <w:t>)</w:t>
            </w:r>
          </w:p>
        </w:tc>
        <w:tc>
          <w:tcPr>
            <w:tcW w:w="2500" w:type="pct"/>
          </w:tcPr>
          <w:p w14:paraId="5050DE69" w14:textId="1AA6EC31" w:rsidR="008544AA" w:rsidRPr="00547829" w:rsidRDefault="008544AA" w:rsidP="00763B60">
            <w:pPr>
              <w:pStyle w:val="BodyText"/>
              <w:spacing w:before="120" w:after="120"/>
              <w:rPr>
                <w:rFonts w:cs="Calibri"/>
                <w:color w:val="FFFFFF"/>
              </w:rPr>
            </w:pPr>
            <w:r w:rsidRPr="00547829">
              <w:rPr>
                <w:rFonts w:cs="Calibri"/>
              </w:rPr>
              <w:t xml:space="preserve">[Applicant’s </w:t>
            </w:r>
            <w:r w:rsidR="00371A69" w:rsidRPr="00547829">
              <w:rPr>
                <w:rFonts w:cs="Calibri"/>
              </w:rPr>
              <w:t>Three-Digit</w:t>
            </w:r>
            <w:r w:rsidRPr="00547829">
              <w:rPr>
                <w:rFonts w:cs="Calibri"/>
              </w:rPr>
              <w:t xml:space="preserve">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F54641" w:rsidRPr="00547829">
              <w:rPr>
                <w:rFonts w:cs="Calibri"/>
              </w:rPr>
              <w:t>ExJ</w:t>
            </w:r>
            <w:proofErr w:type="spellEnd"/>
          </w:p>
        </w:tc>
      </w:tr>
      <w:tr w:rsidR="008544AA" w:rsidRPr="00547829" w14:paraId="55608516" w14:textId="77777777" w:rsidTr="001179CF">
        <w:trPr>
          <w:trHeight w:val="360"/>
        </w:trPr>
        <w:tc>
          <w:tcPr>
            <w:tcW w:w="2500" w:type="pct"/>
          </w:tcPr>
          <w:p w14:paraId="17F485C6" w14:textId="77777777" w:rsidR="008544AA" w:rsidRPr="00547829" w:rsidRDefault="008544AA" w:rsidP="00763B60">
            <w:pPr>
              <w:pStyle w:val="BodyText"/>
              <w:spacing w:before="120" w:after="120"/>
              <w:rPr>
                <w:rFonts w:cs="Calibri"/>
                <w:b/>
                <w:bCs/>
                <w:lang w:val="en-US"/>
              </w:rPr>
            </w:pPr>
            <w:r w:rsidRPr="00547829">
              <w:rPr>
                <w:rFonts w:cs="Calibri"/>
                <w:b/>
                <w:bCs/>
                <w:lang w:val="en-US"/>
              </w:rPr>
              <w:t>Cover/Signature Page (</w:t>
            </w:r>
            <w:proofErr w:type="spellStart"/>
            <w:r w:rsidRPr="00547829">
              <w:rPr>
                <w:rFonts w:cs="Calibri"/>
                <w:b/>
                <w:bCs/>
                <w:lang w:val="en-US"/>
              </w:rPr>
              <w:t>CovSign</w:t>
            </w:r>
            <w:proofErr w:type="spellEnd"/>
            <w:r w:rsidRPr="00547829">
              <w:rPr>
                <w:rFonts w:cs="Calibri"/>
                <w:b/>
                <w:bCs/>
                <w:lang w:val="en-US"/>
              </w:rPr>
              <w:t>)</w:t>
            </w:r>
          </w:p>
        </w:tc>
        <w:tc>
          <w:tcPr>
            <w:tcW w:w="2500" w:type="pct"/>
          </w:tcPr>
          <w:p w14:paraId="1ABCBB0C" w14:textId="1C850D14" w:rsidR="008544AA" w:rsidRPr="00547829" w:rsidRDefault="008544AA" w:rsidP="00763B60">
            <w:pPr>
              <w:pStyle w:val="BodyText"/>
              <w:spacing w:before="120" w:after="120"/>
              <w:rPr>
                <w:rFonts w:cs="Calibri"/>
                <w:color w:val="FFFFFF"/>
              </w:rPr>
            </w:pPr>
            <w:r w:rsidRPr="00547829">
              <w:rPr>
                <w:rFonts w:cs="Calibri"/>
              </w:rPr>
              <w:t xml:space="preserve">[Applicant’s </w:t>
            </w:r>
            <w:r w:rsidR="00371A69" w:rsidRPr="00547829">
              <w:rPr>
                <w:rFonts w:cs="Calibri"/>
              </w:rPr>
              <w:t>Three-Digit</w:t>
            </w:r>
            <w:r w:rsidRPr="00547829">
              <w:rPr>
                <w:rFonts w:cs="Calibri"/>
              </w:rPr>
              <w:t xml:space="preserve">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F54641" w:rsidRPr="00547829">
              <w:rPr>
                <w:rFonts w:cs="Calibri"/>
              </w:rPr>
              <w:t>CovSign</w:t>
            </w:r>
            <w:proofErr w:type="spellEnd"/>
          </w:p>
        </w:tc>
      </w:tr>
      <w:tr w:rsidR="001179CF" w:rsidRPr="00547829" w14:paraId="3BFFC337" w14:textId="77777777" w:rsidTr="001179CF">
        <w:trPr>
          <w:trHeight w:val="360"/>
        </w:trPr>
        <w:tc>
          <w:tcPr>
            <w:tcW w:w="2500" w:type="pct"/>
          </w:tcPr>
          <w:p w14:paraId="6DDB0ADD" w14:textId="5CE02AC4" w:rsidR="001179CF" w:rsidRPr="00547829" w:rsidRDefault="001179CF" w:rsidP="00763B60">
            <w:pPr>
              <w:pStyle w:val="BodyText"/>
              <w:spacing w:before="120" w:after="120"/>
              <w:rPr>
                <w:rFonts w:cs="Calibri"/>
                <w:b/>
                <w:bCs/>
                <w:lang w:val="en-US"/>
              </w:rPr>
            </w:pPr>
            <w:r>
              <w:rPr>
                <w:rFonts w:cs="Calibri"/>
                <w:b/>
                <w:bCs/>
                <w:lang w:val="en-US"/>
              </w:rPr>
              <w:t>Executive Summary (</w:t>
            </w:r>
            <w:proofErr w:type="spellStart"/>
            <w:r>
              <w:rPr>
                <w:rFonts w:cs="Calibri"/>
                <w:b/>
                <w:bCs/>
                <w:lang w:val="en-US"/>
              </w:rPr>
              <w:t>ExecSum</w:t>
            </w:r>
            <w:proofErr w:type="spellEnd"/>
            <w:r>
              <w:rPr>
                <w:rFonts w:cs="Calibri"/>
                <w:b/>
                <w:bCs/>
                <w:lang w:val="en-US"/>
              </w:rPr>
              <w:t>)</w:t>
            </w:r>
          </w:p>
        </w:tc>
        <w:tc>
          <w:tcPr>
            <w:tcW w:w="2500" w:type="pct"/>
          </w:tcPr>
          <w:p w14:paraId="073CA12C" w14:textId="6265D586" w:rsidR="001179CF" w:rsidRPr="00547829" w:rsidRDefault="001179CF" w:rsidP="00763B60">
            <w:pPr>
              <w:pStyle w:val="BodyText"/>
              <w:spacing w:before="120" w:after="120"/>
              <w:rPr>
                <w:rFonts w:cs="Calibri"/>
              </w:rPr>
            </w:pPr>
            <w:r w:rsidRPr="001179CF">
              <w:rPr>
                <w:rFonts w:cs="Calibri"/>
              </w:rPr>
              <w:t xml:space="preserve">[Applicant’s Three-Digit Initialism] EPTA PY 25-26 </w:t>
            </w:r>
            <w:proofErr w:type="spellStart"/>
            <w:r w:rsidRPr="001179CF">
              <w:rPr>
                <w:rFonts w:cs="Calibri"/>
              </w:rPr>
              <w:t>E</w:t>
            </w:r>
            <w:r>
              <w:rPr>
                <w:rFonts w:cs="Calibri"/>
              </w:rPr>
              <w:t>x</w:t>
            </w:r>
            <w:r w:rsidR="00CA1729">
              <w:rPr>
                <w:rFonts w:cs="Calibri"/>
              </w:rPr>
              <w:t>ec</w:t>
            </w:r>
            <w:r>
              <w:rPr>
                <w:rFonts w:cs="Calibri"/>
              </w:rPr>
              <w:t>Sum</w:t>
            </w:r>
            <w:proofErr w:type="spellEnd"/>
          </w:p>
        </w:tc>
      </w:tr>
      <w:tr w:rsidR="008544AA" w:rsidRPr="00547829" w14:paraId="707E9BDC" w14:textId="77777777" w:rsidTr="001179CF">
        <w:trPr>
          <w:trHeight w:val="360"/>
        </w:trPr>
        <w:tc>
          <w:tcPr>
            <w:tcW w:w="2500" w:type="pct"/>
          </w:tcPr>
          <w:p w14:paraId="3FAC2C1E" w14:textId="0AA51C08" w:rsidR="008544AA" w:rsidRPr="00547829" w:rsidRDefault="008544AA" w:rsidP="00763B60">
            <w:pPr>
              <w:pStyle w:val="BodyText"/>
              <w:spacing w:before="120" w:after="120"/>
              <w:rPr>
                <w:rFonts w:cs="Calibri"/>
                <w:b/>
                <w:bCs/>
                <w:lang w:val="en-US"/>
              </w:rPr>
            </w:pPr>
            <w:r w:rsidRPr="00547829">
              <w:rPr>
                <w:rFonts w:cs="Calibri"/>
                <w:b/>
                <w:bCs/>
                <w:lang w:val="en-US"/>
              </w:rPr>
              <w:t>Commitment Letters (</w:t>
            </w:r>
            <w:proofErr w:type="spellStart"/>
            <w:r w:rsidRPr="00547829">
              <w:rPr>
                <w:rFonts w:cs="Calibri"/>
                <w:b/>
                <w:bCs/>
                <w:lang w:val="en-US"/>
              </w:rPr>
              <w:t>ComLtr</w:t>
            </w:r>
            <w:proofErr w:type="spellEnd"/>
            <w:r w:rsidRPr="00547829">
              <w:rPr>
                <w:rFonts w:cs="Calibri"/>
                <w:b/>
                <w:bCs/>
                <w:lang w:val="en-US"/>
              </w:rPr>
              <w:t>)</w:t>
            </w:r>
            <w:r w:rsidR="00A83FDB" w:rsidRPr="00547829">
              <w:rPr>
                <w:rFonts w:cs="Calibri"/>
                <w:b/>
                <w:bCs/>
                <w:lang w:val="en-US"/>
              </w:rPr>
              <w:t xml:space="preserve"> (if applicable)</w:t>
            </w:r>
          </w:p>
        </w:tc>
        <w:tc>
          <w:tcPr>
            <w:tcW w:w="2500" w:type="pct"/>
          </w:tcPr>
          <w:p w14:paraId="4B25496C" w14:textId="3FB88586" w:rsidR="008544AA" w:rsidRPr="00547829" w:rsidRDefault="008544AA" w:rsidP="00763B60">
            <w:pPr>
              <w:pStyle w:val="BodyText"/>
              <w:spacing w:before="120" w:after="120"/>
              <w:rPr>
                <w:rFonts w:cs="Calibri"/>
                <w:color w:val="FFFFFF"/>
              </w:rPr>
            </w:pPr>
            <w:r w:rsidRPr="00547829">
              <w:rPr>
                <w:rFonts w:cs="Calibri"/>
              </w:rPr>
              <w:t>[Applicant’s Three</w:t>
            </w:r>
            <w:r w:rsidR="00B56299" w:rsidRPr="00547829">
              <w:rPr>
                <w:rFonts w:cs="Calibri"/>
              </w:rPr>
              <w:t>-</w:t>
            </w:r>
            <w:r w:rsidRPr="00547829">
              <w:rPr>
                <w:rFonts w:cs="Calibri"/>
              </w:rPr>
              <w:t xml:space="preserve">Digit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375307" w:rsidRPr="00547829">
              <w:rPr>
                <w:rFonts w:cs="Calibri"/>
              </w:rPr>
              <w:t>ComLtr</w:t>
            </w:r>
            <w:proofErr w:type="spellEnd"/>
          </w:p>
        </w:tc>
      </w:tr>
      <w:tr w:rsidR="008544AA" w:rsidRPr="00547829" w14:paraId="442D3F06" w14:textId="77777777" w:rsidTr="001179CF">
        <w:trPr>
          <w:trHeight w:val="360"/>
        </w:trPr>
        <w:tc>
          <w:tcPr>
            <w:tcW w:w="2500" w:type="pct"/>
          </w:tcPr>
          <w:p w14:paraId="442E28C7" w14:textId="268CFFC2" w:rsidR="008544AA" w:rsidRPr="00547829" w:rsidRDefault="008544AA" w:rsidP="00763B60">
            <w:pPr>
              <w:pStyle w:val="BodyText"/>
              <w:spacing w:before="120" w:after="120"/>
              <w:rPr>
                <w:rFonts w:cs="Calibri"/>
                <w:b/>
                <w:bCs/>
                <w:lang w:val="en-US"/>
              </w:rPr>
            </w:pPr>
            <w:r w:rsidRPr="00547829">
              <w:rPr>
                <w:rFonts w:cs="Calibri"/>
                <w:b/>
                <w:bCs/>
                <w:lang w:val="en-US"/>
              </w:rPr>
              <w:t>Partnership Agreement Letters (</w:t>
            </w:r>
            <w:proofErr w:type="spellStart"/>
            <w:r w:rsidRPr="00547829">
              <w:rPr>
                <w:rFonts w:cs="Calibri"/>
                <w:b/>
                <w:bCs/>
                <w:lang w:val="en-US"/>
              </w:rPr>
              <w:t>PartLtr</w:t>
            </w:r>
            <w:proofErr w:type="spellEnd"/>
            <w:r w:rsidRPr="00547829">
              <w:rPr>
                <w:rFonts w:cs="Calibri"/>
                <w:b/>
                <w:bCs/>
                <w:lang w:val="en-US"/>
              </w:rPr>
              <w:t>)</w:t>
            </w:r>
            <w:r w:rsidR="00EF21FB">
              <w:rPr>
                <w:rFonts w:cs="Calibri"/>
                <w:b/>
                <w:bCs/>
                <w:lang w:val="en-US"/>
              </w:rPr>
              <w:t xml:space="preserve"> </w:t>
            </w:r>
            <w:r w:rsidR="00EF21FB" w:rsidRPr="00547829">
              <w:rPr>
                <w:rFonts w:cs="Calibri"/>
                <w:b/>
                <w:bCs/>
                <w:lang w:val="en-US"/>
              </w:rPr>
              <w:t>(if applicable)</w:t>
            </w:r>
          </w:p>
        </w:tc>
        <w:tc>
          <w:tcPr>
            <w:tcW w:w="2500" w:type="pct"/>
          </w:tcPr>
          <w:p w14:paraId="39DF3CD3" w14:textId="3E6D4FCE" w:rsidR="008544AA" w:rsidRPr="00547829" w:rsidRDefault="008544AA" w:rsidP="00763B60">
            <w:pPr>
              <w:pStyle w:val="BodyText"/>
              <w:spacing w:before="120" w:after="120"/>
              <w:rPr>
                <w:rFonts w:cs="Calibri"/>
                <w:color w:val="FFFFFF"/>
              </w:rPr>
            </w:pPr>
            <w:r w:rsidRPr="00547829">
              <w:rPr>
                <w:rFonts w:cs="Calibri"/>
              </w:rPr>
              <w:t>[Applicant’s Three</w:t>
            </w:r>
            <w:r w:rsidR="00B56299" w:rsidRPr="00547829">
              <w:rPr>
                <w:rFonts w:cs="Calibri"/>
              </w:rPr>
              <w:t>-</w:t>
            </w:r>
            <w:r w:rsidRPr="00547829">
              <w:rPr>
                <w:rFonts w:cs="Calibri"/>
              </w:rPr>
              <w:t xml:space="preserve">Digit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proofErr w:type="spellStart"/>
            <w:r w:rsidR="00375307" w:rsidRPr="00547829">
              <w:rPr>
                <w:rFonts w:cs="Calibri"/>
              </w:rPr>
              <w:t>PartLtr</w:t>
            </w:r>
            <w:proofErr w:type="spellEnd"/>
          </w:p>
        </w:tc>
      </w:tr>
      <w:tr w:rsidR="008544AA" w:rsidRPr="00547829" w14:paraId="73A92342" w14:textId="77777777" w:rsidTr="001179CF">
        <w:trPr>
          <w:trHeight w:val="360"/>
        </w:trPr>
        <w:tc>
          <w:tcPr>
            <w:tcW w:w="2500" w:type="pct"/>
          </w:tcPr>
          <w:p w14:paraId="16D790E4" w14:textId="0A3C6C67" w:rsidR="008544AA" w:rsidRPr="00547829" w:rsidRDefault="008544AA" w:rsidP="00763B60">
            <w:pPr>
              <w:pStyle w:val="BodyText"/>
              <w:spacing w:before="120" w:after="120"/>
              <w:rPr>
                <w:rFonts w:cs="Calibri"/>
                <w:b/>
              </w:rPr>
            </w:pPr>
            <w:r w:rsidRPr="00547829">
              <w:rPr>
                <w:rFonts w:cs="Calibri"/>
                <w:b/>
              </w:rPr>
              <w:t>Indirect Cost Declaration</w:t>
            </w:r>
            <w:r w:rsidR="00A83FDB" w:rsidRPr="00547829">
              <w:rPr>
                <w:rFonts w:cs="Calibri"/>
                <w:b/>
              </w:rPr>
              <w:t xml:space="preserve"> (</w:t>
            </w:r>
            <w:r w:rsidRPr="00547829">
              <w:rPr>
                <w:rFonts w:cs="Calibri"/>
                <w:b/>
              </w:rPr>
              <w:t>ICD or CAP</w:t>
            </w:r>
            <w:r w:rsidR="00A83FDB" w:rsidRPr="00547829">
              <w:rPr>
                <w:rFonts w:cs="Calibri"/>
                <w:b/>
              </w:rPr>
              <w:t>)</w:t>
            </w:r>
            <w:r w:rsidRPr="00547829">
              <w:rPr>
                <w:rFonts w:cs="Calibri"/>
                <w:b/>
              </w:rPr>
              <w:t xml:space="preserve"> </w:t>
            </w:r>
          </w:p>
        </w:tc>
        <w:tc>
          <w:tcPr>
            <w:tcW w:w="2500" w:type="pct"/>
          </w:tcPr>
          <w:p w14:paraId="66DE27C8" w14:textId="2A97EFBD" w:rsidR="008544AA" w:rsidRPr="00547829" w:rsidRDefault="008544AA" w:rsidP="00763B60">
            <w:pPr>
              <w:pStyle w:val="BodyText"/>
              <w:spacing w:before="120" w:after="120"/>
              <w:rPr>
                <w:rFonts w:cs="Calibri"/>
              </w:rPr>
            </w:pPr>
            <w:r w:rsidRPr="00547829">
              <w:rPr>
                <w:rFonts w:cs="Calibri"/>
              </w:rPr>
              <w:t>[Applicant’s Three</w:t>
            </w:r>
            <w:r w:rsidR="00B56299" w:rsidRPr="00547829">
              <w:rPr>
                <w:rFonts w:cs="Calibri"/>
              </w:rPr>
              <w:t>-</w:t>
            </w:r>
            <w:r w:rsidRPr="00547829">
              <w:rPr>
                <w:rFonts w:cs="Calibri"/>
              </w:rPr>
              <w:t xml:space="preserve">Digit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r w:rsidR="00375307" w:rsidRPr="00547829">
              <w:rPr>
                <w:rFonts w:cs="Calibri"/>
              </w:rPr>
              <w:t>ICD</w:t>
            </w:r>
            <w:r w:rsidR="00270E57">
              <w:rPr>
                <w:rFonts w:cs="Calibri"/>
              </w:rPr>
              <w:t xml:space="preserve"> or </w:t>
            </w:r>
            <w:r w:rsidR="00375307" w:rsidRPr="00547829">
              <w:rPr>
                <w:rFonts w:cs="Calibri"/>
              </w:rPr>
              <w:t>CAP</w:t>
            </w:r>
          </w:p>
        </w:tc>
      </w:tr>
      <w:tr w:rsidR="008544AA" w:rsidRPr="008E506B" w14:paraId="00760D05" w14:textId="77777777" w:rsidTr="001179CF">
        <w:trPr>
          <w:trHeight w:val="360"/>
        </w:trPr>
        <w:tc>
          <w:tcPr>
            <w:tcW w:w="2500" w:type="pct"/>
          </w:tcPr>
          <w:p w14:paraId="3ABA81A1" w14:textId="693EEC03" w:rsidR="008544AA" w:rsidRPr="00547829" w:rsidRDefault="008544AA" w:rsidP="00763B60">
            <w:pPr>
              <w:pStyle w:val="BodyText"/>
              <w:spacing w:before="120" w:after="120"/>
              <w:rPr>
                <w:rFonts w:cs="Calibri"/>
                <w:b/>
              </w:rPr>
            </w:pPr>
            <w:r w:rsidRPr="00547829">
              <w:rPr>
                <w:rFonts w:cs="Calibri"/>
                <w:b/>
              </w:rPr>
              <w:t xml:space="preserve">Indirect </w:t>
            </w:r>
            <w:r w:rsidR="009572BF" w:rsidRPr="00547829">
              <w:rPr>
                <w:rFonts w:cs="Calibri"/>
                <w:b/>
              </w:rPr>
              <w:t>C</w:t>
            </w:r>
            <w:r w:rsidRPr="00547829">
              <w:rPr>
                <w:rFonts w:cs="Calibri"/>
                <w:b/>
              </w:rPr>
              <w:t>ost Rate Agreement</w:t>
            </w:r>
            <w:r w:rsidR="00A83FDB" w:rsidRPr="00547829">
              <w:rPr>
                <w:rFonts w:cs="Calibri"/>
                <w:b/>
              </w:rPr>
              <w:t xml:space="preserve"> (</w:t>
            </w:r>
            <w:r w:rsidRPr="00547829">
              <w:rPr>
                <w:rFonts w:cs="Calibri"/>
                <w:b/>
              </w:rPr>
              <w:t>ICRA or CAP</w:t>
            </w:r>
            <w:r w:rsidR="00A83FDB" w:rsidRPr="00547829">
              <w:rPr>
                <w:rFonts w:cs="Calibri"/>
                <w:b/>
              </w:rPr>
              <w:t>)</w:t>
            </w:r>
            <w:r w:rsidRPr="00547829">
              <w:rPr>
                <w:rFonts w:cs="Calibri"/>
                <w:b/>
              </w:rPr>
              <w:t xml:space="preserve"> (if applicable)</w:t>
            </w:r>
          </w:p>
        </w:tc>
        <w:tc>
          <w:tcPr>
            <w:tcW w:w="2500" w:type="pct"/>
          </w:tcPr>
          <w:p w14:paraId="200BD1A3" w14:textId="2A0C13FC" w:rsidR="008544AA" w:rsidRPr="00547829" w:rsidRDefault="008544AA" w:rsidP="00763B60">
            <w:pPr>
              <w:pStyle w:val="BodyText"/>
              <w:spacing w:before="120" w:after="120"/>
              <w:rPr>
                <w:rFonts w:cs="Calibri"/>
              </w:rPr>
            </w:pPr>
            <w:r w:rsidRPr="00547829">
              <w:rPr>
                <w:rFonts w:cs="Calibri"/>
              </w:rPr>
              <w:t>[Applicant’s Three</w:t>
            </w:r>
            <w:r w:rsidR="00AE1A5E">
              <w:rPr>
                <w:rFonts w:cs="Calibri"/>
              </w:rPr>
              <w:t>-</w:t>
            </w:r>
            <w:r w:rsidRPr="00547829">
              <w:rPr>
                <w:rFonts w:cs="Calibri"/>
              </w:rPr>
              <w:t xml:space="preserve">Digit Initialism] </w:t>
            </w:r>
            <w:r w:rsidR="002D7B8E">
              <w:rPr>
                <w:rFonts w:cs="Calibri"/>
              </w:rPr>
              <w:t>E</w:t>
            </w:r>
            <w:r w:rsidR="00547829" w:rsidRPr="00547829">
              <w:rPr>
                <w:rFonts w:cs="Calibri"/>
              </w:rPr>
              <w:t>PTA</w:t>
            </w:r>
            <w:r w:rsidRPr="00547829">
              <w:rPr>
                <w:rFonts w:cs="Calibri"/>
              </w:rPr>
              <w:t xml:space="preserve"> PY </w:t>
            </w:r>
            <w:r w:rsidR="00547829" w:rsidRPr="00547829">
              <w:rPr>
                <w:rFonts w:cs="Calibri"/>
              </w:rPr>
              <w:t>25</w:t>
            </w:r>
            <w:r w:rsidRPr="00547829">
              <w:rPr>
                <w:rFonts w:cs="Calibri"/>
              </w:rPr>
              <w:t>-</w:t>
            </w:r>
            <w:r w:rsidR="00547829" w:rsidRPr="00547829">
              <w:rPr>
                <w:rFonts w:cs="Calibri"/>
              </w:rPr>
              <w:t>26</w:t>
            </w:r>
            <w:r w:rsidRPr="00547829">
              <w:rPr>
                <w:rFonts w:cs="Calibri"/>
              </w:rPr>
              <w:t xml:space="preserve"> </w:t>
            </w:r>
            <w:r w:rsidR="00375307" w:rsidRPr="00547829">
              <w:rPr>
                <w:rFonts w:cs="Calibri"/>
              </w:rPr>
              <w:t>ICRA</w:t>
            </w:r>
            <w:r w:rsidR="00270E57">
              <w:rPr>
                <w:rFonts w:cs="Calibri"/>
              </w:rPr>
              <w:t xml:space="preserve"> or </w:t>
            </w:r>
            <w:r w:rsidR="00375307" w:rsidRPr="00547829">
              <w:rPr>
                <w:rFonts w:cs="Calibri"/>
              </w:rPr>
              <w:t>CAP</w:t>
            </w:r>
          </w:p>
        </w:tc>
      </w:tr>
      <w:bookmarkEnd w:id="80"/>
    </w:tbl>
    <w:p w14:paraId="5D33ABEB" w14:textId="77777777" w:rsidR="00825B58" w:rsidRDefault="00825B58" w:rsidP="00731090">
      <w:pPr>
        <w:pStyle w:val="BodyText"/>
        <w:spacing w:after="0"/>
        <w:rPr>
          <w:b/>
          <w:bCs/>
        </w:rPr>
      </w:pPr>
    </w:p>
    <w:p w14:paraId="0A6201B3" w14:textId="503004C4" w:rsidR="008544AA" w:rsidRPr="00F470F1" w:rsidRDefault="008544AA" w:rsidP="00731090">
      <w:pPr>
        <w:pStyle w:val="BodyText"/>
        <w:spacing w:after="0"/>
        <w:rPr>
          <w:b/>
          <w:bCs/>
        </w:rPr>
      </w:pPr>
      <w:r w:rsidRPr="543319F8">
        <w:rPr>
          <w:b/>
          <w:bCs/>
        </w:rPr>
        <w:t xml:space="preserve">Figure </w:t>
      </w:r>
      <w:r w:rsidR="005141CF">
        <w:rPr>
          <w:b/>
          <w:bCs/>
        </w:rPr>
        <w:t>5</w:t>
      </w:r>
      <w:r w:rsidR="008F564F" w:rsidRPr="543319F8">
        <w:rPr>
          <w:b/>
          <w:bCs/>
        </w:rPr>
        <w:t>.</w:t>
      </w:r>
      <w:r w:rsidRPr="543319F8">
        <w:rPr>
          <w:b/>
          <w:bCs/>
        </w:rPr>
        <w:t>2: Application Timeline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592"/>
      </w:tblGrid>
      <w:tr w:rsidR="008544AA" w:rsidRPr="00DC1DE3" w14:paraId="70505C50" w14:textId="77777777" w:rsidTr="00BF27A3">
        <w:trPr>
          <w:cantSplit/>
          <w:trHeight w:val="377"/>
          <w:tblHeader/>
        </w:trPr>
        <w:tc>
          <w:tcPr>
            <w:tcW w:w="2546" w:type="pct"/>
            <w:shd w:val="clear" w:color="auto" w:fill="E0E0E0"/>
          </w:tcPr>
          <w:p w14:paraId="6CE7ED17" w14:textId="77777777" w:rsidR="008544AA" w:rsidRPr="00763B60" w:rsidRDefault="008544AA" w:rsidP="00763B60">
            <w:pPr>
              <w:pStyle w:val="BodyText"/>
              <w:spacing w:after="0"/>
              <w:rPr>
                <w:rFonts w:eastAsia="Times New Roman"/>
                <w:b/>
                <w:bCs/>
              </w:rPr>
            </w:pPr>
            <w:r w:rsidRPr="00763B60">
              <w:rPr>
                <w:rFonts w:eastAsia="Times New Roman"/>
                <w:b/>
                <w:bCs/>
              </w:rPr>
              <w:lastRenderedPageBreak/>
              <w:t>Event</w:t>
            </w:r>
          </w:p>
        </w:tc>
        <w:tc>
          <w:tcPr>
            <w:tcW w:w="2454" w:type="pct"/>
            <w:shd w:val="clear" w:color="auto" w:fill="E0E0E0"/>
          </w:tcPr>
          <w:p w14:paraId="187F8CFC" w14:textId="77777777" w:rsidR="008544AA" w:rsidRPr="00763B60" w:rsidRDefault="008544AA" w:rsidP="00763B60">
            <w:pPr>
              <w:pStyle w:val="BodyText"/>
              <w:spacing w:after="0"/>
              <w:rPr>
                <w:rFonts w:eastAsia="Times New Roman"/>
                <w:b/>
                <w:bCs/>
              </w:rPr>
            </w:pPr>
            <w:r w:rsidRPr="00763B60">
              <w:rPr>
                <w:rFonts w:eastAsia="Times New Roman"/>
                <w:b/>
                <w:bCs/>
              </w:rPr>
              <w:t xml:space="preserve">Date </w:t>
            </w:r>
          </w:p>
        </w:tc>
      </w:tr>
      <w:tr w:rsidR="008544AA" w:rsidRPr="00DC1DE3" w14:paraId="178A239B" w14:textId="77777777" w:rsidTr="00BF27A3">
        <w:trPr>
          <w:cantSplit/>
          <w:tblHeader/>
        </w:trPr>
        <w:tc>
          <w:tcPr>
            <w:tcW w:w="2546" w:type="pct"/>
          </w:tcPr>
          <w:p w14:paraId="55F24ED0" w14:textId="3615E4C6" w:rsidR="008544AA" w:rsidRPr="00DC1DE3" w:rsidRDefault="001D3457" w:rsidP="00763B60">
            <w:pPr>
              <w:pStyle w:val="BodyText"/>
              <w:spacing w:before="120" w:after="120"/>
              <w:rPr>
                <w:rFonts w:eastAsia="Times New Roman"/>
              </w:rPr>
            </w:pPr>
            <w:r w:rsidRPr="00DC1DE3">
              <w:t>S</w:t>
            </w:r>
            <w:r>
              <w:t>FP</w:t>
            </w:r>
            <w:r w:rsidRPr="00DC1DE3">
              <w:t xml:space="preserve"> release</w:t>
            </w:r>
          </w:p>
        </w:tc>
        <w:tc>
          <w:tcPr>
            <w:tcW w:w="2454" w:type="pct"/>
          </w:tcPr>
          <w:p w14:paraId="4BC6752D" w14:textId="53CEC6CB" w:rsidR="008544AA" w:rsidRPr="00097735" w:rsidRDefault="007134DF" w:rsidP="00763B60">
            <w:pPr>
              <w:pStyle w:val="BodyText"/>
              <w:spacing w:before="120" w:after="120"/>
              <w:rPr>
                <w:rFonts w:eastAsia="Times New Roman"/>
                <w:lang w:val="en-US"/>
              </w:rPr>
            </w:pPr>
            <w:r>
              <w:rPr>
                <w:rFonts w:eastAsia="Times New Roman"/>
                <w:color w:val="000000" w:themeColor="text1"/>
                <w:lang w:val="en-US"/>
              </w:rPr>
              <w:t>December 29</w:t>
            </w:r>
            <w:r w:rsidR="008544AA" w:rsidRPr="00097735">
              <w:rPr>
                <w:rFonts w:eastAsia="Times New Roman"/>
                <w:color w:val="000000" w:themeColor="text1"/>
                <w:lang w:val="en-US"/>
              </w:rPr>
              <w:t>, 20</w:t>
            </w:r>
            <w:r w:rsidR="0082412A" w:rsidRPr="00097735">
              <w:rPr>
                <w:rFonts w:eastAsia="Times New Roman"/>
                <w:color w:val="000000" w:themeColor="text1"/>
                <w:lang w:val="en-US"/>
              </w:rPr>
              <w:t>2</w:t>
            </w:r>
            <w:r>
              <w:rPr>
                <w:rFonts w:eastAsia="Times New Roman"/>
                <w:color w:val="000000" w:themeColor="text1"/>
                <w:lang w:val="en-US"/>
              </w:rPr>
              <w:t>5</w:t>
            </w:r>
          </w:p>
        </w:tc>
      </w:tr>
      <w:tr w:rsidR="008544AA" w:rsidRPr="00DC1DE3" w14:paraId="7C8CC5B8" w14:textId="77777777" w:rsidTr="00BF27A3">
        <w:trPr>
          <w:cantSplit/>
          <w:tblHeader/>
        </w:trPr>
        <w:tc>
          <w:tcPr>
            <w:tcW w:w="2546" w:type="pct"/>
          </w:tcPr>
          <w:p w14:paraId="2984A622" w14:textId="3FE412DC" w:rsidR="008544AA" w:rsidRPr="00DC1DE3" w:rsidRDefault="001D3457" w:rsidP="00763B60">
            <w:pPr>
              <w:pStyle w:val="BodyText"/>
              <w:spacing w:before="120" w:after="120"/>
              <w:rPr>
                <w:rFonts w:eastAsia="Times New Roman"/>
                <w:lang w:val="en-US"/>
              </w:rPr>
            </w:pPr>
            <w:r w:rsidRPr="01476CFA">
              <w:rPr>
                <w:lang w:val="en-US"/>
              </w:rPr>
              <w:t xml:space="preserve">Last date to submit questions </w:t>
            </w:r>
            <w:r w:rsidR="0082412A">
              <w:rPr>
                <w:lang w:val="en-US"/>
              </w:rPr>
              <w:t xml:space="preserve">for </w:t>
            </w:r>
            <w:r w:rsidR="001E772D">
              <w:rPr>
                <w:lang w:val="en-US"/>
              </w:rPr>
              <w:t xml:space="preserve">the </w:t>
            </w:r>
            <w:r w:rsidR="0082412A">
              <w:rPr>
                <w:lang w:val="en-US"/>
              </w:rPr>
              <w:t>informational webinar</w:t>
            </w:r>
          </w:p>
        </w:tc>
        <w:tc>
          <w:tcPr>
            <w:tcW w:w="2454" w:type="pct"/>
          </w:tcPr>
          <w:p w14:paraId="60E6425D" w14:textId="48D78FB4" w:rsidR="008544AA" w:rsidRPr="00097735" w:rsidRDefault="003F4C07" w:rsidP="00763B60">
            <w:pPr>
              <w:pStyle w:val="BodyText"/>
              <w:spacing w:before="120" w:after="120"/>
              <w:rPr>
                <w:rFonts w:eastAsia="Times New Roman"/>
                <w:color w:val="000000"/>
              </w:rPr>
            </w:pPr>
            <w:r w:rsidRPr="00097735">
              <w:rPr>
                <w:rFonts w:eastAsia="Times New Roman"/>
                <w:color w:val="000000"/>
              </w:rPr>
              <w:t xml:space="preserve">January </w:t>
            </w:r>
            <w:r w:rsidR="004C67E7">
              <w:rPr>
                <w:rFonts w:eastAsia="Times New Roman"/>
                <w:color w:val="000000"/>
              </w:rPr>
              <w:t>9</w:t>
            </w:r>
            <w:r w:rsidR="008544AA" w:rsidRPr="00097735">
              <w:rPr>
                <w:rFonts w:eastAsia="Times New Roman"/>
                <w:color w:val="000000"/>
              </w:rPr>
              <w:t>, 20</w:t>
            </w:r>
            <w:r w:rsidR="0082412A" w:rsidRPr="00097735">
              <w:rPr>
                <w:rFonts w:eastAsia="Times New Roman"/>
                <w:color w:val="000000"/>
              </w:rPr>
              <w:t>2</w:t>
            </w:r>
            <w:r w:rsidRPr="00097735">
              <w:rPr>
                <w:rFonts w:eastAsia="Times New Roman"/>
                <w:color w:val="000000"/>
              </w:rPr>
              <w:t>6</w:t>
            </w:r>
            <w:r w:rsidR="0082412A" w:rsidRPr="00097735">
              <w:rPr>
                <w:rFonts w:eastAsia="Times New Roman"/>
                <w:color w:val="000000"/>
              </w:rPr>
              <w:t>,</w:t>
            </w:r>
            <w:r w:rsidR="008544AA" w:rsidRPr="00097735">
              <w:rPr>
                <w:rFonts w:eastAsia="Times New Roman"/>
                <w:color w:val="000000"/>
              </w:rPr>
              <w:t xml:space="preserve"> </w:t>
            </w:r>
            <w:r w:rsidR="008544AA" w:rsidRPr="00097735">
              <w:rPr>
                <w:rFonts w:eastAsia="Times New Roman"/>
              </w:rPr>
              <w:t xml:space="preserve">by </w:t>
            </w:r>
            <w:r w:rsidR="003068C2" w:rsidRPr="00097735">
              <w:rPr>
                <w:rFonts w:eastAsia="Times New Roman"/>
              </w:rPr>
              <w:t>noon</w:t>
            </w:r>
            <w:r w:rsidR="008544AA" w:rsidRPr="00097735">
              <w:rPr>
                <w:rFonts w:eastAsia="Times New Roman"/>
              </w:rPr>
              <w:t xml:space="preserve"> P</w:t>
            </w:r>
            <w:r w:rsidR="002104AB" w:rsidRPr="00097735">
              <w:rPr>
                <w:rFonts w:eastAsia="Times New Roman"/>
              </w:rPr>
              <w:t>S</w:t>
            </w:r>
            <w:r w:rsidR="008544AA" w:rsidRPr="00097735">
              <w:rPr>
                <w:rFonts w:eastAsia="Times New Roman"/>
              </w:rPr>
              <w:t>T</w:t>
            </w:r>
            <w:r w:rsidR="0082412A" w:rsidRPr="00097735">
              <w:rPr>
                <w:rFonts w:eastAsia="Times New Roman"/>
              </w:rPr>
              <w:t xml:space="preserve"> </w:t>
            </w:r>
          </w:p>
        </w:tc>
      </w:tr>
      <w:tr w:rsidR="008544AA" w:rsidRPr="00DC1DE3" w14:paraId="5A2AD5EF" w14:textId="77777777" w:rsidTr="00BF27A3">
        <w:trPr>
          <w:cantSplit/>
          <w:tblHeader/>
        </w:trPr>
        <w:tc>
          <w:tcPr>
            <w:tcW w:w="2546" w:type="pct"/>
          </w:tcPr>
          <w:p w14:paraId="4C19C670" w14:textId="1A5FDF6D" w:rsidR="008544AA" w:rsidRPr="00DC1DE3" w:rsidRDefault="001D3457" w:rsidP="00763B60">
            <w:pPr>
              <w:pStyle w:val="BodyText"/>
              <w:spacing w:before="120" w:after="120"/>
              <w:rPr>
                <w:rFonts w:eastAsia="Times New Roman"/>
                <w:bCs/>
              </w:rPr>
            </w:pPr>
            <w:r w:rsidRPr="00DC1DE3">
              <w:t>Informational webinar</w:t>
            </w:r>
          </w:p>
        </w:tc>
        <w:tc>
          <w:tcPr>
            <w:tcW w:w="2454" w:type="pct"/>
          </w:tcPr>
          <w:p w14:paraId="13DE81EB" w14:textId="620205F5" w:rsidR="008544AA" w:rsidRPr="00097735" w:rsidRDefault="003068C2" w:rsidP="00763B60">
            <w:pPr>
              <w:pStyle w:val="BodyText"/>
              <w:spacing w:before="120" w:after="120"/>
              <w:rPr>
                <w:rFonts w:eastAsia="Times New Roman"/>
                <w:bCs/>
              </w:rPr>
            </w:pPr>
            <w:r w:rsidRPr="00097735">
              <w:rPr>
                <w:rFonts w:eastAsia="Times New Roman"/>
                <w:color w:val="000000"/>
              </w:rPr>
              <w:t xml:space="preserve">January </w:t>
            </w:r>
            <w:r w:rsidR="004C67E7">
              <w:rPr>
                <w:rFonts w:eastAsia="Times New Roman"/>
                <w:color w:val="000000"/>
              </w:rPr>
              <w:t>13</w:t>
            </w:r>
            <w:r w:rsidR="008544AA" w:rsidRPr="00097735">
              <w:rPr>
                <w:rFonts w:eastAsia="Times New Roman"/>
                <w:color w:val="000000"/>
              </w:rPr>
              <w:t>, 20</w:t>
            </w:r>
            <w:r w:rsidR="0082412A" w:rsidRPr="00097735">
              <w:rPr>
                <w:rFonts w:eastAsia="Times New Roman"/>
                <w:color w:val="000000"/>
              </w:rPr>
              <w:t>2</w:t>
            </w:r>
            <w:r w:rsidRPr="00097735">
              <w:rPr>
                <w:rFonts w:eastAsia="Times New Roman"/>
                <w:color w:val="000000"/>
              </w:rPr>
              <w:t>6</w:t>
            </w:r>
            <w:r w:rsidR="0082412A" w:rsidRPr="00097735">
              <w:rPr>
                <w:rFonts w:eastAsia="Times New Roman"/>
                <w:color w:val="000000"/>
              </w:rPr>
              <w:t>,</w:t>
            </w:r>
            <w:r w:rsidR="008544AA" w:rsidRPr="00097735">
              <w:rPr>
                <w:rFonts w:eastAsia="Times New Roman"/>
                <w:color w:val="000000"/>
              </w:rPr>
              <w:t xml:space="preserve"> at</w:t>
            </w:r>
            <w:r w:rsidR="008544AA" w:rsidRPr="00097735">
              <w:rPr>
                <w:rFonts w:eastAsia="Times New Roman"/>
              </w:rPr>
              <w:t xml:space="preserve"> </w:t>
            </w:r>
            <w:r w:rsidR="0082412A" w:rsidRPr="00097735">
              <w:rPr>
                <w:rFonts w:eastAsia="Times New Roman"/>
              </w:rPr>
              <w:t xml:space="preserve">1:30 </w:t>
            </w:r>
            <w:r w:rsidR="008544AA" w:rsidRPr="00097735">
              <w:rPr>
                <w:rFonts w:eastAsia="Times New Roman"/>
              </w:rPr>
              <w:t>p.m. P</w:t>
            </w:r>
            <w:r w:rsidR="002104AB" w:rsidRPr="00097735">
              <w:rPr>
                <w:rFonts w:eastAsia="Times New Roman"/>
              </w:rPr>
              <w:t>S</w:t>
            </w:r>
            <w:r w:rsidR="008544AA" w:rsidRPr="00097735">
              <w:rPr>
                <w:rFonts w:eastAsia="Times New Roman"/>
              </w:rPr>
              <w:t>T</w:t>
            </w:r>
          </w:p>
        </w:tc>
      </w:tr>
      <w:tr w:rsidR="008544AA" w:rsidRPr="00DC1DE3" w14:paraId="550A90F5" w14:textId="77777777" w:rsidTr="00BF27A3">
        <w:trPr>
          <w:cantSplit/>
          <w:tblHeader/>
        </w:trPr>
        <w:tc>
          <w:tcPr>
            <w:tcW w:w="2546" w:type="pct"/>
          </w:tcPr>
          <w:p w14:paraId="385E0931" w14:textId="23989E08" w:rsidR="008544AA" w:rsidRPr="00DC1DE3" w:rsidRDefault="001D3457" w:rsidP="00763B60">
            <w:pPr>
              <w:pStyle w:val="BodyText"/>
              <w:spacing w:before="120" w:after="120"/>
              <w:rPr>
                <w:rFonts w:eastAsia="Times New Roman"/>
                <w:bCs/>
              </w:rPr>
            </w:pPr>
            <w:r w:rsidRPr="00DC1DE3">
              <w:t xml:space="preserve">Notice of intent to apply </w:t>
            </w:r>
          </w:p>
        </w:tc>
        <w:tc>
          <w:tcPr>
            <w:tcW w:w="2454" w:type="pct"/>
          </w:tcPr>
          <w:p w14:paraId="0A936EB3" w14:textId="0414AA4D" w:rsidR="008544AA" w:rsidRPr="00097735" w:rsidRDefault="003068C2" w:rsidP="00763B60">
            <w:pPr>
              <w:pStyle w:val="BodyText"/>
              <w:spacing w:before="120" w:after="120"/>
              <w:rPr>
                <w:rFonts w:eastAsia="Times New Roman"/>
                <w:bCs/>
              </w:rPr>
            </w:pPr>
            <w:r w:rsidRPr="00097735">
              <w:rPr>
                <w:rFonts w:eastAsia="Times New Roman"/>
                <w:color w:val="000000"/>
              </w:rPr>
              <w:t>January 1</w:t>
            </w:r>
            <w:r w:rsidR="004C67E7">
              <w:rPr>
                <w:rFonts w:eastAsia="Times New Roman"/>
                <w:color w:val="000000"/>
              </w:rPr>
              <w:t>6</w:t>
            </w:r>
            <w:r w:rsidR="008544AA" w:rsidRPr="00097735">
              <w:rPr>
                <w:rFonts w:eastAsia="Times New Roman"/>
                <w:color w:val="000000"/>
              </w:rPr>
              <w:t>, 20</w:t>
            </w:r>
            <w:r w:rsidR="0082412A" w:rsidRPr="00097735">
              <w:rPr>
                <w:rFonts w:eastAsia="Times New Roman"/>
                <w:color w:val="000000"/>
              </w:rPr>
              <w:t>2</w:t>
            </w:r>
            <w:r w:rsidRPr="00097735">
              <w:rPr>
                <w:rFonts w:eastAsia="Times New Roman"/>
                <w:color w:val="000000"/>
              </w:rPr>
              <w:t>6</w:t>
            </w:r>
            <w:r w:rsidR="0082412A" w:rsidRPr="00097735">
              <w:rPr>
                <w:rFonts w:eastAsia="Times New Roman"/>
                <w:color w:val="000000"/>
              </w:rPr>
              <w:t>,</w:t>
            </w:r>
            <w:r w:rsidR="008544AA" w:rsidRPr="00097735">
              <w:rPr>
                <w:rFonts w:eastAsia="Times New Roman"/>
                <w:color w:val="000000"/>
              </w:rPr>
              <w:t xml:space="preserve"> </w:t>
            </w:r>
            <w:r w:rsidR="008544AA" w:rsidRPr="00097735">
              <w:rPr>
                <w:rFonts w:eastAsia="Times New Roman"/>
              </w:rPr>
              <w:t xml:space="preserve">by </w:t>
            </w:r>
            <w:r w:rsidR="0082412A" w:rsidRPr="00097735">
              <w:rPr>
                <w:rFonts w:eastAsia="Times New Roman"/>
              </w:rPr>
              <w:t>noon</w:t>
            </w:r>
            <w:r w:rsidR="008544AA" w:rsidRPr="00097735">
              <w:rPr>
                <w:rFonts w:eastAsia="Times New Roman"/>
              </w:rPr>
              <w:t xml:space="preserve"> P</w:t>
            </w:r>
            <w:r w:rsidR="002104AB" w:rsidRPr="00097735">
              <w:rPr>
                <w:rFonts w:eastAsia="Times New Roman"/>
              </w:rPr>
              <w:t>S</w:t>
            </w:r>
            <w:r w:rsidR="008544AA" w:rsidRPr="00097735">
              <w:rPr>
                <w:rFonts w:eastAsia="Times New Roman"/>
              </w:rPr>
              <w:t>T</w:t>
            </w:r>
          </w:p>
        </w:tc>
      </w:tr>
      <w:tr w:rsidR="008544AA" w:rsidRPr="00DC1DE3" w14:paraId="5F5AF979" w14:textId="77777777" w:rsidTr="00BF27A3">
        <w:trPr>
          <w:cantSplit/>
          <w:tblHeader/>
        </w:trPr>
        <w:tc>
          <w:tcPr>
            <w:tcW w:w="2546" w:type="pct"/>
          </w:tcPr>
          <w:p w14:paraId="1167EF3B" w14:textId="04EDAD6D" w:rsidR="008544AA" w:rsidRPr="00DC1DE3" w:rsidRDefault="001D3457" w:rsidP="00763B60">
            <w:pPr>
              <w:pStyle w:val="BodyText"/>
              <w:spacing w:before="120" w:after="120"/>
              <w:rPr>
                <w:rFonts w:eastAsia="Times New Roman"/>
              </w:rPr>
            </w:pPr>
            <w:r w:rsidRPr="00DC1DE3">
              <w:t>Proposals due</w:t>
            </w:r>
          </w:p>
        </w:tc>
        <w:tc>
          <w:tcPr>
            <w:tcW w:w="2454" w:type="pct"/>
          </w:tcPr>
          <w:p w14:paraId="5B51774F" w14:textId="498920D2" w:rsidR="008544AA" w:rsidRPr="00097735" w:rsidRDefault="004C67E7" w:rsidP="00763B60">
            <w:pPr>
              <w:pStyle w:val="BodyText"/>
              <w:spacing w:before="120" w:after="120"/>
              <w:rPr>
                <w:rFonts w:eastAsia="Times New Roman"/>
              </w:rPr>
            </w:pPr>
            <w:r>
              <w:rPr>
                <w:rFonts w:eastAsia="Times New Roman"/>
                <w:color w:val="000000"/>
              </w:rPr>
              <w:t>Febr</w:t>
            </w:r>
            <w:r w:rsidR="009F0E40" w:rsidRPr="00097735">
              <w:rPr>
                <w:rFonts w:eastAsia="Times New Roman"/>
                <w:color w:val="000000"/>
              </w:rPr>
              <w:t xml:space="preserve">uary </w:t>
            </w:r>
            <w:r>
              <w:rPr>
                <w:rFonts w:eastAsia="Times New Roman"/>
                <w:color w:val="000000"/>
              </w:rPr>
              <w:t>3</w:t>
            </w:r>
            <w:r w:rsidR="008544AA" w:rsidRPr="00097735">
              <w:rPr>
                <w:rFonts w:eastAsia="Times New Roman"/>
                <w:color w:val="000000"/>
              </w:rPr>
              <w:t>, 20</w:t>
            </w:r>
            <w:r w:rsidR="0082412A" w:rsidRPr="00097735">
              <w:rPr>
                <w:rFonts w:eastAsia="Times New Roman"/>
                <w:color w:val="000000"/>
              </w:rPr>
              <w:t>2</w:t>
            </w:r>
            <w:r w:rsidR="009F0E40" w:rsidRPr="00097735">
              <w:rPr>
                <w:rFonts w:eastAsia="Times New Roman"/>
                <w:color w:val="000000"/>
              </w:rPr>
              <w:t>6</w:t>
            </w:r>
            <w:r w:rsidR="0082412A" w:rsidRPr="00097735">
              <w:rPr>
                <w:rFonts w:eastAsia="Times New Roman"/>
                <w:color w:val="000000"/>
              </w:rPr>
              <w:t>,</w:t>
            </w:r>
            <w:r w:rsidR="008544AA" w:rsidRPr="00097735">
              <w:rPr>
                <w:rFonts w:eastAsia="Times New Roman"/>
                <w:color w:val="000000"/>
              </w:rPr>
              <w:t xml:space="preserve"> </w:t>
            </w:r>
            <w:r w:rsidR="008544AA" w:rsidRPr="00097735">
              <w:rPr>
                <w:rFonts w:eastAsia="Times New Roman"/>
              </w:rPr>
              <w:t xml:space="preserve">by </w:t>
            </w:r>
            <w:r w:rsidR="0082412A" w:rsidRPr="00097735">
              <w:rPr>
                <w:rFonts w:eastAsia="Times New Roman"/>
              </w:rPr>
              <w:t xml:space="preserve">3 </w:t>
            </w:r>
            <w:r w:rsidR="008544AA" w:rsidRPr="00097735">
              <w:rPr>
                <w:rFonts w:eastAsia="Times New Roman"/>
              </w:rPr>
              <w:t>p.m. P</w:t>
            </w:r>
            <w:r w:rsidR="002104AB" w:rsidRPr="00097735">
              <w:rPr>
                <w:rFonts w:eastAsia="Times New Roman"/>
              </w:rPr>
              <w:t>S</w:t>
            </w:r>
            <w:r w:rsidR="008544AA" w:rsidRPr="00097735">
              <w:rPr>
                <w:rFonts w:eastAsia="Times New Roman"/>
              </w:rPr>
              <w:t>T</w:t>
            </w:r>
          </w:p>
        </w:tc>
      </w:tr>
      <w:tr w:rsidR="008544AA" w:rsidRPr="00DC1DE3" w14:paraId="3B27EB03" w14:textId="77777777" w:rsidTr="00BF27A3">
        <w:trPr>
          <w:cantSplit/>
          <w:tblHeader/>
        </w:trPr>
        <w:tc>
          <w:tcPr>
            <w:tcW w:w="2546" w:type="pct"/>
          </w:tcPr>
          <w:p w14:paraId="402186C0" w14:textId="2FAC348A" w:rsidR="008544AA" w:rsidRPr="00DC1DE3" w:rsidRDefault="001D3457" w:rsidP="00763B60">
            <w:pPr>
              <w:pStyle w:val="BodyText"/>
              <w:spacing w:before="120" w:after="120"/>
              <w:rPr>
                <w:rFonts w:eastAsia="Times New Roman"/>
                <w:bCs/>
              </w:rPr>
            </w:pPr>
            <w:r w:rsidRPr="00DC1DE3">
              <w:t>Proposal review and evaluation</w:t>
            </w:r>
          </w:p>
        </w:tc>
        <w:tc>
          <w:tcPr>
            <w:tcW w:w="2454" w:type="pct"/>
          </w:tcPr>
          <w:p w14:paraId="613B4DE3" w14:textId="340ED75B" w:rsidR="008544AA" w:rsidRPr="00097735" w:rsidRDefault="003F4C07" w:rsidP="00763B60">
            <w:pPr>
              <w:pStyle w:val="BodyText"/>
              <w:spacing w:before="120" w:after="120"/>
              <w:rPr>
                <w:rFonts w:eastAsia="Times New Roman"/>
                <w:color w:val="000000"/>
              </w:rPr>
            </w:pPr>
            <w:r w:rsidRPr="00097735">
              <w:rPr>
                <w:rFonts w:eastAsia="Times New Roman"/>
                <w:color w:val="000000"/>
              </w:rPr>
              <w:t xml:space="preserve">February </w:t>
            </w:r>
            <w:r w:rsidR="004C67E7">
              <w:rPr>
                <w:rFonts w:eastAsia="Times New Roman"/>
                <w:color w:val="000000"/>
              </w:rPr>
              <w:t>16</w:t>
            </w:r>
            <w:r w:rsidR="0082412A" w:rsidRPr="00097735">
              <w:rPr>
                <w:rFonts w:eastAsia="Times New Roman"/>
                <w:color w:val="000000"/>
              </w:rPr>
              <w:t xml:space="preserve"> – </w:t>
            </w:r>
            <w:r w:rsidRPr="00097735">
              <w:rPr>
                <w:rFonts w:eastAsia="Times New Roman"/>
                <w:color w:val="000000"/>
              </w:rPr>
              <w:t xml:space="preserve">February </w:t>
            </w:r>
            <w:r w:rsidR="004C67E7">
              <w:rPr>
                <w:rFonts w:eastAsia="Times New Roman"/>
                <w:color w:val="000000"/>
              </w:rPr>
              <w:t>20</w:t>
            </w:r>
            <w:r w:rsidR="008544AA" w:rsidRPr="00097735">
              <w:rPr>
                <w:rFonts w:eastAsia="Times New Roman"/>
                <w:color w:val="000000"/>
              </w:rPr>
              <w:t>, 20</w:t>
            </w:r>
            <w:r w:rsidR="0082412A" w:rsidRPr="00097735">
              <w:rPr>
                <w:rFonts w:eastAsia="Times New Roman"/>
                <w:color w:val="000000"/>
              </w:rPr>
              <w:t>2</w:t>
            </w:r>
            <w:r w:rsidR="003068C2" w:rsidRPr="00097735">
              <w:rPr>
                <w:rFonts w:eastAsia="Times New Roman"/>
                <w:color w:val="000000"/>
              </w:rPr>
              <w:t>6</w:t>
            </w:r>
          </w:p>
        </w:tc>
      </w:tr>
      <w:tr w:rsidR="008544AA" w:rsidRPr="00DC1DE3" w14:paraId="1ED9C574" w14:textId="77777777" w:rsidTr="00BF27A3">
        <w:trPr>
          <w:cantSplit/>
          <w:tblHeader/>
        </w:trPr>
        <w:tc>
          <w:tcPr>
            <w:tcW w:w="2546" w:type="pct"/>
          </w:tcPr>
          <w:p w14:paraId="056F9B00" w14:textId="6300AFE3" w:rsidR="008544AA" w:rsidRPr="00DC1DE3" w:rsidRDefault="0082412A" w:rsidP="00763B60">
            <w:pPr>
              <w:pStyle w:val="BodyText"/>
              <w:spacing w:before="120" w:after="120"/>
              <w:rPr>
                <w:rFonts w:eastAsia="Times New Roman"/>
                <w:bCs/>
              </w:rPr>
            </w:pPr>
            <w:r>
              <w:rPr>
                <w:rFonts w:eastAsia="Times New Roman"/>
                <w:bCs/>
              </w:rPr>
              <w:t>Estimated award announcement date</w:t>
            </w:r>
          </w:p>
        </w:tc>
        <w:tc>
          <w:tcPr>
            <w:tcW w:w="2454" w:type="pct"/>
          </w:tcPr>
          <w:p w14:paraId="2599F85D" w14:textId="18C11278" w:rsidR="008544AA" w:rsidRPr="00097735" w:rsidRDefault="003F4C07" w:rsidP="00BF27A3">
            <w:pPr>
              <w:pStyle w:val="BodyText"/>
              <w:spacing w:before="120" w:after="120"/>
              <w:rPr>
                <w:rFonts w:eastAsia="Times New Roman"/>
                <w:lang w:val="en-US"/>
              </w:rPr>
            </w:pPr>
            <w:r w:rsidRPr="00097735">
              <w:rPr>
                <w:rFonts w:eastAsia="Times New Roman"/>
                <w:color w:val="000000" w:themeColor="text1"/>
                <w:lang w:val="en-US"/>
              </w:rPr>
              <w:t>April</w:t>
            </w:r>
            <w:r w:rsidR="008544AA" w:rsidRPr="00097735">
              <w:rPr>
                <w:rFonts w:eastAsia="Times New Roman"/>
                <w:color w:val="000000" w:themeColor="text1"/>
                <w:lang w:val="en-US"/>
              </w:rPr>
              <w:t xml:space="preserve"> 20</w:t>
            </w:r>
            <w:r w:rsidR="0082412A" w:rsidRPr="00097735">
              <w:rPr>
                <w:rFonts w:eastAsia="Times New Roman"/>
                <w:color w:val="000000" w:themeColor="text1"/>
                <w:lang w:val="en-US"/>
              </w:rPr>
              <w:t>26</w:t>
            </w:r>
            <w:r w:rsidR="008544AA" w:rsidRPr="00097735">
              <w:rPr>
                <w:rFonts w:eastAsia="Times New Roman"/>
                <w:color w:val="000000" w:themeColor="text1"/>
                <w:lang w:val="en-US"/>
              </w:rPr>
              <w:t xml:space="preserve"> </w:t>
            </w:r>
          </w:p>
        </w:tc>
      </w:tr>
      <w:tr w:rsidR="008544AA" w:rsidRPr="00DC1DE3" w14:paraId="477DD77C" w14:textId="77777777" w:rsidTr="00BF27A3">
        <w:trPr>
          <w:cantSplit/>
          <w:tblHeader/>
        </w:trPr>
        <w:tc>
          <w:tcPr>
            <w:tcW w:w="2546" w:type="pct"/>
          </w:tcPr>
          <w:p w14:paraId="2378B96D" w14:textId="6D8FB052" w:rsidR="008544AA" w:rsidRPr="00DC1DE3" w:rsidRDefault="0082412A" w:rsidP="00763B60">
            <w:pPr>
              <w:pStyle w:val="BodyText"/>
              <w:spacing w:before="120" w:after="120"/>
              <w:rPr>
                <w:rFonts w:eastAsia="Times New Roman"/>
                <w:bCs/>
              </w:rPr>
            </w:pPr>
            <w:r>
              <w:rPr>
                <w:rFonts w:eastAsia="Times New Roman"/>
                <w:bCs/>
              </w:rPr>
              <w:t>Estimated project start date</w:t>
            </w:r>
          </w:p>
        </w:tc>
        <w:tc>
          <w:tcPr>
            <w:tcW w:w="2454" w:type="pct"/>
          </w:tcPr>
          <w:p w14:paraId="696E4C9B" w14:textId="523126A3" w:rsidR="008544AA" w:rsidRPr="00097735" w:rsidRDefault="003F4C07" w:rsidP="00763B60">
            <w:pPr>
              <w:pStyle w:val="BodyText"/>
              <w:spacing w:before="120" w:after="120"/>
              <w:rPr>
                <w:rFonts w:eastAsia="Times New Roman"/>
                <w:lang w:val="en-US"/>
              </w:rPr>
            </w:pPr>
            <w:r w:rsidRPr="00097735">
              <w:rPr>
                <w:rFonts w:eastAsia="Times New Roman"/>
                <w:color w:val="000000" w:themeColor="text1"/>
                <w:lang w:val="en-US"/>
              </w:rPr>
              <w:t>June</w:t>
            </w:r>
            <w:r w:rsidR="008544AA" w:rsidRPr="00097735">
              <w:rPr>
                <w:rFonts w:eastAsia="Times New Roman"/>
                <w:color w:val="000000" w:themeColor="text1"/>
                <w:lang w:val="en-US"/>
              </w:rPr>
              <w:t xml:space="preserve"> 20</w:t>
            </w:r>
            <w:r w:rsidR="0082412A" w:rsidRPr="00097735">
              <w:rPr>
                <w:rFonts w:eastAsia="Times New Roman"/>
                <w:color w:val="000000" w:themeColor="text1"/>
                <w:lang w:val="en-US"/>
              </w:rPr>
              <w:t>26</w:t>
            </w:r>
          </w:p>
        </w:tc>
      </w:tr>
      <w:tr w:rsidR="008544AA" w:rsidRPr="00DC1DE3" w14:paraId="2811D6CC" w14:textId="77777777" w:rsidTr="00BF27A3">
        <w:trPr>
          <w:cantSplit/>
          <w:tblHeader/>
        </w:trPr>
        <w:tc>
          <w:tcPr>
            <w:tcW w:w="2546" w:type="pct"/>
          </w:tcPr>
          <w:p w14:paraId="41C08F95" w14:textId="04F9AE79" w:rsidR="008544AA" w:rsidRPr="00DC1DE3" w:rsidRDefault="001D3457" w:rsidP="00763B60">
            <w:pPr>
              <w:pStyle w:val="BodyText"/>
              <w:spacing w:before="120" w:after="120"/>
              <w:rPr>
                <w:rFonts w:eastAsia="Times New Roman"/>
                <w:bCs/>
              </w:rPr>
            </w:pPr>
            <w:r w:rsidRPr="00DC1DE3">
              <w:t xml:space="preserve">Estimated project </w:t>
            </w:r>
            <w:r w:rsidR="0082412A">
              <w:t>end</w:t>
            </w:r>
            <w:r w:rsidRPr="00DC1DE3">
              <w:t xml:space="preserve"> date</w:t>
            </w:r>
          </w:p>
        </w:tc>
        <w:tc>
          <w:tcPr>
            <w:tcW w:w="2454" w:type="pct"/>
          </w:tcPr>
          <w:p w14:paraId="13511150" w14:textId="448EEF94" w:rsidR="008544AA" w:rsidRPr="00097735" w:rsidRDefault="003F4C07" w:rsidP="00763B60">
            <w:pPr>
              <w:pStyle w:val="BodyText"/>
              <w:spacing w:before="120" w:after="120"/>
              <w:rPr>
                <w:rFonts w:eastAsia="Times New Roman"/>
                <w:lang w:val="en-US"/>
              </w:rPr>
            </w:pPr>
            <w:r w:rsidRPr="00097735">
              <w:rPr>
                <w:rFonts w:eastAsia="Times New Roman"/>
                <w:color w:val="000000" w:themeColor="text1"/>
                <w:lang w:val="en-US"/>
              </w:rPr>
              <w:t>March</w:t>
            </w:r>
            <w:r w:rsidR="009F0E40" w:rsidRPr="00097735">
              <w:rPr>
                <w:rFonts w:eastAsia="Times New Roman"/>
                <w:color w:val="000000" w:themeColor="text1"/>
                <w:lang w:val="en-US"/>
              </w:rPr>
              <w:t xml:space="preserve"> 31,</w:t>
            </w:r>
            <w:r w:rsidR="008544AA" w:rsidRPr="00097735">
              <w:rPr>
                <w:rFonts w:eastAsia="Times New Roman"/>
                <w:color w:val="000000" w:themeColor="text1"/>
                <w:lang w:val="en-US"/>
              </w:rPr>
              <w:t xml:space="preserve"> 20</w:t>
            </w:r>
            <w:r w:rsidR="0082412A" w:rsidRPr="00097735">
              <w:rPr>
                <w:rFonts w:eastAsia="Times New Roman"/>
                <w:color w:val="000000" w:themeColor="text1"/>
                <w:lang w:val="en-US"/>
              </w:rPr>
              <w:t>2</w:t>
            </w:r>
            <w:r w:rsidRPr="00097735">
              <w:rPr>
                <w:rFonts w:eastAsia="Times New Roman"/>
                <w:color w:val="000000" w:themeColor="text1"/>
                <w:lang w:val="en-US"/>
              </w:rPr>
              <w:t>8</w:t>
            </w:r>
          </w:p>
        </w:tc>
      </w:tr>
    </w:tbl>
    <w:p w14:paraId="4F6A1472" w14:textId="77777777" w:rsidR="008544AA" w:rsidRPr="00DC1DE3" w:rsidRDefault="008544AA" w:rsidP="00F470F1">
      <w:pPr>
        <w:pStyle w:val="BodyText"/>
        <w:rPr>
          <w:rFonts w:eastAsia="Times New Roman"/>
          <w:bCs/>
        </w:rPr>
      </w:pPr>
    </w:p>
    <w:p w14:paraId="339F2611" w14:textId="144B4BD1" w:rsidR="008544AA" w:rsidRPr="00DC1DE3" w:rsidRDefault="008544AA" w:rsidP="00F470F1">
      <w:pPr>
        <w:pStyle w:val="BodyText"/>
        <w:rPr>
          <w:rFonts w:eastAsia="Times New Roman"/>
          <w:bCs/>
        </w:rPr>
      </w:pPr>
      <w:r w:rsidRPr="00F470F1">
        <w:rPr>
          <w:rFonts w:eastAsia="Times New Roman"/>
          <w:b/>
        </w:rPr>
        <w:t>Note</w:t>
      </w:r>
      <w:r w:rsidRPr="00DC1DE3">
        <w:rPr>
          <w:rFonts w:eastAsia="Times New Roman"/>
          <w:bCs/>
        </w:rPr>
        <w:t xml:space="preserve"> – All dates after the final proposal submission deadline are approximate and may be adjusted as conditions dictate, without </w:t>
      </w:r>
      <w:r w:rsidR="00C76387">
        <w:rPr>
          <w:rFonts w:eastAsia="Times New Roman"/>
          <w:bCs/>
        </w:rPr>
        <w:t xml:space="preserve">an </w:t>
      </w:r>
      <w:r w:rsidRPr="00DC1DE3">
        <w:rPr>
          <w:rFonts w:eastAsia="Times New Roman"/>
          <w:bCs/>
        </w:rPr>
        <w:t>addendum to this SFP.</w:t>
      </w:r>
    </w:p>
    <w:p w14:paraId="18C0FB28" w14:textId="77777777" w:rsidR="008544AA" w:rsidRPr="00DC1DE3" w:rsidRDefault="008544AA" w:rsidP="00291014">
      <w:pPr>
        <w:pStyle w:val="Heading3"/>
      </w:pPr>
      <w:bookmarkStart w:id="81" w:name="_Toc167356433"/>
      <w:bookmarkStart w:id="82" w:name="_Toc167894669"/>
      <w:r w:rsidRPr="00DC1DE3">
        <w:t>Questions and Answers</w:t>
      </w:r>
      <w:bookmarkEnd w:id="81"/>
      <w:bookmarkEnd w:id="82"/>
    </w:p>
    <w:p w14:paraId="10D9ADAF" w14:textId="65130E44" w:rsidR="008D11B6" w:rsidRDefault="008D11B6" w:rsidP="008D11B6">
      <w:pPr>
        <w:pStyle w:val="BodyText"/>
      </w:pPr>
      <w:r>
        <w:t xml:space="preserve">An informational webinar is scheduled for </w:t>
      </w:r>
      <w:r w:rsidR="000D62BC" w:rsidRPr="00097735">
        <w:t xml:space="preserve">January </w:t>
      </w:r>
      <w:r w:rsidR="0017638E">
        <w:t>13</w:t>
      </w:r>
      <w:r w:rsidRPr="00097735">
        <w:t>, 202</w:t>
      </w:r>
      <w:r w:rsidR="000D62BC" w:rsidRPr="00097735">
        <w:t>6</w:t>
      </w:r>
      <w:r w:rsidRPr="00097735">
        <w:t>, at 1:30 p.m. PST</w:t>
      </w:r>
      <w:r>
        <w:t xml:space="preserve"> to review application requirements and address questions related to the SFP. Pre-registration is required for all participants. Please visit the EDD’s </w:t>
      </w:r>
      <w:hyperlink r:id="rId26" w:history="1">
        <w:r w:rsidRPr="004C6428">
          <w:rPr>
            <w:rStyle w:val="Hyperlink"/>
            <w:u w:val="none"/>
          </w:rPr>
          <w:t>Workforce Development Solicitation for Proposals website</w:t>
        </w:r>
      </w:hyperlink>
      <w:r>
        <w:t xml:space="preserve"> for the </w:t>
      </w:r>
      <w:bookmarkStart w:id="83" w:name="_Hlk217889550"/>
      <w:r>
        <w:fldChar w:fldCharType="begin"/>
      </w:r>
      <w:r>
        <w:instrText>HYPERLINK "https://us02web.zoom.us/webinar/register/WN_FE474ajLQTmczN_Hba6j1g"</w:instrText>
      </w:r>
      <w:r>
        <w:fldChar w:fldCharType="separate"/>
      </w:r>
      <w:r w:rsidRPr="00900481">
        <w:rPr>
          <w:rStyle w:val="Hyperlink"/>
          <w:u w:val="none"/>
        </w:rPr>
        <w:t>pre-registration link</w:t>
      </w:r>
      <w:r>
        <w:fldChar w:fldCharType="end"/>
      </w:r>
      <w:bookmarkEnd w:id="83"/>
      <w:r>
        <w:t>. After registering, you will receive a system-generated email containing a Zoom link for the webinar.</w:t>
      </w:r>
    </w:p>
    <w:p w14:paraId="7E621743" w14:textId="2D7F06C2" w:rsidR="008D11B6" w:rsidRPr="00F470F1" w:rsidRDefault="008D11B6" w:rsidP="008D11B6">
      <w:pPr>
        <w:pStyle w:val="BodyText"/>
      </w:pPr>
      <w:r>
        <w:t>Before submitting your questions, it is essential t</w:t>
      </w:r>
      <w:r w:rsidR="006C5BCA">
        <w:t>hat you</w:t>
      </w:r>
      <w:r>
        <w:t xml:space="preserve"> thoroughly review the SFP Proposal Package Instructions in Appendix A. If you have inquiries before the webinar, please email them to </w:t>
      </w:r>
      <w:r w:rsidRPr="00D5774C">
        <w:t>WSBSFP3@edd.ca.gov</w:t>
      </w:r>
      <w:r>
        <w:t xml:space="preserve"> with the subject line: [</w:t>
      </w:r>
      <w:r w:rsidRPr="001C3BB2">
        <w:t xml:space="preserve">Your Three-Digit Initialism] </w:t>
      </w:r>
      <w:r w:rsidR="00006B6B" w:rsidRPr="001C3BB2">
        <w:t>E</w:t>
      </w:r>
      <w:r w:rsidRPr="001C3BB2">
        <w:t>PTA PY 25-26 SFP Inquiry</w:t>
      </w:r>
      <w:r>
        <w:t xml:space="preserve">. All questions must be submitted by </w:t>
      </w:r>
      <w:r w:rsidR="000D62BC" w:rsidRPr="00097735">
        <w:t>noon</w:t>
      </w:r>
      <w:r w:rsidRPr="00097735">
        <w:t xml:space="preserve"> PST on </w:t>
      </w:r>
      <w:r w:rsidR="00000025" w:rsidRPr="00097735">
        <w:t xml:space="preserve">January </w:t>
      </w:r>
      <w:r w:rsidR="0017638E">
        <w:t>9</w:t>
      </w:r>
      <w:r w:rsidRPr="00097735">
        <w:t>, 202</w:t>
      </w:r>
      <w:r w:rsidR="00000025" w:rsidRPr="00097735">
        <w:t>6</w:t>
      </w:r>
      <w:r>
        <w:t>.</w:t>
      </w:r>
    </w:p>
    <w:p w14:paraId="61D10E9C" w14:textId="7EA93AF9" w:rsidR="008544AA" w:rsidRPr="009643EB" w:rsidRDefault="008544AA" w:rsidP="00E60407">
      <w:pPr>
        <w:pStyle w:val="BodyText"/>
        <w:rPr>
          <w:b/>
          <w:bCs/>
        </w:rPr>
      </w:pPr>
      <w:r w:rsidRPr="009643EB">
        <w:rPr>
          <w:b/>
          <w:bCs/>
          <w:lang w:val="en-US"/>
        </w:rPr>
        <w:t>Please note this webinar will not be recorded.</w:t>
      </w:r>
    </w:p>
    <w:p w14:paraId="26FF1A83" w14:textId="71A6B259" w:rsidR="006D7394" w:rsidRPr="0033630C" w:rsidRDefault="00662D65" w:rsidP="00E60407">
      <w:pPr>
        <w:pStyle w:val="BodyText"/>
        <w:rPr>
          <w:lang w:val="en-US"/>
        </w:rPr>
      </w:pPr>
      <w:r w:rsidRPr="00662D65">
        <w:rPr>
          <w:lang w:val="en-US"/>
        </w:rPr>
        <w:t>All registered attendees will receive a summary of the content covered during the webinar. Th</w:t>
      </w:r>
      <w:r w:rsidR="0033630C">
        <w:rPr>
          <w:lang w:val="en-US"/>
        </w:rPr>
        <w:t>e webinar</w:t>
      </w:r>
      <w:r w:rsidRPr="00662D65">
        <w:rPr>
          <w:lang w:val="en-US"/>
        </w:rPr>
        <w:t xml:space="preserve"> summary will be distributed via email after the </w:t>
      </w:r>
      <w:r w:rsidR="0033630C">
        <w:rPr>
          <w:lang w:val="en-US"/>
        </w:rPr>
        <w:t>webinar, once it has been finalized</w:t>
      </w:r>
      <w:r w:rsidRPr="00662D65">
        <w:rPr>
          <w:lang w:val="en-US"/>
        </w:rPr>
        <w:t xml:space="preserve">. Additionally, a comprehensive list of all questions and answers received during the solicitation process will be posted on the EDD website </w:t>
      </w:r>
      <w:r w:rsidR="0033630C">
        <w:rPr>
          <w:lang w:val="en-US"/>
        </w:rPr>
        <w:t>following</w:t>
      </w:r>
      <w:r w:rsidRPr="00662D65">
        <w:rPr>
          <w:lang w:val="en-US"/>
        </w:rPr>
        <w:t xml:space="preserve"> the informational webinar</w:t>
      </w:r>
      <w:r w:rsidR="0033630C">
        <w:rPr>
          <w:lang w:val="en-US"/>
        </w:rPr>
        <w:t>, after the necessary review and preparation are completed</w:t>
      </w:r>
      <w:r w:rsidRPr="00662D65">
        <w:rPr>
          <w:lang w:val="en-US"/>
        </w:rPr>
        <w:t xml:space="preserve">. </w:t>
      </w:r>
    </w:p>
    <w:p w14:paraId="718A1ECA" w14:textId="14E78FFA" w:rsidR="008544AA" w:rsidRPr="00DC1DE3" w:rsidRDefault="008544AA" w:rsidP="00291014">
      <w:pPr>
        <w:pStyle w:val="Heading3"/>
      </w:pPr>
      <w:bookmarkStart w:id="84" w:name="_Toc167356434"/>
      <w:bookmarkStart w:id="85" w:name="_Toc167894670"/>
      <w:r w:rsidRPr="00DC1DE3">
        <w:lastRenderedPageBreak/>
        <w:t>Delivery</w:t>
      </w:r>
      <w:bookmarkEnd w:id="84"/>
      <w:bookmarkEnd w:id="85"/>
    </w:p>
    <w:p w14:paraId="5ACC1FE5" w14:textId="31642B0C" w:rsidR="008544AA" w:rsidRPr="00DC1DE3" w:rsidRDefault="008544AA" w:rsidP="00F470F1">
      <w:pPr>
        <w:pStyle w:val="BodyText"/>
      </w:pPr>
      <w:r w:rsidRPr="01476CFA">
        <w:rPr>
          <w:lang w:val="en-US"/>
        </w:rPr>
        <w:t xml:space="preserve">Applicants must submit a complete proposal package with all required elements to </w:t>
      </w:r>
      <w:r w:rsidR="00977C55" w:rsidRPr="0090102E">
        <w:t>WSBSFP3@edd.ca.gov</w:t>
      </w:r>
      <w:r w:rsidRPr="01476CFA">
        <w:rPr>
          <w:lang w:val="en-US"/>
        </w:rPr>
        <w:t xml:space="preserve"> by no later than </w:t>
      </w:r>
      <w:r w:rsidR="00977C55" w:rsidRPr="00176A29">
        <w:rPr>
          <w:lang w:val="en-US"/>
        </w:rPr>
        <w:t xml:space="preserve">3 </w:t>
      </w:r>
      <w:r w:rsidRPr="00176A29">
        <w:rPr>
          <w:lang w:val="en-US"/>
        </w:rPr>
        <w:t xml:space="preserve">p.m. </w:t>
      </w:r>
      <w:r w:rsidR="00C035CA" w:rsidRPr="00176A29">
        <w:rPr>
          <w:lang w:val="en-US"/>
        </w:rPr>
        <w:t>P</w:t>
      </w:r>
      <w:r w:rsidR="00977C55" w:rsidRPr="00176A29">
        <w:rPr>
          <w:lang w:val="en-US"/>
        </w:rPr>
        <w:t>S</w:t>
      </w:r>
      <w:r w:rsidR="00C035CA" w:rsidRPr="00176A29">
        <w:rPr>
          <w:lang w:val="en-US"/>
        </w:rPr>
        <w:t>T</w:t>
      </w:r>
      <w:r w:rsidRPr="00176A29">
        <w:rPr>
          <w:lang w:val="en-US"/>
        </w:rPr>
        <w:t xml:space="preserve"> on </w:t>
      </w:r>
      <w:r w:rsidR="0017638E">
        <w:rPr>
          <w:lang w:val="en-US"/>
        </w:rPr>
        <w:t>Febr</w:t>
      </w:r>
      <w:r w:rsidR="00A57AD7" w:rsidRPr="00176A29">
        <w:rPr>
          <w:lang w:val="en-US"/>
        </w:rPr>
        <w:t xml:space="preserve">uary </w:t>
      </w:r>
      <w:r w:rsidR="0017638E">
        <w:rPr>
          <w:lang w:val="en-US"/>
        </w:rPr>
        <w:t>3</w:t>
      </w:r>
      <w:r w:rsidR="00977C55" w:rsidRPr="00176A29">
        <w:rPr>
          <w:lang w:val="en-US"/>
        </w:rPr>
        <w:t>, 202</w:t>
      </w:r>
      <w:r w:rsidR="00A57AD7" w:rsidRPr="00176A29">
        <w:rPr>
          <w:lang w:val="en-US"/>
        </w:rPr>
        <w:t>6</w:t>
      </w:r>
      <w:r w:rsidRPr="00176A29">
        <w:rPr>
          <w:lang w:val="en-US"/>
        </w:rPr>
        <w:t>.</w:t>
      </w:r>
      <w:r w:rsidRPr="01476CFA">
        <w:rPr>
          <w:lang w:val="en-US"/>
        </w:rPr>
        <w:t xml:space="preserve"> The Cov</w:t>
      </w:r>
      <w:r w:rsidR="0072088B">
        <w:rPr>
          <w:lang w:val="en-US"/>
        </w:rPr>
        <w:t>er/</w:t>
      </w:r>
      <w:r w:rsidRPr="01476CFA">
        <w:rPr>
          <w:lang w:val="en-US"/>
        </w:rPr>
        <w:t>Sign</w:t>
      </w:r>
      <w:r w:rsidR="0072088B">
        <w:rPr>
          <w:lang w:val="en-US"/>
        </w:rPr>
        <w:t>ature</w:t>
      </w:r>
      <w:r w:rsidRPr="01476CFA">
        <w:rPr>
          <w:lang w:val="en-US"/>
        </w:rPr>
        <w:t xml:space="preserve"> Page must be signed by the</w:t>
      </w:r>
      <w:r w:rsidR="00690693">
        <w:rPr>
          <w:lang w:val="en-US"/>
        </w:rPr>
        <w:t xml:space="preserve"> organization’s</w:t>
      </w:r>
      <w:r w:rsidRPr="01476CFA">
        <w:rPr>
          <w:lang w:val="en-US"/>
        </w:rPr>
        <w:t xml:space="preserve"> signatory authority.</w:t>
      </w:r>
    </w:p>
    <w:p w14:paraId="2FF1ACD2" w14:textId="3F755FC8" w:rsidR="005861D0" w:rsidRDefault="008544AA" w:rsidP="008E506B">
      <w:pPr>
        <w:pStyle w:val="BodyText"/>
      </w:pPr>
      <w:r w:rsidRPr="005861D0">
        <w:t xml:space="preserve">Refer to Appendix A: Proposal Package Instructions for further guidelines on electronic submission and </w:t>
      </w:r>
      <w:r w:rsidRPr="00075464">
        <w:t xml:space="preserve">Section </w:t>
      </w:r>
      <w:r w:rsidR="00F97725" w:rsidRPr="00075464">
        <w:t>6</w:t>
      </w:r>
      <w:r w:rsidRPr="00075464">
        <w:t xml:space="preserve">. </w:t>
      </w:r>
      <w:r w:rsidR="00075464" w:rsidRPr="00075464">
        <w:t>C</w:t>
      </w:r>
      <w:r w:rsidRPr="00075464">
        <w:t>: Agreement and Contracting</w:t>
      </w:r>
      <w:r w:rsidRPr="005861D0">
        <w:t xml:space="preserve"> for the signatory authority requirements for the Subgrant Agreement (contract).</w:t>
      </w:r>
    </w:p>
    <w:p w14:paraId="20A64704" w14:textId="77777777" w:rsidR="00842137" w:rsidRDefault="00842137" w:rsidP="008E506B">
      <w:pPr>
        <w:pStyle w:val="BodyText"/>
      </w:pPr>
    </w:p>
    <w:p w14:paraId="4AD7C27F" w14:textId="77777777" w:rsidR="00842137" w:rsidRDefault="00842137" w:rsidP="008E506B">
      <w:pPr>
        <w:pStyle w:val="BodyText"/>
      </w:pPr>
    </w:p>
    <w:p w14:paraId="3950181E" w14:textId="77777777" w:rsidR="00842137" w:rsidRDefault="00842137" w:rsidP="008E506B">
      <w:pPr>
        <w:pStyle w:val="BodyText"/>
      </w:pPr>
    </w:p>
    <w:p w14:paraId="48AEBFE8" w14:textId="77777777" w:rsidR="00842137" w:rsidRDefault="00842137" w:rsidP="008E506B">
      <w:pPr>
        <w:pStyle w:val="BodyText"/>
      </w:pPr>
    </w:p>
    <w:p w14:paraId="472B346E" w14:textId="77777777" w:rsidR="00842137" w:rsidRDefault="00842137" w:rsidP="008E506B">
      <w:pPr>
        <w:pStyle w:val="BodyText"/>
      </w:pPr>
    </w:p>
    <w:p w14:paraId="4018653C" w14:textId="77777777" w:rsidR="00842137" w:rsidRDefault="00842137" w:rsidP="008E506B">
      <w:pPr>
        <w:pStyle w:val="BodyText"/>
      </w:pPr>
    </w:p>
    <w:p w14:paraId="74AF8CDB" w14:textId="77777777" w:rsidR="00842137" w:rsidRDefault="00842137" w:rsidP="008E506B">
      <w:pPr>
        <w:pStyle w:val="BodyText"/>
      </w:pPr>
    </w:p>
    <w:p w14:paraId="0B6CCA4C" w14:textId="77777777" w:rsidR="00842137" w:rsidRDefault="00842137" w:rsidP="008E506B">
      <w:pPr>
        <w:pStyle w:val="BodyText"/>
      </w:pPr>
    </w:p>
    <w:p w14:paraId="2C1E03BF" w14:textId="77777777" w:rsidR="00842137" w:rsidRDefault="00842137" w:rsidP="008E506B">
      <w:pPr>
        <w:pStyle w:val="BodyText"/>
      </w:pPr>
    </w:p>
    <w:p w14:paraId="5DF33201" w14:textId="77777777" w:rsidR="00842137" w:rsidRDefault="00842137" w:rsidP="008E506B">
      <w:pPr>
        <w:pStyle w:val="BodyText"/>
      </w:pPr>
    </w:p>
    <w:p w14:paraId="51DEE9A6" w14:textId="77777777" w:rsidR="00842137" w:rsidRDefault="00842137" w:rsidP="008E506B">
      <w:pPr>
        <w:pStyle w:val="BodyText"/>
      </w:pPr>
    </w:p>
    <w:p w14:paraId="3AF25C7A" w14:textId="77777777" w:rsidR="00842137" w:rsidRDefault="00842137" w:rsidP="008E506B">
      <w:pPr>
        <w:pStyle w:val="BodyText"/>
      </w:pPr>
    </w:p>
    <w:p w14:paraId="5FBB3D96" w14:textId="77777777" w:rsidR="00842137" w:rsidRDefault="00842137" w:rsidP="008E506B">
      <w:pPr>
        <w:pStyle w:val="BodyText"/>
      </w:pPr>
    </w:p>
    <w:p w14:paraId="109B2D4F" w14:textId="77777777" w:rsidR="00842137" w:rsidRDefault="00842137" w:rsidP="008E506B">
      <w:pPr>
        <w:pStyle w:val="BodyText"/>
      </w:pPr>
    </w:p>
    <w:p w14:paraId="1C7EB38C" w14:textId="77777777" w:rsidR="00EE2987" w:rsidRDefault="00EE2987" w:rsidP="008E506B">
      <w:pPr>
        <w:pStyle w:val="BodyText"/>
      </w:pPr>
    </w:p>
    <w:p w14:paraId="23CCD9E8" w14:textId="77777777" w:rsidR="00EE2987" w:rsidRDefault="00EE2987" w:rsidP="008E506B">
      <w:pPr>
        <w:pStyle w:val="BodyText"/>
      </w:pPr>
    </w:p>
    <w:p w14:paraId="49900F73" w14:textId="77777777" w:rsidR="00EE2987" w:rsidRDefault="00EE2987" w:rsidP="008E506B">
      <w:pPr>
        <w:pStyle w:val="BodyText"/>
      </w:pPr>
    </w:p>
    <w:p w14:paraId="1148BECB" w14:textId="77777777" w:rsidR="00842137" w:rsidRPr="00DC1DE3" w:rsidRDefault="00842137" w:rsidP="008E506B">
      <w:pPr>
        <w:pStyle w:val="BodyText"/>
      </w:pPr>
    </w:p>
    <w:p w14:paraId="2D9650CD" w14:textId="6AF85BFB" w:rsidR="008544AA" w:rsidRPr="00DC1DE3" w:rsidRDefault="008544AA" w:rsidP="00783B8C">
      <w:pPr>
        <w:pStyle w:val="Heading2"/>
        <w:tabs>
          <w:tab w:val="left" w:pos="360"/>
        </w:tabs>
        <w:ind w:left="0" w:firstLine="0"/>
      </w:pPr>
      <w:bookmarkStart w:id="86" w:name="_Toc167356435"/>
      <w:r w:rsidRPr="00DC1DE3">
        <w:lastRenderedPageBreak/>
        <w:t xml:space="preserve"> </w:t>
      </w:r>
      <w:bookmarkStart w:id="87" w:name="_Toc167894671"/>
      <w:r w:rsidRPr="00DC1DE3">
        <w:t>Award and Contracting Process</w:t>
      </w:r>
      <w:bookmarkEnd w:id="86"/>
      <w:bookmarkEnd w:id="87"/>
    </w:p>
    <w:p w14:paraId="4C879B39" w14:textId="77777777" w:rsidR="00EC4F36" w:rsidRDefault="00EC4F36" w:rsidP="00763B60">
      <w:pPr>
        <w:pStyle w:val="BodyText"/>
        <w:spacing w:after="0"/>
      </w:pPr>
    </w:p>
    <w:p w14:paraId="7AA688D5" w14:textId="181AC749" w:rsidR="008544AA" w:rsidRPr="00DC1DE3" w:rsidRDefault="008544AA" w:rsidP="00F470F1">
      <w:pPr>
        <w:pStyle w:val="BodyText"/>
      </w:pPr>
      <w:r w:rsidRPr="01476CFA">
        <w:rPr>
          <w:lang w:val="en-US"/>
        </w:rPr>
        <w:t xml:space="preserve">After the </w:t>
      </w:r>
      <w:r w:rsidR="006A6026">
        <w:rPr>
          <w:lang w:val="en-US"/>
        </w:rPr>
        <w:t xml:space="preserve">proposal submission </w:t>
      </w:r>
      <w:r w:rsidRPr="01476CFA">
        <w:rPr>
          <w:lang w:val="en-US"/>
        </w:rPr>
        <w:t>deadline, the EDD will vet the proposals based on the minimum qualifications established in this SFP and administer a competitive evaluation for all proposals that meet the minimum qualifications. Funding decisions are based on scoring criteria, performance history, and regional</w:t>
      </w:r>
      <w:r w:rsidR="00B9084E">
        <w:rPr>
          <w:lang w:val="en-US"/>
        </w:rPr>
        <w:t xml:space="preserve"> program awardee</w:t>
      </w:r>
      <w:r w:rsidRPr="01476CFA">
        <w:rPr>
          <w:lang w:val="en-US"/>
        </w:rPr>
        <w:t xml:space="preserve"> needs. The EDD will notify all applicants </w:t>
      </w:r>
      <w:r w:rsidR="0065213E">
        <w:rPr>
          <w:lang w:val="en-US"/>
        </w:rPr>
        <w:t>about</w:t>
      </w:r>
      <w:r w:rsidR="0065213E" w:rsidRPr="01476CFA">
        <w:rPr>
          <w:lang w:val="en-US"/>
        </w:rPr>
        <w:t xml:space="preserve"> </w:t>
      </w:r>
      <w:r w:rsidRPr="01476CFA">
        <w:rPr>
          <w:lang w:val="en-US"/>
        </w:rPr>
        <w:t xml:space="preserve">the status of </w:t>
      </w:r>
      <w:r w:rsidR="0065213E">
        <w:rPr>
          <w:lang w:val="en-US"/>
        </w:rPr>
        <w:t>their</w:t>
      </w:r>
      <w:r w:rsidR="0065213E" w:rsidRPr="01476CFA">
        <w:rPr>
          <w:lang w:val="en-US"/>
        </w:rPr>
        <w:t xml:space="preserve"> </w:t>
      </w:r>
      <w:r w:rsidRPr="01476CFA">
        <w:rPr>
          <w:lang w:val="en-US"/>
        </w:rPr>
        <w:t>proposal. A summary of projects funded under this SFP will be publicly posted on the EDD website.</w:t>
      </w:r>
    </w:p>
    <w:p w14:paraId="5CAA6B02" w14:textId="412B0828" w:rsidR="008544AA" w:rsidRPr="00DC1DE3" w:rsidRDefault="008544AA" w:rsidP="00086CF0">
      <w:pPr>
        <w:pStyle w:val="Heading3"/>
        <w:numPr>
          <w:ilvl w:val="0"/>
          <w:numId w:val="9"/>
        </w:numPr>
      </w:pPr>
      <w:bookmarkStart w:id="88" w:name="_Toc117246176"/>
      <w:bookmarkStart w:id="89" w:name="_Toc130496186"/>
      <w:bookmarkStart w:id="90" w:name="_Toc167356436"/>
      <w:bookmarkStart w:id="91" w:name="_Toc167894672"/>
      <w:r w:rsidRPr="00DC1DE3">
        <w:t>Proposal Review, Scoring, and Evaluation</w:t>
      </w:r>
      <w:bookmarkEnd w:id="88"/>
      <w:bookmarkEnd w:id="89"/>
      <w:bookmarkEnd w:id="90"/>
      <w:bookmarkEnd w:id="91"/>
    </w:p>
    <w:p w14:paraId="0AC75C42" w14:textId="31AD3D14" w:rsidR="00783B8C" w:rsidRDefault="008544AA" w:rsidP="00763B60">
      <w:pPr>
        <w:pStyle w:val="BodyText"/>
        <w:rPr>
          <w:lang w:val="en-US"/>
        </w:rPr>
      </w:pPr>
      <w:r w:rsidRPr="01476CFA">
        <w:rPr>
          <w:lang w:val="en-US"/>
        </w:rPr>
        <w:t xml:space="preserve">Teams of reviewers will </w:t>
      </w:r>
      <w:proofErr w:type="gramStart"/>
      <w:r w:rsidRPr="01476CFA">
        <w:rPr>
          <w:lang w:val="en-US"/>
        </w:rPr>
        <w:t>score</w:t>
      </w:r>
      <w:proofErr w:type="gramEnd"/>
      <w:r w:rsidRPr="01476CFA">
        <w:rPr>
          <w:lang w:val="en-US"/>
        </w:rPr>
        <w:t xml:space="preserve"> and rank proposals based on the criteria outlined in this SFP. For those organizations that have participated in past grant programs administered by the EDD’s Workforce Services Branch (WSB), past and present performance will be considered in making funding decisions. </w:t>
      </w:r>
    </w:p>
    <w:p w14:paraId="041A8AD8" w14:textId="77777777" w:rsidR="00865680" w:rsidRPr="00865680" w:rsidRDefault="00865680" w:rsidP="00865680">
      <w:pPr>
        <w:rPr>
          <w:rFonts w:ascii="Calibri" w:hAnsi="Calibri" w:cs="Calibri"/>
          <w:b/>
          <w:bCs/>
          <w:sz w:val="24"/>
          <w:szCs w:val="24"/>
        </w:rPr>
      </w:pPr>
      <w:r w:rsidRPr="00865680">
        <w:rPr>
          <w:rFonts w:ascii="Calibri" w:hAnsi="Calibri" w:cs="Calibri"/>
          <w:b/>
          <w:bCs/>
          <w:sz w:val="24"/>
          <w:szCs w:val="24"/>
        </w:rPr>
        <w:t>Scoring Rubric Summary</w:t>
      </w:r>
    </w:p>
    <w:p w14:paraId="669450CE" w14:textId="7182753D" w:rsidR="00252DBE" w:rsidRPr="008340B1" w:rsidRDefault="00865680" w:rsidP="008340B1">
      <w:r w:rsidRPr="00865680">
        <w:rPr>
          <w:rFonts w:ascii="Calibri" w:hAnsi="Calibri" w:cs="Calibri"/>
          <w:sz w:val="24"/>
          <w:szCs w:val="24"/>
        </w:rPr>
        <w:t>The scoring rubric below outlines the criteria reviewers will use to evaluate proposals. Each section corresponds to a major component of the grant requirements and reflects the dual purpose of the initiative: (1) providing technical assistance</w:t>
      </w:r>
      <w:r>
        <w:rPr>
          <w:rFonts w:ascii="Calibri" w:hAnsi="Calibri" w:cs="Calibri"/>
          <w:sz w:val="24"/>
          <w:szCs w:val="24"/>
        </w:rPr>
        <w:t xml:space="preserve"> and evaluation</w:t>
      </w:r>
      <w:r w:rsidRPr="00865680">
        <w:rPr>
          <w:rFonts w:ascii="Calibri" w:hAnsi="Calibri" w:cs="Calibri"/>
          <w:sz w:val="24"/>
          <w:szCs w:val="24"/>
        </w:rPr>
        <w:t xml:space="preserve"> to</w:t>
      </w:r>
      <w:r>
        <w:rPr>
          <w:rFonts w:ascii="Calibri" w:hAnsi="Calibri" w:cs="Calibri"/>
          <w:sz w:val="24"/>
          <w:szCs w:val="24"/>
        </w:rPr>
        <w:t xml:space="preserve"> PY 25-26</w:t>
      </w:r>
      <w:r w:rsidRPr="00865680">
        <w:rPr>
          <w:rFonts w:ascii="Calibri" w:hAnsi="Calibri" w:cs="Calibri"/>
          <w:sz w:val="24"/>
          <w:szCs w:val="24"/>
        </w:rPr>
        <w:t xml:space="preserve"> ETPP grantees, and (2) facilitating a C</w:t>
      </w:r>
      <w:r>
        <w:rPr>
          <w:rFonts w:ascii="Calibri" w:hAnsi="Calibri" w:cs="Calibri"/>
          <w:sz w:val="24"/>
          <w:szCs w:val="24"/>
        </w:rPr>
        <w:t>O</w:t>
      </w:r>
      <w:r w:rsidRPr="00865680">
        <w:rPr>
          <w:rFonts w:ascii="Calibri" w:hAnsi="Calibri" w:cs="Calibri"/>
          <w:sz w:val="24"/>
          <w:szCs w:val="24"/>
        </w:rPr>
        <w:t xml:space="preserve">P among TA providers. Reviewers </w:t>
      </w:r>
      <w:r>
        <w:rPr>
          <w:rFonts w:ascii="Calibri" w:hAnsi="Calibri" w:cs="Calibri"/>
          <w:sz w:val="24"/>
          <w:szCs w:val="24"/>
        </w:rPr>
        <w:t>will</w:t>
      </w:r>
      <w:r w:rsidRPr="00865680">
        <w:rPr>
          <w:rFonts w:ascii="Calibri" w:hAnsi="Calibri" w:cs="Calibri"/>
          <w:sz w:val="24"/>
          <w:szCs w:val="24"/>
        </w:rPr>
        <w:t xml:space="preserve"> assess both the quality of the proposed approach and the applicant’s demonstrated experience. Proposals will be scored out of a total of 100 points</w:t>
      </w:r>
      <w:r w:rsidR="008340B1">
        <w:t>.</w:t>
      </w:r>
    </w:p>
    <w:p w14:paraId="49FABD48" w14:textId="5E405F49" w:rsidR="008544AA" w:rsidRPr="00DC1DE3" w:rsidRDefault="008544AA" w:rsidP="00763B60">
      <w:pPr>
        <w:pStyle w:val="BodyText"/>
        <w:spacing w:after="0"/>
        <w:rPr>
          <w:b/>
        </w:rPr>
      </w:pPr>
      <w:r w:rsidRPr="00DC1DE3">
        <w:rPr>
          <w:b/>
        </w:rPr>
        <w:t xml:space="preserve">Figure </w:t>
      </w:r>
      <w:r w:rsidR="008F564F">
        <w:rPr>
          <w:b/>
        </w:rPr>
        <w:t>6.1</w:t>
      </w:r>
      <w:r w:rsidRPr="00DC1DE3">
        <w:rPr>
          <w:b/>
        </w:rPr>
        <w:t>: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4"/>
        <w:gridCol w:w="2246"/>
      </w:tblGrid>
      <w:tr w:rsidR="008544AA" w:rsidRPr="00DC1DE3" w14:paraId="6262A5C8" w14:textId="77777777" w:rsidTr="008A5BCD">
        <w:trPr>
          <w:cantSplit/>
          <w:trHeight w:val="395"/>
          <w:tblHeader/>
        </w:trPr>
        <w:tc>
          <w:tcPr>
            <w:tcW w:w="3799" w:type="pct"/>
            <w:shd w:val="clear" w:color="auto" w:fill="E6E6E6"/>
            <w:vAlign w:val="center"/>
          </w:tcPr>
          <w:p w14:paraId="333C5C48" w14:textId="5B0A2004" w:rsidR="008544AA" w:rsidRPr="00DC1DE3" w:rsidRDefault="008544AA" w:rsidP="00763B60">
            <w:pPr>
              <w:pStyle w:val="BodyText"/>
              <w:spacing w:after="0"/>
              <w:rPr>
                <w:rFonts w:eastAsia="Times New Roman"/>
                <w:b/>
                <w:bCs/>
              </w:rPr>
            </w:pPr>
            <w:r w:rsidRPr="543319F8">
              <w:rPr>
                <w:rFonts w:eastAsia="Times New Roman"/>
                <w:b/>
                <w:bCs/>
              </w:rPr>
              <w:t>Narrative Criteria</w:t>
            </w:r>
          </w:p>
        </w:tc>
        <w:tc>
          <w:tcPr>
            <w:tcW w:w="1201" w:type="pct"/>
            <w:shd w:val="clear" w:color="auto" w:fill="E6E6E6"/>
            <w:vAlign w:val="center"/>
          </w:tcPr>
          <w:p w14:paraId="2DAD09ED" w14:textId="77777777" w:rsidR="008544AA" w:rsidRPr="00763B60" w:rsidRDefault="008544AA" w:rsidP="00763B60">
            <w:pPr>
              <w:pStyle w:val="BodyText"/>
              <w:spacing w:after="0"/>
              <w:rPr>
                <w:b/>
                <w:bCs/>
              </w:rPr>
            </w:pPr>
            <w:bookmarkStart w:id="92" w:name="_Toc50555877"/>
            <w:bookmarkStart w:id="93" w:name="_Toc50619616"/>
            <w:r w:rsidRPr="00763B60">
              <w:rPr>
                <w:b/>
                <w:bCs/>
              </w:rPr>
              <w:t>Maximum Points</w:t>
            </w:r>
            <w:bookmarkEnd w:id="92"/>
            <w:bookmarkEnd w:id="93"/>
          </w:p>
        </w:tc>
      </w:tr>
      <w:tr w:rsidR="008544AA" w:rsidRPr="00DC1DE3" w14:paraId="5A89D211" w14:textId="77777777" w:rsidTr="008A5BCD">
        <w:trPr>
          <w:cantSplit/>
          <w:tblHeader/>
        </w:trPr>
        <w:tc>
          <w:tcPr>
            <w:tcW w:w="3799" w:type="pct"/>
          </w:tcPr>
          <w:p w14:paraId="7D7EDDF1" w14:textId="3ED26563" w:rsidR="008544AA" w:rsidRPr="00DC1DE3" w:rsidRDefault="008544AA" w:rsidP="00763B60">
            <w:pPr>
              <w:pStyle w:val="BodyText"/>
              <w:spacing w:before="120" w:after="120"/>
              <w:rPr>
                <w:rFonts w:eastAsia="Times New Roman"/>
              </w:rPr>
            </w:pPr>
            <w:r w:rsidRPr="00DC1DE3">
              <w:rPr>
                <w:rFonts w:eastAsia="Times New Roman"/>
              </w:rPr>
              <w:t xml:space="preserve">Section </w:t>
            </w:r>
            <w:r w:rsidR="00544A1E">
              <w:rPr>
                <w:rFonts w:eastAsia="Times New Roman"/>
              </w:rPr>
              <w:t xml:space="preserve">1 </w:t>
            </w:r>
            <w:r w:rsidRPr="00DC1DE3">
              <w:rPr>
                <w:rFonts w:eastAsia="Times New Roman"/>
              </w:rPr>
              <w:t xml:space="preserve">– </w:t>
            </w:r>
            <w:r w:rsidR="008A5BCD">
              <w:rPr>
                <w:rFonts w:eastAsia="Times New Roman"/>
              </w:rPr>
              <w:t>Technical Assistance</w:t>
            </w:r>
            <w:r w:rsidR="00865680">
              <w:rPr>
                <w:rFonts w:eastAsia="Times New Roman"/>
              </w:rPr>
              <w:t xml:space="preserve"> and Evaluation</w:t>
            </w:r>
            <w:r w:rsidR="008A5BCD">
              <w:rPr>
                <w:rFonts w:eastAsia="Times New Roman"/>
              </w:rPr>
              <w:t xml:space="preserve"> Plan</w:t>
            </w:r>
          </w:p>
        </w:tc>
        <w:tc>
          <w:tcPr>
            <w:tcW w:w="1201" w:type="pct"/>
          </w:tcPr>
          <w:p w14:paraId="07156329" w14:textId="2C200C06" w:rsidR="008544AA" w:rsidRPr="00DC1DE3" w:rsidRDefault="00865680" w:rsidP="00763B60">
            <w:pPr>
              <w:pStyle w:val="BodyText"/>
              <w:spacing w:before="120" w:after="120"/>
              <w:rPr>
                <w:rFonts w:eastAsia="Times New Roman"/>
                <w:highlight w:val="yellow"/>
              </w:rPr>
            </w:pPr>
            <w:r w:rsidRPr="00865680">
              <w:rPr>
                <w:rFonts w:eastAsia="Times New Roman"/>
              </w:rPr>
              <w:t>0-40</w:t>
            </w:r>
          </w:p>
        </w:tc>
      </w:tr>
      <w:tr w:rsidR="008544AA" w:rsidRPr="00DC1DE3" w14:paraId="177F254A" w14:textId="77777777" w:rsidTr="008A5BCD">
        <w:trPr>
          <w:cantSplit/>
          <w:tblHeader/>
        </w:trPr>
        <w:tc>
          <w:tcPr>
            <w:tcW w:w="3799" w:type="pct"/>
          </w:tcPr>
          <w:p w14:paraId="2C68B19E" w14:textId="58F75769" w:rsidR="008544AA" w:rsidRPr="00DC1DE3" w:rsidRDefault="008544AA" w:rsidP="00763B60">
            <w:pPr>
              <w:pStyle w:val="BodyText"/>
              <w:spacing w:before="120" w:after="120"/>
              <w:rPr>
                <w:rFonts w:eastAsia="Times New Roman"/>
              </w:rPr>
            </w:pPr>
            <w:r w:rsidRPr="543319F8">
              <w:rPr>
                <w:rFonts w:eastAsia="Times New Roman"/>
              </w:rPr>
              <w:t xml:space="preserve">Section </w:t>
            </w:r>
            <w:r w:rsidR="008A5BCD">
              <w:rPr>
                <w:rFonts w:eastAsia="Times New Roman"/>
              </w:rPr>
              <w:t>2</w:t>
            </w:r>
            <w:r w:rsidRPr="543319F8">
              <w:rPr>
                <w:rFonts w:eastAsia="Times New Roman"/>
              </w:rPr>
              <w:t xml:space="preserve"> – </w:t>
            </w:r>
            <w:r w:rsidR="008A5BCD">
              <w:rPr>
                <w:rFonts w:eastAsia="Times New Roman"/>
              </w:rPr>
              <w:t>C</w:t>
            </w:r>
            <w:r w:rsidR="00865680">
              <w:rPr>
                <w:rFonts w:eastAsia="Times New Roman"/>
              </w:rPr>
              <w:t>ommunity of Practice Strategy</w:t>
            </w:r>
          </w:p>
        </w:tc>
        <w:tc>
          <w:tcPr>
            <w:tcW w:w="1201" w:type="pct"/>
          </w:tcPr>
          <w:p w14:paraId="4772BB10" w14:textId="51DB9030" w:rsidR="008544AA" w:rsidRPr="00DC1DE3" w:rsidRDefault="00865680" w:rsidP="00763B60">
            <w:pPr>
              <w:pStyle w:val="BodyText"/>
              <w:spacing w:before="120" w:after="120"/>
              <w:rPr>
                <w:rFonts w:eastAsia="Times New Roman"/>
                <w:highlight w:val="yellow"/>
              </w:rPr>
            </w:pPr>
            <w:r w:rsidRPr="00865680">
              <w:rPr>
                <w:rFonts w:eastAsia="Times New Roman"/>
              </w:rPr>
              <w:t>0-25</w:t>
            </w:r>
          </w:p>
        </w:tc>
      </w:tr>
      <w:tr w:rsidR="008544AA" w:rsidRPr="00DC1DE3" w14:paraId="537D7384" w14:textId="77777777" w:rsidTr="008A5BCD">
        <w:trPr>
          <w:cantSplit/>
          <w:tblHeader/>
        </w:trPr>
        <w:tc>
          <w:tcPr>
            <w:tcW w:w="3799" w:type="pct"/>
            <w:tcBorders>
              <w:bottom w:val="single" w:sz="4" w:space="0" w:color="auto"/>
            </w:tcBorders>
          </w:tcPr>
          <w:p w14:paraId="03C63E82" w14:textId="3CC2F7DD" w:rsidR="008544AA" w:rsidRPr="00DC1DE3" w:rsidRDefault="008544AA" w:rsidP="00763B60">
            <w:pPr>
              <w:pStyle w:val="BodyText"/>
              <w:spacing w:before="120" w:after="120"/>
              <w:rPr>
                <w:rFonts w:eastAsia="Times New Roman"/>
              </w:rPr>
            </w:pPr>
            <w:r w:rsidRPr="543319F8">
              <w:rPr>
                <w:rFonts w:eastAsia="Times New Roman"/>
              </w:rPr>
              <w:t xml:space="preserve">Section </w:t>
            </w:r>
            <w:r w:rsidR="008A5BCD">
              <w:rPr>
                <w:rFonts w:eastAsia="Times New Roman"/>
              </w:rPr>
              <w:t>3</w:t>
            </w:r>
            <w:r w:rsidRPr="543319F8">
              <w:rPr>
                <w:rFonts w:eastAsia="Times New Roman"/>
              </w:rPr>
              <w:t xml:space="preserve"> – </w:t>
            </w:r>
            <w:r w:rsidR="00865680">
              <w:rPr>
                <w:rFonts w:eastAsia="Times New Roman"/>
              </w:rPr>
              <w:t>Organizational Capacity and Experience</w:t>
            </w:r>
          </w:p>
        </w:tc>
        <w:tc>
          <w:tcPr>
            <w:tcW w:w="1201" w:type="pct"/>
            <w:tcBorders>
              <w:bottom w:val="single" w:sz="4" w:space="0" w:color="auto"/>
            </w:tcBorders>
          </w:tcPr>
          <w:p w14:paraId="6758C4A9" w14:textId="66ED96A4" w:rsidR="008544AA" w:rsidRPr="00DC1DE3" w:rsidRDefault="00865680" w:rsidP="00763B60">
            <w:pPr>
              <w:pStyle w:val="BodyText"/>
              <w:spacing w:before="120" w:after="120"/>
              <w:rPr>
                <w:rFonts w:eastAsia="Times New Roman"/>
                <w:highlight w:val="yellow"/>
              </w:rPr>
            </w:pPr>
            <w:r w:rsidRPr="00865680">
              <w:rPr>
                <w:rFonts w:eastAsia="Times New Roman"/>
              </w:rPr>
              <w:t>0-25</w:t>
            </w:r>
          </w:p>
        </w:tc>
      </w:tr>
      <w:tr w:rsidR="00865680" w:rsidRPr="00DC1DE3" w14:paraId="7C18A7F5" w14:textId="77777777" w:rsidTr="008A5BCD">
        <w:trPr>
          <w:cantSplit/>
          <w:tblHeader/>
        </w:trPr>
        <w:tc>
          <w:tcPr>
            <w:tcW w:w="3799" w:type="pct"/>
            <w:tcBorders>
              <w:bottom w:val="single" w:sz="4" w:space="0" w:color="auto"/>
            </w:tcBorders>
          </w:tcPr>
          <w:p w14:paraId="529DA85B" w14:textId="67989C6F" w:rsidR="00865680" w:rsidRPr="543319F8" w:rsidRDefault="00865680" w:rsidP="00763B60">
            <w:pPr>
              <w:pStyle w:val="BodyText"/>
              <w:spacing w:before="120" w:after="120"/>
              <w:rPr>
                <w:rFonts w:eastAsia="Times New Roman"/>
              </w:rPr>
            </w:pPr>
            <w:r>
              <w:rPr>
                <w:rFonts w:eastAsia="Times New Roman"/>
              </w:rPr>
              <w:t xml:space="preserve">Section 4 – Budget Summary Narrative and Plan </w:t>
            </w:r>
          </w:p>
        </w:tc>
        <w:tc>
          <w:tcPr>
            <w:tcW w:w="1201" w:type="pct"/>
            <w:tcBorders>
              <w:bottom w:val="single" w:sz="4" w:space="0" w:color="auto"/>
            </w:tcBorders>
          </w:tcPr>
          <w:p w14:paraId="05507EAF" w14:textId="50E776CD" w:rsidR="00865680" w:rsidRPr="00DC1DE3" w:rsidRDefault="00865680" w:rsidP="00763B60">
            <w:pPr>
              <w:pStyle w:val="BodyText"/>
              <w:spacing w:before="120" w:after="120"/>
              <w:rPr>
                <w:rFonts w:eastAsia="Times New Roman"/>
                <w:highlight w:val="yellow"/>
              </w:rPr>
            </w:pPr>
            <w:r w:rsidRPr="00865680">
              <w:rPr>
                <w:rFonts w:eastAsia="Times New Roman"/>
              </w:rPr>
              <w:t>0-10</w:t>
            </w:r>
          </w:p>
        </w:tc>
      </w:tr>
      <w:tr w:rsidR="008544AA" w:rsidRPr="00DC1DE3" w14:paraId="04C77340" w14:textId="77777777" w:rsidTr="008A5BCD">
        <w:trPr>
          <w:cantSplit/>
          <w:trHeight w:val="562"/>
          <w:tblHeader/>
        </w:trPr>
        <w:tc>
          <w:tcPr>
            <w:tcW w:w="3799" w:type="pct"/>
            <w:shd w:val="clear" w:color="auto" w:fill="E6E6E6"/>
            <w:vAlign w:val="center"/>
          </w:tcPr>
          <w:p w14:paraId="0EC56CEB" w14:textId="7F3AEF76" w:rsidR="008544AA" w:rsidRPr="00DC1DE3" w:rsidRDefault="008544AA" w:rsidP="00763B60">
            <w:pPr>
              <w:pStyle w:val="BodyText"/>
              <w:spacing w:before="120" w:after="120"/>
              <w:rPr>
                <w:rFonts w:eastAsia="Times New Roman"/>
                <w:b/>
              </w:rPr>
            </w:pPr>
            <w:r w:rsidRPr="00DC1DE3">
              <w:rPr>
                <w:rFonts w:eastAsia="Times New Roman"/>
                <w:b/>
              </w:rPr>
              <w:t xml:space="preserve">Total </w:t>
            </w:r>
            <w:r w:rsidR="00023511">
              <w:rPr>
                <w:rFonts w:eastAsia="Times New Roman"/>
                <w:b/>
              </w:rPr>
              <w:t>Points Available</w:t>
            </w:r>
          </w:p>
        </w:tc>
        <w:tc>
          <w:tcPr>
            <w:tcW w:w="1201" w:type="pct"/>
            <w:shd w:val="clear" w:color="auto" w:fill="E6E6E6"/>
            <w:vAlign w:val="center"/>
          </w:tcPr>
          <w:p w14:paraId="46F01E4E" w14:textId="77777777" w:rsidR="008544AA" w:rsidRPr="00DC1DE3" w:rsidRDefault="008544AA" w:rsidP="00763B60">
            <w:pPr>
              <w:pStyle w:val="BodyText"/>
              <w:spacing w:before="120" w:after="120"/>
              <w:rPr>
                <w:rFonts w:eastAsia="Times New Roman"/>
                <w:b/>
                <w:highlight w:val="yellow"/>
              </w:rPr>
            </w:pPr>
            <w:r w:rsidRPr="00865680">
              <w:rPr>
                <w:rFonts w:eastAsia="Times New Roman"/>
                <w:b/>
              </w:rPr>
              <w:t>100</w:t>
            </w:r>
          </w:p>
        </w:tc>
      </w:tr>
    </w:tbl>
    <w:p w14:paraId="692C57E1" w14:textId="77777777" w:rsidR="00B43A74" w:rsidRDefault="00B43A74" w:rsidP="00F470F1">
      <w:pPr>
        <w:pStyle w:val="BodyText"/>
      </w:pPr>
    </w:p>
    <w:p w14:paraId="0FDCEF05" w14:textId="33D182CB" w:rsidR="00B81A1A" w:rsidRDefault="008544AA" w:rsidP="00F470F1">
      <w:pPr>
        <w:pStyle w:val="BodyText"/>
        <w:rPr>
          <w:lang w:val="en-US"/>
        </w:rPr>
      </w:pPr>
      <w:r w:rsidRPr="01476CFA">
        <w:rPr>
          <w:lang w:val="en-US"/>
        </w:rPr>
        <w:t>Only proposals that score in the top tier are deemed meritorious and</w:t>
      </w:r>
      <w:r w:rsidR="00AB2B92">
        <w:rPr>
          <w:lang w:val="en-US"/>
        </w:rPr>
        <w:t>,</w:t>
      </w:r>
      <w:r w:rsidRPr="01476CFA">
        <w:rPr>
          <w:lang w:val="en-US"/>
        </w:rPr>
        <w:t xml:space="preserve"> in the state's best interest</w:t>
      </w:r>
      <w:r w:rsidR="00AB2B92">
        <w:rPr>
          <w:lang w:val="en-US"/>
        </w:rPr>
        <w:t>,</w:t>
      </w:r>
      <w:r w:rsidRPr="01476CFA">
        <w:rPr>
          <w:lang w:val="en-US"/>
        </w:rPr>
        <w:t xml:space="preserve"> will be recommended for funding. The EDD reserves the right to conduct on-site reviews before making final funding recommendations. After completion of the evaluation process, the EDD Director will receive the funding recommendations. The LWDA Secretary, in </w:t>
      </w:r>
      <w:r w:rsidRPr="01476CFA">
        <w:rPr>
          <w:lang w:val="en-US"/>
        </w:rPr>
        <w:lastRenderedPageBreak/>
        <w:t xml:space="preserve">consultation with the EDD, will make final funding decisions based on the ranked scores and other factors such as the </w:t>
      </w:r>
      <w:r w:rsidR="00EA101A">
        <w:rPr>
          <w:lang w:val="en-US"/>
        </w:rPr>
        <w:t>ability to provide services across the state/ETPP locations</w:t>
      </w:r>
      <w:r w:rsidRPr="01476CFA">
        <w:rPr>
          <w:lang w:val="en-US"/>
        </w:rPr>
        <w:t>, past performance, innovative approach, and uniqueness of the project</w:t>
      </w:r>
      <w:bookmarkStart w:id="94" w:name="_2u6wntf"/>
      <w:bookmarkStart w:id="95" w:name="_Toc116915394"/>
      <w:bookmarkStart w:id="96" w:name="_Hlk159100677"/>
      <w:bookmarkEnd w:id="94"/>
      <w:bookmarkEnd w:id="95"/>
      <w:r w:rsidR="00B81A1A">
        <w:rPr>
          <w:lang w:val="en-US"/>
        </w:rPr>
        <w:t>.</w:t>
      </w:r>
    </w:p>
    <w:p w14:paraId="60E3659C" w14:textId="209BB0DE" w:rsidR="008544AA" w:rsidRPr="00DC1DE3" w:rsidRDefault="008544AA" w:rsidP="00F470F1">
      <w:pPr>
        <w:pStyle w:val="BodyText"/>
      </w:pPr>
      <w:r w:rsidRPr="01476CFA">
        <w:rPr>
          <w:lang w:val="en-US"/>
        </w:rPr>
        <w:t xml:space="preserve">A proposal may be disqualified for not meeting the application requirements. Please read the SFP carefully and consult </w:t>
      </w:r>
      <w:r w:rsidRPr="00504A49">
        <w:rPr>
          <w:i/>
          <w:iCs/>
          <w:lang w:val="en-US"/>
        </w:rPr>
        <w:t>Appendix A: Proposal Package Instructions</w:t>
      </w:r>
      <w:r w:rsidRPr="01476CFA">
        <w:rPr>
          <w:lang w:val="en-US"/>
        </w:rPr>
        <w:t xml:space="preserve"> for detailed instructions on adequately completing and submitting all application elements to ensure all applicable requirements have been met.</w:t>
      </w:r>
    </w:p>
    <w:p w14:paraId="282EA4AF" w14:textId="072F6FBA" w:rsidR="008544AA" w:rsidRPr="00DC1DE3" w:rsidRDefault="008544AA" w:rsidP="00F470F1">
      <w:pPr>
        <w:pStyle w:val="BodyText"/>
      </w:pPr>
      <w:r w:rsidRPr="00DC1DE3">
        <w:t>Disqualification decisions can be appealed, but disqualifications can only be overturned in specific instances. Please take into consideration the following:</w:t>
      </w:r>
    </w:p>
    <w:p w14:paraId="20709C40" w14:textId="10E632A2" w:rsidR="008544AA" w:rsidRPr="00DC1DE3" w:rsidRDefault="008544AA" w:rsidP="00F470F1">
      <w:pPr>
        <w:pStyle w:val="ListParagraph"/>
      </w:pPr>
      <w:r w:rsidRPr="00DC1DE3">
        <w:t>There is no appeal process for not meeting the proposal submission deadline.</w:t>
      </w:r>
    </w:p>
    <w:p w14:paraId="1B271274" w14:textId="77777777" w:rsidR="008544AA" w:rsidRPr="00DC1DE3" w:rsidRDefault="008544AA" w:rsidP="00F470F1">
      <w:pPr>
        <w:pStyle w:val="ListParagraph"/>
      </w:pPr>
      <w:r w:rsidRPr="00DC1DE3">
        <w:t>Final funding decisions cannot be appealed.</w:t>
      </w:r>
    </w:p>
    <w:p w14:paraId="44FB9F64" w14:textId="0B93F0B9" w:rsidR="008544AA" w:rsidRPr="00B43A74" w:rsidRDefault="008544AA" w:rsidP="00F470F1">
      <w:pPr>
        <w:pStyle w:val="ListParagraph"/>
      </w:pPr>
      <w:r w:rsidRPr="00DC1DE3">
        <w:t xml:space="preserve">The application requirements are those conditions that must be met for the proposal to be forwarded for evaluation and scoring. </w:t>
      </w:r>
      <w:r w:rsidRPr="00B43A74">
        <w:t xml:space="preserve">See </w:t>
      </w:r>
      <w:r w:rsidRPr="00B43A74">
        <w:rPr>
          <w:shd w:val="clear" w:color="auto" w:fill="FFFFFF"/>
        </w:rPr>
        <w:t xml:space="preserve">Section </w:t>
      </w:r>
      <w:r w:rsidR="00E75083" w:rsidRPr="00B43A74">
        <w:rPr>
          <w:shd w:val="clear" w:color="auto" w:fill="FFFFFF"/>
        </w:rPr>
        <w:t>4</w:t>
      </w:r>
      <w:r w:rsidRPr="00B43A74">
        <w:rPr>
          <w:shd w:val="clear" w:color="auto" w:fill="FFFFFF"/>
        </w:rPr>
        <w:t>: Budget</w:t>
      </w:r>
      <w:r w:rsidR="00E75083" w:rsidRPr="00B43A74">
        <w:rPr>
          <w:shd w:val="clear" w:color="auto" w:fill="FFFFFF"/>
        </w:rPr>
        <w:t>ing and Performance</w:t>
      </w:r>
      <w:r w:rsidRPr="00B43A74">
        <w:rPr>
          <w:i/>
          <w:iCs/>
          <w:shd w:val="clear" w:color="auto" w:fill="FFFFFF"/>
        </w:rPr>
        <w:t xml:space="preserve"> </w:t>
      </w:r>
      <w:r w:rsidRPr="00B43A74">
        <w:rPr>
          <w:shd w:val="clear" w:color="auto" w:fill="FFFFFF"/>
        </w:rPr>
        <w:t xml:space="preserve">Requirements, Section </w:t>
      </w:r>
      <w:r w:rsidR="00E75083" w:rsidRPr="00B43A74">
        <w:rPr>
          <w:shd w:val="clear" w:color="auto" w:fill="FFFFFF"/>
        </w:rPr>
        <w:t>5</w:t>
      </w:r>
      <w:r w:rsidRPr="00B43A74">
        <w:rPr>
          <w:shd w:val="clear" w:color="auto" w:fill="FFFFFF"/>
        </w:rPr>
        <w:t xml:space="preserve">: Submission, Section </w:t>
      </w:r>
      <w:r w:rsidR="00E75083" w:rsidRPr="00B43A74">
        <w:rPr>
          <w:shd w:val="clear" w:color="auto" w:fill="FFFFFF"/>
        </w:rPr>
        <w:t>6</w:t>
      </w:r>
      <w:r w:rsidRPr="00B43A74">
        <w:rPr>
          <w:shd w:val="clear" w:color="auto" w:fill="FFFFFF"/>
        </w:rPr>
        <w:t>: Award</w:t>
      </w:r>
      <w:r w:rsidR="00E75083" w:rsidRPr="00B43A74">
        <w:rPr>
          <w:shd w:val="clear" w:color="auto" w:fill="FFFFFF"/>
        </w:rPr>
        <w:t xml:space="preserve"> and Contracting Process</w:t>
      </w:r>
      <w:r w:rsidRPr="00B43A74">
        <w:rPr>
          <w:shd w:val="clear" w:color="auto" w:fill="FFFFFF"/>
        </w:rPr>
        <w:t>, and Appendix A: Proposal Package Instructions for more information on application and submission requirements.</w:t>
      </w:r>
    </w:p>
    <w:p w14:paraId="264B4842" w14:textId="26F5EDDF" w:rsidR="008544AA" w:rsidRPr="00DC1DE3" w:rsidRDefault="008544AA" w:rsidP="00F470F1">
      <w:pPr>
        <w:pStyle w:val="BodyText"/>
      </w:pPr>
      <w:r w:rsidRPr="00B43A74">
        <w:t>The EDD will distribute disqualification letters to applicants by email.</w:t>
      </w:r>
      <w:r>
        <w:t xml:space="preserve"> Applicants have seven calendar days from the date their disqualification </w:t>
      </w:r>
      <w:r w:rsidR="00E75083">
        <w:t xml:space="preserve">letter </w:t>
      </w:r>
      <w:r>
        <w:t xml:space="preserve">is </w:t>
      </w:r>
      <w:r w:rsidR="4808E176">
        <w:t>emailed</w:t>
      </w:r>
      <w:r w:rsidR="1FA2BBE6">
        <w:t xml:space="preserve"> </w:t>
      </w:r>
      <w:r>
        <w:t xml:space="preserve">in which to appeal. Please send all appeals </w:t>
      </w:r>
      <w:r w:rsidRPr="00763B60">
        <w:t xml:space="preserve">to </w:t>
      </w:r>
      <w:bookmarkStart w:id="97" w:name="_Hlk207970672"/>
      <w:r w:rsidR="00977C55" w:rsidRPr="005B7723">
        <w:t>WSBSFP3@edd.ca.gov</w:t>
      </w:r>
      <w:r>
        <w:t xml:space="preserve"> </w:t>
      </w:r>
      <w:bookmarkEnd w:id="97"/>
      <w:r w:rsidR="00E75083">
        <w:t xml:space="preserve">by </w:t>
      </w:r>
      <w:r>
        <w:t xml:space="preserve">the </w:t>
      </w:r>
      <w:r w:rsidR="00E75083">
        <w:t xml:space="preserve">close of business </w:t>
      </w:r>
      <w:r>
        <w:t>on the seventh calendar day.</w:t>
      </w:r>
    </w:p>
    <w:p w14:paraId="2DD7AA96" w14:textId="77777777" w:rsidR="008544AA" w:rsidRPr="00DC1DE3" w:rsidRDefault="008544AA" w:rsidP="00F470F1">
      <w:pPr>
        <w:pStyle w:val="BodyText"/>
      </w:pPr>
      <w:r w:rsidRPr="543319F8">
        <w:rPr>
          <w:lang w:val="en-US"/>
        </w:rPr>
        <w:t xml:space="preserve">Each appellant must submit all the facts related to their appeal </w:t>
      </w:r>
      <w:r w:rsidRPr="00A040FC">
        <w:rPr>
          <w:lang w:val="en-US"/>
        </w:rPr>
        <w:t>in writing</w:t>
      </w:r>
      <w:r w:rsidRPr="543319F8">
        <w:rPr>
          <w:lang w:val="en-US"/>
        </w:rPr>
        <w:t>. The review will be limited to the information provided in writing. To be considered for review, the appeal must contain the following information:</w:t>
      </w:r>
    </w:p>
    <w:p w14:paraId="45B7F98F" w14:textId="70A4A995" w:rsidR="008544AA" w:rsidRPr="00DC1DE3" w:rsidRDefault="008544AA" w:rsidP="00F470F1">
      <w:pPr>
        <w:pStyle w:val="ListParagraph"/>
      </w:pPr>
      <w:r w:rsidRPr="00DC1DE3">
        <w:t>Appealing organization’s full name, address, and telephone number</w:t>
      </w:r>
      <w:r w:rsidR="00E60407">
        <w:t>.</w:t>
      </w:r>
    </w:p>
    <w:p w14:paraId="3DEDBE36" w14:textId="77777777" w:rsidR="008544AA" w:rsidRPr="00DC1DE3" w:rsidRDefault="008544AA" w:rsidP="00F470F1">
      <w:pPr>
        <w:pStyle w:val="ListParagraph"/>
      </w:pPr>
      <w:r w:rsidRPr="00DC1DE3">
        <w:t>A brief statement of the reasons for the appeal, including citations from the SFP and other pertinent documents.</w:t>
      </w:r>
    </w:p>
    <w:p w14:paraId="64A70098" w14:textId="77777777" w:rsidR="008544AA" w:rsidRPr="00DC1DE3" w:rsidRDefault="008544AA" w:rsidP="00F470F1">
      <w:pPr>
        <w:pStyle w:val="ListParagraph"/>
      </w:pPr>
      <w:r w:rsidRPr="00DC1DE3">
        <w:t>A statement of the relief sought.</w:t>
      </w:r>
    </w:p>
    <w:p w14:paraId="75CEC565" w14:textId="0CC10246" w:rsidR="008544AA" w:rsidRPr="00DC1DE3" w:rsidRDefault="008544AA" w:rsidP="00F470F1">
      <w:pPr>
        <w:pStyle w:val="ListParagraph"/>
      </w:pPr>
      <w:r w:rsidRPr="00DC1DE3">
        <w:t>All corrective documentation</w:t>
      </w:r>
      <w:r w:rsidR="00E60407">
        <w:t>.</w:t>
      </w:r>
    </w:p>
    <w:p w14:paraId="1877AF67" w14:textId="73303688" w:rsidR="008544AA" w:rsidRPr="00DC1DE3" w:rsidRDefault="008544AA" w:rsidP="00F470F1">
      <w:pPr>
        <w:pStyle w:val="ListParagraph"/>
      </w:pPr>
      <w:r w:rsidRPr="00DC1DE3">
        <w:t>A scanned copy of the statement with the original wet signature of the authorized signatory authority for the applicant organization</w:t>
      </w:r>
      <w:r w:rsidR="00E60407">
        <w:t>.</w:t>
      </w:r>
    </w:p>
    <w:p w14:paraId="4290B1B3" w14:textId="38E7D18B" w:rsidR="008544AA" w:rsidRPr="00DC1DE3" w:rsidRDefault="008544AA" w:rsidP="00F470F1">
      <w:pPr>
        <w:pStyle w:val="ListParagraph"/>
      </w:pPr>
      <w:r w:rsidRPr="00DC1DE3">
        <w:t xml:space="preserve">Appeals must be submitted in PDF to </w:t>
      </w:r>
      <w:r w:rsidR="00977C55" w:rsidRPr="000B3C87">
        <w:t>WSBSFP3@edd.ca.gov</w:t>
      </w:r>
      <w:r w:rsidRPr="000B3C87">
        <w:t>.</w:t>
      </w:r>
      <w:r w:rsidRPr="00DC1DE3">
        <w:t xml:space="preserve"> The </w:t>
      </w:r>
      <w:r w:rsidR="00DB7D51" w:rsidRPr="00941408">
        <w:t>EDD</w:t>
      </w:r>
      <w:r w:rsidRPr="00DC1DE3">
        <w:t xml:space="preserve"> will respond to all appeals via email. The review of each appeal will be limited to determining whether the applicant's corrective actions successfully addressed the non-responsiveness indicated in </w:t>
      </w:r>
      <w:r w:rsidRPr="00DC1DE3">
        <w:lastRenderedPageBreak/>
        <w:t>their disqualification letter and whether the proposal now meets the minimum application requirements relayed by the SFP to be evaluated.</w:t>
      </w:r>
    </w:p>
    <w:p w14:paraId="7F3144CB" w14:textId="24AE6DFD" w:rsidR="008544AA" w:rsidRPr="00DC1DE3" w:rsidRDefault="008544AA" w:rsidP="00291014">
      <w:pPr>
        <w:pStyle w:val="Heading3"/>
      </w:pPr>
      <w:bookmarkStart w:id="98" w:name="_Toc167356438"/>
      <w:bookmarkStart w:id="99" w:name="_Toc117246179"/>
      <w:bookmarkStart w:id="100" w:name="_Toc130496188"/>
      <w:bookmarkStart w:id="101" w:name="_Toc167894674"/>
      <w:bookmarkEnd w:id="96"/>
      <w:r w:rsidRPr="00DC1DE3">
        <w:t>Award Notification</w:t>
      </w:r>
      <w:bookmarkEnd w:id="98"/>
      <w:bookmarkEnd w:id="99"/>
      <w:bookmarkEnd w:id="100"/>
      <w:bookmarkEnd w:id="101"/>
    </w:p>
    <w:p w14:paraId="022E1795" w14:textId="1106E496" w:rsidR="00E60407" w:rsidRDefault="008544AA" w:rsidP="00E60407">
      <w:pPr>
        <w:pStyle w:val="BodyText"/>
      </w:pPr>
      <w:r w:rsidRPr="543319F8">
        <w:rPr>
          <w:lang w:val="en-US"/>
        </w:rPr>
        <w:t xml:space="preserve">Awards will be announced on the EDD website, and applicants will be notified of the funding decisions. Award decision notices are anticipated to be mailed by </w:t>
      </w:r>
      <w:r w:rsidR="00A10AE1" w:rsidRPr="00176A29">
        <w:rPr>
          <w:lang w:val="en-US"/>
        </w:rPr>
        <w:t>April</w:t>
      </w:r>
      <w:r w:rsidR="00495FAB" w:rsidRPr="00176A29">
        <w:rPr>
          <w:lang w:val="en-US"/>
        </w:rPr>
        <w:t xml:space="preserve"> 31,</w:t>
      </w:r>
      <w:r w:rsidR="00E77030" w:rsidRPr="00176A29">
        <w:rPr>
          <w:lang w:val="en-US"/>
        </w:rPr>
        <w:t xml:space="preserve"> 2026</w:t>
      </w:r>
      <w:r w:rsidRPr="00176A29">
        <w:rPr>
          <w:lang w:val="en-US"/>
        </w:rPr>
        <w:t>.</w:t>
      </w:r>
      <w:r w:rsidRPr="543319F8">
        <w:rPr>
          <w:lang w:val="en-US"/>
        </w:rPr>
        <w:t xml:space="preserve"> An award offer does not constitute approval of the application as submitted. The applicant is required to negotiate with the EDD to finalize program components, staffing levels, budget elements, and administrative systems to support grant implementation. If the negotiations do not result in a mutually acceptable submission, the EDD reserves the right to terminate negotiations and decline to fund the application.</w:t>
      </w:r>
      <w:bookmarkStart w:id="102" w:name="_Toc117246180"/>
      <w:bookmarkStart w:id="103" w:name="_Toc130496189"/>
      <w:bookmarkStart w:id="104" w:name="_Toc167356439"/>
    </w:p>
    <w:p w14:paraId="6598D4FD" w14:textId="21A997B7" w:rsidR="008544AA" w:rsidRPr="00DC1DE3" w:rsidRDefault="008544AA" w:rsidP="00291014">
      <w:pPr>
        <w:pStyle w:val="Heading3"/>
      </w:pPr>
      <w:bookmarkStart w:id="105" w:name="_Toc167894675"/>
      <w:r w:rsidRPr="00DC1DE3">
        <w:t>Agreement and Contracting</w:t>
      </w:r>
      <w:bookmarkEnd w:id="102"/>
      <w:bookmarkEnd w:id="103"/>
      <w:bookmarkEnd w:id="104"/>
      <w:bookmarkEnd w:id="105"/>
    </w:p>
    <w:p w14:paraId="332FE340" w14:textId="2973826A" w:rsidR="008544AA" w:rsidRPr="00927064" w:rsidRDefault="008544AA" w:rsidP="00F470F1">
      <w:pPr>
        <w:pStyle w:val="BodyText"/>
      </w:pPr>
      <w:bookmarkStart w:id="106" w:name="_19c6y18"/>
      <w:bookmarkStart w:id="107" w:name="_Hlk130055003"/>
      <w:bookmarkStart w:id="108" w:name="_Hlk130053198"/>
      <w:bookmarkEnd w:id="106"/>
      <w:r w:rsidRPr="00927064">
        <w:rPr>
          <w:lang w:val="en-US"/>
        </w:rPr>
        <w:t xml:space="preserve">The EDD will contact the subrecipients to finalize the Subgrant Agreement (contract) details. The EDD may request that the contracts incorporate changes to the original project proposals. After all exhibits are finalized, the awardee will officially contract with </w:t>
      </w:r>
      <w:r w:rsidR="00434EEC" w:rsidRPr="00927064">
        <w:rPr>
          <w:lang w:val="en-US"/>
        </w:rPr>
        <w:t xml:space="preserve">the </w:t>
      </w:r>
      <w:r w:rsidRPr="00927064">
        <w:rPr>
          <w:lang w:val="en-US"/>
        </w:rPr>
        <w:t xml:space="preserve">EDD to provide the services and serve the number of </w:t>
      </w:r>
      <w:r w:rsidR="006B410E">
        <w:rPr>
          <w:lang w:val="en-US"/>
        </w:rPr>
        <w:t>grantee</w:t>
      </w:r>
      <w:r w:rsidRPr="00927064">
        <w:rPr>
          <w:lang w:val="en-US"/>
        </w:rPr>
        <w:t>s listed in the contract for the amount awarded. Any unauthorized deviation or non-responsiveness may be grounds for breach of contract with legal repercussions. Please ensure that the contract goals and objectives are feasible and reasonable for your organization to accomplish and that your infrastructure supports the administrative and operational requirements. The state expects contract negotiations to begin</w:t>
      </w:r>
      <w:r w:rsidRPr="00927064">
        <w:rPr>
          <w:rFonts w:eastAsia="Arial"/>
          <w:lang w:val="en-US"/>
        </w:rPr>
        <w:t xml:space="preserve"> </w:t>
      </w:r>
      <w:r w:rsidRPr="00927064">
        <w:rPr>
          <w:lang w:val="en-US"/>
        </w:rPr>
        <w:t>immediately after providing official award notices. A Notice of Award does not automatically entitle the subrecipient to funding. The EDD reserves the right to terminate any funding offer if a subrecipient does not negotiate in good faith. Subrecipients are advised to consider whether official action by a County Board of Supervisors, City Council, or other similar decision-making body will be necessary before accepting funds awarded under this SFP. The time needed for such official action will affect the subrecipient’s ability to meet the project terms and conditions and the projected work plan.</w:t>
      </w:r>
    </w:p>
    <w:p w14:paraId="2C02F080" w14:textId="0D36BA63" w:rsidR="008544AA" w:rsidRDefault="00927064" w:rsidP="00F470F1">
      <w:pPr>
        <w:pStyle w:val="BodyText"/>
        <w:rPr>
          <w:lang w:val="en-US"/>
        </w:rPr>
      </w:pPr>
      <w:r w:rsidRPr="001A7E7D">
        <w:rPr>
          <w:lang w:val="en-US"/>
        </w:rPr>
        <w:t>The</w:t>
      </w:r>
      <w:r w:rsidR="008544AA" w:rsidRPr="001A7E7D">
        <w:rPr>
          <w:lang w:val="en-US"/>
        </w:rPr>
        <w:t xml:space="preserve"> project selected for funding </w:t>
      </w:r>
      <w:r w:rsidRPr="001A7E7D">
        <w:rPr>
          <w:lang w:val="en-US"/>
        </w:rPr>
        <w:t>is</w:t>
      </w:r>
      <w:r w:rsidR="008544AA" w:rsidRPr="001A7E7D">
        <w:rPr>
          <w:lang w:val="en-US"/>
        </w:rPr>
        <w:t xml:space="preserve"> contingent upon the revision and approval of the contract exhibits. Project exhibits are not automatically approved. Subrecipients may be required to revise the project exhibits to comply with federal and state mandates during the approval and contract negotiation process. </w:t>
      </w:r>
      <w:r w:rsidR="008544AA" w:rsidRPr="00176A29">
        <w:rPr>
          <w:lang w:val="en-US"/>
        </w:rPr>
        <w:t xml:space="preserve">The </w:t>
      </w:r>
      <w:r w:rsidR="00EB7B1C" w:rsidRPr="00176A29">
        <w:rPr>
          <w:lang w:val="en-US"/>
        </w:rPr>
        <w:t>Special Initiatives Support Unit</w:t>
      </w:r>
      <w:r w:rsidR="008544AA" w:rsidRPr="001A7E7D">
        <w:rPr>
          <w:lang w:val="en-US"/>
        </w:rPr>
        <w:t xml:space="preserve"> will guide finalizing the exhibits and verify that all requirements are met to be incorporated into the official Subgrant Agreement (contract). The subrecipients must submit a </w:t>
      </w:r>
      <w:r w:rsidR="003D5AD4" w:rsidRPr="001A7E7D">
        <w:rPr>
          <w:lang w:val="en-US"/>
        </w:rPr>
        <w:t>R</w:t>
      </w:r>
      <w:r w:rsidR="008544AA" w:rsidRPr="001A7E7D">
        <w:rPr>
          <w:lang w:val="en-US"/>
        </w:rPr>
        <w:t xml:space="preserve">esolution for </w:t>
      </w:r>
      <w:r w:rsidR="003D5AD4" w:rsidRPr="001A7E7D">
        <w:rPr>
          <w:lang w:val="en-US"/>
        </w:rPr>
        <w:t>S</w:t>
      </w:r>
      <w:r w:rsidR="008544AA" w:rsidRPr="001A7E7D">
        <w:rPr>
          <w:lang w:val="en-US"/>
        </w:rPr>
        <w:t xml:space="preserve">ignatory </w:t>
      </w:r>
      <w:r w:rsidR="003D5AD4" w:rsidRPr="001A7E7D">
        <w:rPr>
          <w:lang w:val="en-US"/>
        </w:rPr>
        <w:t>A</w:t>
      </w:r>
      <w:r w:rsidR="008544AA" w:rsidRPr="001A7E7D">
        <w:rPr>
          <w:lang w:val="en-US"/>
        </w:rPr>
        <w:t>uthority</w:t>
      </w:r>
      <w:r w:rsidR="003D5AD4" w:rsidRPr="001A7E7D">
        <w:rPr>
          <w:lang w:val="en-US"/>
        </w:rPr>
        <w:t>,</w:t>
      </w:r>
      <w:r w:rsidR="008544AA" w:rsidRPr="001A7E7D">
        <w:rPr>
          <w:lang w:val="en-US"/>
        </w:rPr>
        <w:t xml:space="preserve"> designating the position having the authority to sign for the organization. The EDD reserves the right to rescind any funding offer if a subrecipient does not comply with the revision process and the terms of the Subgrant Agreement.</w:t>
      </w:r>
    </w:p>
    <w:p w14:paraId="513AE318" w14:textId="79A72B83" w:rsidR="00080D80" w:rsidRDefault="00080D80" w:rsidP="00F470F1">
      <w:pPr>
        <w:pStyle w:val="BodyText"/>
        <w:rPr>
          <w:lang w:val="en-US"/>
        </w:rPr>
      </w:pPr>
      <w:r>
        <w:rPr>
          <w:lang w:val="en-US"/>
        </w:rPr>
        <w:t>We will contact the awardee to negotiate and finalize contract details. We will use the following process:</w:t>
      </w:r>
    </w:p>
    <w:p w14:paraId="0CB8B0D4" w14:textId="271B4DE1" w:rsidR="00080D80" w:rsidRDefault="00080D80" w:rsidP="00086CF0">
      <w:pPr>
        <w:pStyle w:val="BodyText"/>
        <w:numPr>
          <w:ilvl w:val="0"/>
          <w:numId w:val="21"/>
        </w:numPr>
        <w:rPr>
          <w:lang w:val="en-US"/>
        </w:rPr>
      </w:pPr>
      <w:r w:rsidRPr="00080D80">
        <w:rPr>
          <w:b/>
          <w:bCs/>
          <w:lang w:val="en-US"/>
        </w:rPr>
        <w:lastRenderedPageBreak/>
        <w:t>Notify awardee</w:t>
      </w:r>
      <w:r>
        <w:rPr>
          <w:lang w:val="en-US"/>
        </w:rPr>
        <w:t xml:space="preserve">: If selected, we will offer you a Notice of Award on the contract. Please note that this Award does not automatically guarantee the awardee </w:t>
      </w:r>
      <w:r w:rsidR="005323E4">
        <w:rPr>
          <w:lang w:val="en-US"/>
        </w:rPr>
        <w:t>will receive</w:t>
      </w:r>
      <w:r>
        <w:rPr>
          <w:lang w:val="en-US"/>
        </w:rPr>
        <w:t xml:space="preserve"> funding.</w:t>
      </w:r>
    </w:p>
    <w:p w14:paraId="05CC6F74" w14:textId="2B7C22FA" w:rsidR="00080D80" w:rsidRDefault="00080D80" w:rsidP="00086CF0">
      <w:pPr>
        <w:pStyle w:val="BodyText"/>
        <w:numPr>
          <w:ilvl w:val="0"/>
          <w:numId w:val="21"/>
        </w:numPr>
        <w:spacing w:after="0"/>
        <w:rPr>
          <w:lang w:val="en-US"/>
        </w:rPr>
      </w:pPr>
      <w:r w:rsidRPr="00080D80">
        <w:rPr>
          <w:b/>
          <w:bCs/>
          <w:lang w:val="en-US"/>
        </w:rPr>
        <w:t>Negotiate contract</w:t>
      </w:r>
      <w:r>
        <w:rPr>
          <w:lang w:val="en-US"/>
        </w:rPr>
        <w:t xml:space="preserve">: The state expects to negotiate contracts shortly after notifying the official awardee. We may ask for changes to your original project proposal. Please be sure that your organization and infrastructure can </w:t>
      </w:r>
      <w:proofErr w:type="gramStart"/>
      <w:r>
        <w:rPr>
          <w:lang w:val="en-US"/>
        </w:rPr>
        <w:t>support</w:t>
      </w:r>
      <w:proofErr w:type="gramEnd"/>
      <w:r>
        <w:rPr>
          <w:lang w:val="en-US"/>
        </w:rPr>
        <w:t xml:space="preserve"> the following contract needs:</w:t>
      </w:r>
    </w:p>
    <w:p w14:paraId="690C015B" w14:textId="0ABD2D2F" w:rsidR="00080D80" w:rsidRDefault="00080D80" w:rsidP="00086CF0">
      <w:pPr>
        <w:pStyle w:val="BodyText"/>
        <w:numPr>
          <w:ilvl w:val="0"/>
          <w:numId w:val="22"/>
        </w:numPr>
        <w:spacing w:after="0"/>
        <w:rPr>
          <w:lang w:val="en-US"/>
        </w:rPr>
      </w:pPr>
      <w:r>
        <w:rPr>
          <w:lang w:val="en-US"/>
        </w:rPr>
        <w:t>Administrative requirements</w:t>
      </w:r>
    </w:p>
    <w:p w14:paraId="093B054E" w14:textId="57FD9DBD" w:rsidR="00080D80" w:rsidRDefault="00080D80" w:rsidP="00086CF0">
      <w:pPr>
        <w:pStyle w:val="BodyText"/>
        <w:numPr>
          <w:ilvl w:val="0"/>
          <w:numId w:val="22"/>
        </w:numPr>
        <w:spacing w:after="0"/>
        <w:rPr>
          <w:lang w:val="en-US"/>
        </w:rPr>
      </w:pPr>
      <w:r>
        <w:rPr>
          <w:lang w:val="en-US"/>
        </w:rPr>
        <w:t>Operational requirements</w:t>
      </w:r>
    </w:p>
    <w:p w14:paraId="0C94D671" w14:textId="1FD28E59" w:rsidR="00080D80" w:rsidRDefault="00080D80" w:rsidP="00086CF0">
      <w:pPr>
        <w:pStyle w:val="BodyText"/>
        <w:numPr>
          <w:ilvl w:val="0"/>
          <w:numId w:val="22"/>
        </w:numPr>
        <w:rPr>
          <w:lang w:val="en-US"/>
        </w:rPr>
      </w:pPr>
      <w:r>
        <w:rPr>
          <w:lang w:val="en-US"/>
        </w:rPr>
        <w:t>Contract goals and objectives</w:t>
      </w:r>
    </w:p>
    <w:p w14:paraId="5C814934" w14:textId="3F5139B4" w:rsidR="00BD2CC4" w:rsidRPr="00080D80" w:rsidRDefault="00BD2CC4" w:rsidP="00BD2CC4">
      <w:pPr>
        <w:pStyle w:val="BodyText"/>
        <w:ind w:left="1080"/>
        <w:rPr>
          <w:lang w:val="en-US"/>
        </w:rPr>
      </w:pPr>
      <w:r w:rsidRPr="00782E4D">
        <w:rPr>
          <w:b/>
          <w:bCs/>
          <w:lang w:val="en-US"/>
        </w:rPr>
        <w:t>Please note</w:t>
      </w:r>
      <w:r>
        <w:rPr>
          <w:lang w:val="en-US"/>
        </w:rPr>
        <w:t>: We can choose to cancel any funding if we believe an awardee does not negotiate in good faith.</w:t>
      </w:r>
    </w:p>
    <w:p w14:paraId="0FD4F9DE" w14:textId="5ABDAF93" w:rsidR="00080D80" w:rsidRDefault="00080D80" w:rsidP="00086CF0">
      <w:pPr>
        <w:pStyle w:val="BodyText"/>
        <w:numPr>
          <w:ilvl w:val="0"/>
          <w:numId w:val="21"/>
        </w:numPr>
        <w:spacing w:after="0"/>
        <w:rPr>
          <w:lang w:val="en-US"/>
        </w:rPr>
      </w:pPr>
      <w:r w:rsidRPr="00080D80">
        <w:rPr>
          <w:b/>
          <w:bCs/>
          <w:lang w:val="en-US"/>
        </w:rPr>
        <w:t>Consider ability to receive funds</w:t>
      </w:r>
      <w:r>
        <w:rPr>
          <w:lang w:val="en-US"/>
        </w:rPr>
        <w:t xml:space="preserve">: We advise </w:t>
      </w:r>
      <w:r w:rsidR="00686059">
        <w:rPr>
          <w:lang w:val="en-US"/>
        </w:rPr>
        <w:t xml:space="preserve">the </w:t>
      </w:r>
      <w:r>
        <w:rPr>
          <w:lang w:val="en-US"/>
        </w:rPr>
        <w:t xml:space="preserve">awardee to consider whether </w:t>
      </w:r>
      <w:r w:rsidR="00FF2B31">
        <w:rPr>
          <w:lang w:val="en-US"/>
        </w:rPr>
        <w:t>they</w:t>
      </w:r>
      <w:r>
        <w:rPr>
          <w:lang w:val="en-US"/>
        </w:rPr>
        <w:t xml:space="preserve"> need official action to receive this SFP’s awarded funds by any</w:t>
      </w:r>
      <w:r w:rsidR="00122285">
        <w:rPr>
          <w:lang w:val="en-US"/>
        </w:rPr>
        <w:t>:</w:t>
      </w:r>
    </w:p>
    <w:p w14:paraId="13D3F96F" w14:textId="4614C794" w:rsidR="00080D80" w:rsidRDefault="00080D80" w:rsidP="00086CF0">
      <w:pPr>
        <w:pStyle w:val="BodyText"/>
        <w:numPr>
          <w:ilvl w:val="0"/>
          <w:numId w:val="23"/>
        </w:numPr>
        <w:spacing w:after="0"/>
        <w:rPr>
          <w:lang w:val="en-US"/>
        </w:rPr>
      </w:pPr>
      <w:r w:rsidRPr="00080D80">
        <w:rPr>
          <w:lang w:val="en-US"/>
        </w:rPr>
        <w:t>County Board of Supervisors</w:t>
      </w:r>
    </w:p>
    <w:p w14:paraId="7D66D115" w14:textId="172A1A11" w:rsidR="00080D80" w:rsidRDefault="00080D80" w:rsidP="00086CF0">
      <w:pPr>
        <w:pStyle w:val="BodyText"/>
        <w:numPr>
          <w:ilvl w:val="0"/>
          <w:numId w:val="23"/>
        </w:numPr>
        <w:spacing w:after="0"/>
        <w:rPr>
          <w:lang w:val="en-US"/>
        </w:rPr>
      </w:pPr>
      <w:r>
        <w:rPr>
          <w:lang w:val="en-US"/>
        </w:rPr>
        <w:t>City Council</w:t>
      </w:r>
    </w:p>
    <w:p w14:paraId="5F5E18EC" w14:textId="576AE18D" w:rsidR="00080D80" w:rsidRDefault="00080D80" w:rsidP="00086CF0">
      <w:pPr>
        <w:pStyle w:val="BodyText"/>
        <w:numPr>
          <w:ilvl w:val="0"/>
          <w:numId w:val="23"/>
        </w:numPr>
        <w:rPr>
          <w:lang w:val="en-US"/>
        </w:rPr>
      </w:pPr>
      <w:r>
        <w:rPr>
          <w:lang w:val="en-US"/>
        </w:rPr>
        <w:t>Other similar decision</w:t>
      </w:r>
      <w:r w:rsidR="00BD2CC4">
        <w:rPr>
          <w:lang w:val="en-US"/>
        </w:rPr>
        <w:t>-</w:t>
      </w:r>
      <w:r>
        <w:rPr>
          <w:lang w:val="en-US"/>
        </w:rPr>
        <w:t>makers</w:t>
      </w:r>
    </w:p>
    <w:p w14:paraId="472EE162" w14:textId="6916F3BF" w:rsidR="00BD2CC4" w:rsidRPr="00080D80" w:rsidRDefault="00BD2CC4" w:rsidP="00BD2CC4">
      <w:pPr>
        <w:pStyle w:val="BodyText"/>
        <w:ind w:left="1080"/>
        <w:rPr>
          <w:lang w:val="en-US"/>
        </w:rPr>
      </w:pPr>
      <w:r w:rsidRPr="00BD2CC4">
        <w:rPr>
          <w:b/>
          <w:bCs/>
          <w:lang w:val="en-US"/>
        </w:rPr>
        <w:t>Please note</w:t>
      </w:r>
      <w:r>
        <w:rPr>
          <w:lang w:val="en-US"/>
        </w:rPr>
        <w:t xml:space="preserve">: Plan this request wisely in the contract process. The time you may need for that request will affect your ability to meet the projected work plan’s project terms and conditions. </w:t>
      </w:r>
    </w:p>
    <w:p w14:paraId="59B9B5E9" w14:textId="17237F28" w:rsidR="00080D80" w:rsidRPr="000A46D7" w:rsidRDefault="00080D80" w:rsidP="00086CF0">
      <w:pPr>
        <w:pStyle w:val="BodyText"/>
        <w:numPr>
          <w:ilvl w:val="0"/>
          <w:numId w:val="21"/>
        </w:numPr>
      </w:pPr>
      <w:r w:rsidRPr="00080D80">
        <w:rPr>
          <w:b/>
          <w:bCs/>
          <w:lang w:val="en-US"/>
        </w:rPr>
        <w:t>Enter contract</w:t>
      </w:r>
      <w:r>
        <w:rPr>
          <w:lang w:val="en-US"/>
        </w:rPr>
        <w:t xml:space="preserve">: Once </w:t>
      </w:r>
      <w:r w:rsidR="00C902AD">
        <w:rPr>
          <w:lang w:val="en-US"/>
        </w:rPr>
        <w:t>the awardee</w:t>
      </w:r>
      <w:r>
        <w:rPr>
          <w:lang w:val="en-US"/>
        </w:rPr>
        <w:t xml:space="preserve"> finalize</w:t>
      </w:r>
      <w:r w:rsidR="00C902AD">
        <w:rPr>
          <w:lang w:val="en-US"/>
        </w:rPr>
        <w:t>s</w:t>
      </w:r>
      <w:r>
        <w:rPr>
          <w:lang w:val="en-US"/>
        </w:rPr>
        <w:t xml:space="preserve"> the contract</w:t>
      </w:r>
      <w:r w:rsidR="003916D1">
        <w:rPr>
          <w:lang w:val="en-US"/>
        </w:rPr>
        <w:t xml:space="preserve"> with </w:t>
      </w:r>
      <w:r w:rsidR="00EB7B1C">
        <w:rPr>
          <w:lang w:val="en-US"/>
        </w:rPr>
        <w:t>the Special Initiatives Support Unit</w:t>
      </w:r>
      <w:r>
        <w:rPr>
          <w:lang w:val="en-US"/>
        </w:rPr>
        <w:t xml:space="preserve">, </w:t>
      </w:r>
      <w:r w:rsidR="00444B2B">
        <w:rPr>
          <w:lang w:val="en-US"/>
        </w:rPr>
        <w:t>EDD</w:t>
      </w:r>
      <w:r>
        <w:rPr>
          <w:lang w:val="en-US"/>
        </w:rPr>
        <w:t xml:space="preserve"> will officially begin work on the awarded services wit</w:t>
      </w:r>
      <w:r w:rsidR="00BD2CC4">
        <w:rPr>
          <w:lang w:val="en-US"/>
        </w:rPr>
        <w:t>h</w:t>
      </w:r>
      <w:r>
        <w:rPr>
          <w:lang w:val="en-US"/>
        </w:rPr>
        <w:t xml:space="preserve"> the awardee.</w:t>
      </w:r>
    </w:p>
    <w:p w14:paraId="748F5603" w14:textId="4C771D40" w:rsidR="000A46D7" w:rsidRDefault="000A46D7" w:rsidP="000A46D7">
      <w:pPr>
        <w:pStyle w:val="BodyText"/>
        <w:ind w:left="360"/>
      </w:pPr>
      <w:r w:rsidRPr="000A46D7">
        <w:rPr>
          <w:lang w:val="en-US"/>
        </w:rPr>
        <w:t>Be aware: if you do not communicate with us or make any unauthorized changes, we can consider it a breach of contract</w:t>
      </w:r>
      <w:r w:rsidRPr="000A46D7">
        <w:t>.</w:t>
      </w:r>
      <w:r>
        <w:t xml:space="preserve"> We can take legal </w:t>
      </w:r>
      <w:r w:rsidR="00FE28F1">
        <w:t>re</w:t>
      </w:r>
      <w:r>
        <w:t>percussions as a result.</w:t>
      </w:r>
    </w:p>
    <w:p w14:paraId="2EA0C9A5" w14:textId="77777777" w:rsidR="002B0069" w:rsidRDefault="002B0069" w:rsidP="000A46D7">
      <w:pPr>
        <w:pStyle w:val="BodyText"/>
        <w:ind w:left="360"/>
      </w:pPr>
    </w:p>
    <w:p w14:paraId="6AB39843" w14:textId="77777777" w:rsidR="002B0069" w:rsidRDefault="002B0069" w:rsidP="000A46D7">
      <w:pPr>
        <w:pStyle w:val="BodyText"/>
        <w:ind w:left="360"/>
      </w:pPr>
    </w:p>
    <w:p w14:paraId="1DAC7C1B" w14:textId="77777777" w:rsidR="002B0069" w:rsidRDefault="002B0069" w:rsidP="000A46D7">
      <w:pPr>
        <w:pStyle w:val="BodyText"/>
        <w:ind w:left="360"/>
      </w:pPr>
    </w:p>
    <w:p w14:paraId="39CB2763" w14:textId="77777777" w:rsidR="002B0069" w:rsidRDefault="002B0069" w:rsidP="000A46D7">
      <w:pPr>
        <w:pStyle w:val="BodyText"/>
        <w:ind w:left="360"/>
      </w:pPr>
    </w:p>
    <w:p w14:paraId="04D217CF" w14:textId="77777777" w:rsidR="002B0069" w:rsidRDefault="002B0069" w:rsidP="000A46D7">
      <w:pPr>
        <w:pStyle w:val="BodyText"/>
        <w:ind w:left="360"/>
      </w:pPr>
    </w:p>
    <w:p w14:paraId="189558ED" w14:textId="77777777" w:rsidR="002B0069" w:rsidRDefault="002B0069" w:rsidP="000A46D7">
      <w:pPr>
        <w:pStyle w:val="BodyText"/>
        <w:ind w:left="360"/>
      </w:pPr>
    </w:p>
    <w:p w14:paraId="04E25FBC" w14:textId="77777777" w:rsidR="00EE2987" w:rsidRDefault="00EE2987" w:rsidP="000A46D7">
      <w:pPr>
        <w:pStyle w:val="BodyText"/>
        <w:ind w:left="360"/>
      </w:pPr>
    </w:p>
    <w:p w14:paraId="18734C05" w14:textId="77777777" w:rsidR="002B0069" w:rsidRDefault="002B0069" w:rsidP="000A46D7">
      <w:pPr>
        <w:pStyle w:val="BodyText"/>
        <w:ind w:left="360"/>
      </w:pPr>
    </w:p>
    <w:p w14:paraId="5DF5C047" w14:textId="77777777" w:rsidR="00EE2987" w:rsidRPr="00DC1DE3" w:rsidRDefault="00EE2987" w:rsidP="000A46D7">
      <w:pPr>
        <w:pStyle w:val="BodyText"/>
        <w:ind w:left="360"/>
      </w:pPr>
    </w:p>
    <w:p w14:paraId="7C4962DE" w14:textId="4F3A4F23" w:rsidR="008544AA" w:rsidRPr="00DC1DE3" w:rsidRDefault="008544AA" w:rsidP="00783B8C">
      <w:pPr>
        <w:pStyle w:val="Heading2"/>
        <w:tabs>
          <w:tab w:val="left" w:pos="360"/>
        </w:tabs>
        <w:ind w:left="0" w:firstLine="0"/>
        <w:rPr>
          <w:rFonts w:eastAsia="Arial"/>
        </w:rPr>
      </w:pPr>
      <w:bookmarkStart w:id="109" w:name="_Toc117246181"/>
      <w:bookmarkStart w:id="110" w:name="_Toc130496190"/>
      <w:bookmarkStart w:id="111" w:name="_Toc167356440"/>
      <w:bookmarkStart w:id="112" w:name="_Toc167894676"/>
      <w:bookmarkEnd w:id="107"/>
      <w:bookmarkEnd w:id="108"/>
      <w:r w:rsidRPr="008F564F">
        <w:rPr>
          <w:rFonts w:eastAsia="Arial"/>
        </w:rPr>
        <w:lastRenderedPageBreak/>
        <w:t>Administrative</w:t>
      </w:r>
      <w:r w:rsidRPr="00DC1DE3">
        <w:rPr>
          <w:rFonts w:eastAsia="Arial"/>
        </w:rPr>
        <w:t xml:space="preserve"> Requirements</w:t>
      </w:r>
      <w:bookmarkEnd w:id="109"/>
      <w:bookmarkEnd w:id="110"/>
      <w:bookmarkEnd w:id="111"/>
      <w:bookmarkEnd w:id="112"/>
    </w:p>
    <w:p w14:paraId="73687F81" w14:textId="77777777" w:rsidR="00B569CD" w:rsidRDefault="00B569CD" w:rsidP="00763B60">
      <w:pPr>
        <w:pStyle w:val="BodyText"/>
        <w:spacing w:after="0"/>
        <w:rPr>
          <w:lang w:val="en-US"/>
        </w:rPr>
      </w:pPr>
    </w:p>
    <w:p w14:paraId="2662CC6C" w14:textId="0CB8F7D7" w:rsidR="008544AA" w:rsidRPr="00DC1DE3" w:rsidRDefault="008544AA" w:rsidP="00F470F1">
      <w:pPr>
        <w:pStyle w:val="BodyText"/>
      </w:pPr>
      <w:r w:rsidRPr="01476CFA">
        <w:rPr>
          <w:lang w:val="en-US"/>
        </w:rPr>
        <w:t xml:space="preserve">To qualify for awarded funds, successful applicants must comply with all administrative and reporting requirements. Applicants </w:t>
      </w:r>
      <w:r w:rsidR="00B569CD">
        <w:rPr>
          <w:lang w:val="en-US"/>
        </w:rPr>
        <w:t>who</w:t>
      </w:r>
      <w:r w:rsidR="00B569CD" w:rsidRPr="01476CFA">
        <w:rPr>
          <w:lang w:val="en-US"/>
        </w:rPr>
        <w:t xml:space="preserve"> </w:t>
      </w:r>
      <w:r w:rsidRPr="01476CFA">
        <w:rPr>
          <w:lang w:val="en-US"/>
        </w:rPr>
        <w:t xml:space="preserve">do not comply may be de-obligated. </w:t>
      </w:r>
      <w:r w:rsidRPr="00FE28F1">
        <w:rPr>
          <w:lang w:val="en-US"/>
        </w:rPr>
        <w:t xml:space="preserve">Refer to </w:t>
      </w:r>
      <w:hyperlink r:id="rId27" w:history="1">
        <w:r w:rsidRPr="00FE28F1">
          <w:rPr>
            <w:rStyle w:val="Hyperlink"/>
            <w:rFonts w:eastAsia="Arial"/>
            <w:u w:val="none"/>
            <w:lang w:val="en-US"/>
          </w:rPr>
          <w:t>WSD16-03</w:t>
        </w:r>
      </w:hyperlink>
      <w:r w:rsidRPr="00FE28F1">
        <w:rPr>
          <w:lang w:val="en-US"/>
        </w:rPr>
        <w:t>, Subject: Unilateral De-Obligation (July 20, 2016), for more guidance.</w:t>
      </w:r>
    </w:p>
    <w:p w14:paraId="06FB96CF" w14:textId="649DD0B2" w:rsidR="008544AA" w:rsidRPr="00DC1DE3" w:rsidRDefault="008544AA" w:rsidP="00086CF0">
      <w:pPr>
        <w:pStyle w:val="Heading3"/>
        <w:numPr>
          <w:ilvl w:val="0"/>
          <w:numId w:val="10"/>
        </w:numPr>
      </w:pPr>
      <w:bookmarkStart w:id="113" w:name="_Toc117246182"/>
      <w:bookmarkStart w:id="114" w:name="_Toc130496191"/>
      <w:bookmarkStart w:id="115" w:name="_Toc167356441"/>
      <w:bookmarkStart w:id="116" w:name="_Toc167894677"/>
      <w:r w:rsidRPr="00DC1DE3">
        <w:t>Monitoring and Audits</w:t>
      </w:r>
      <w:bookmarkStart w:id="117" w:name="_nmf14n"/>
      <w:bookmarkEnd w:id="113"/>
      <w:bookmarkEnd w:id="114"/>
      <w:bookmarkEnd w:id="115"/>
      <w:bookmarkEnd w:id="116"/>
      <w:bookmarkEnd w:id="117"/>
    </w:p>
    <w:p w14:paraId="7CD53DDD" w14:textId="1A3EEEE0" w:rsidR="008544AA" w:rsidRPr="00DC1DE3" w:rsidRDefault="008544AA" w:rsidP="00F470F1">
      <w:pPr>
        <w:pStyle w:val="BodyText"/>
      </w:pPr>
      <w:r w:rsidRPr="01476CFA">
        <w:rPr>
          <w:lang w:val="en-US"/>
        </w:rPr>
        <w:t xml:space="preserve">During the POP, subrecipients will be monitored </w:t>
      </w:r>
      <w:r w:rsidR="006455D4">
        <w:rPr>
          <w:lang w:val="en-US"/>
        </w:rPr>
        <w:t>or</w:t>
      </w:r>
      <w:r w:rsidRPr="01476CFA">
        <w:rPr>
          <w:lang w:val="en-US"/>
        </w:rPr>
        <w:t xml:space="preserve"> audited by the state in accordance with existing policies, procedures, and EDD guidance to clarify requirements governing the use of WIOA funds. Subrecipients are expected to be responsive to all reviewers’ requests, provide reasonable and timely access to records and staff, facilitate access to subcontractors, and communicate with reviewers in a timely manner.</w:t>
      </w:r>
    </w:p>
    <w:p w14:paraId="4914E95C" w14:textId="7DBEB44C" w:rsidR="008544AA" w:rsidRPr="00DC1DE3" w:rsidRDefault="008544AA" w:rsidP="01476CFA">
      <w:pPr>
        <w:pStyle w:val="BodyText"/>
        <w:rPr>
          <w:rFonts w:eastAsia="Arial"/>
          <w:lang w:val="en-US"/>
        </w:rPr>
      </w:pPr>
      <w:r w:rsidRPr="01476CFA">
        <w:rPr>
          <w:lang w:val="en-US"/>
        </w:rPr>
        <w:t xml:space="preserve">Complete and accurate reporting is essential during the monitoring process. Subrecipients that expend over $750,000 in federal funds from any source must complete a single or program-specific audit for the fiscal year per the </w:t>
      </w:r>
      <w:r w:rsidRPr="00762B97">
        <w:rPr>
          <w:lang w:val="en-US"/>
        </w:rPr>
        <w:t xml:space="preserve">Single Audit Act for State and Local Agencies, 1996 Amendments, Public Law 104-156. Refer to </w:t>
      </w:r>
      <w:hyperlink r:id="rId28">
        <w:r w:rsidRPr="00762B97">
          <w:rPr>
            <w:color w:val="467886"/>
          </w:rPr>
          <w:t>WSD20-03</w:t>
        </w:r>
      </w:hyperlink>
      <w:r w:rsidRPr="00762B97">
        <w:rPr>
          <w:lang w:val="en-US"/>
        </w:rPr>
        <w:t xml:space="preserve">, Subject: </w:t>
      </w:r>
      <w:r w:rsidRPr="00762B97">
        <w:rPr>
          <w:i/>
          <w:iCs/>
          <w:lang w:val="en-US"/>
        </w:rPr>
        <w:t>Audit</w:t>
      </w:r>
      <w:r w:rsidR="00B569CD" w:rsidRPr="00762B97">
        <w:rPr>
          <w:i/>
          <w:iCs/>
          <w:lang w:val="en-US"/>
        </w:rPr>
        <w:t>s</w:t>
      </w:r>
      <w:r w:rsidRPr="00762B97">
        <w:rPr>
          <w:i/>
          <w:iCs/>
          <w:lang w:val="en-US"/>
        </w:rPr>
        <w:t xml:space="preserve"> Requirements</w:t>
      </w:r>
      <w:r w:rsidRPr="00762B97">
        <w:rPr>
          <w:lang w:val="en-US"/>
        </w:rPr>
        <w:t xml:space="preserve"> (October 13, 2020) for more information.</w:t>
      </w:r>
    </w:p>
    <w:p w14:paraId="42494830" w14:textId="036016CF" w:rsidR="008544AA" w:rsidRPr="00DC1DE3" w:rsidRDefault="008544AA" w:rsidP="00291014">
      <w:pPr>
        <w:pStyle w:val="Heading3"/>
      </w:pPr>
      <w:bookmarkStart w:id="118" w:name="_Toc117246183"/>
      <w:bookmarkStart w:id="119" w:name="_Toc130496192"/>
      <w:bookmarkStart w:id="120" w:name="_Toc167356442"/>
      <w:bookmarkStart w:id="121" w:name="_Toc167894678"/>
      <w:r w:rsidRPr="00DC1DE3">
        <w:t>Record Retention</w:t>
      </w:r>
      <w:bookmarkEnd w:id="118"/>
      <w:bookmarkEnd w:id="119"/>
      <w:bookmarkEnd w:id="120"/>
      <w:bookmarkEnd w:id="121"/>
    </w:p>
    <w:p w14:paraId="10632425" w14:textId="2DE84648" w:rsidR="008544AA" w:rsidRPr="00DC1DE3" w:rsidRDefault="008544AA" w:rsidP="008F564F">
      <w:pPr>
        <w:pStyle w:val="BodyText"/>
      </w:pPr>
      <w:bookmarkStart w:id="122" w:name="_37m2jsg"/>
      <w:bookmarkEnd w:id="122"/>
      <w:r w:rsidRPr="01476CFA">
        <w:rPr>
          <w:lang w:val="en-US"/>
        </w:rPr>
        <w:t>Subrecipients must maintain sufficient project and fiscal records to allow federal, state, and local reviewers to evaluate the project’s effectiveness and proper use of funds. The record-keeping system must include both original and summary (computer-generated) data sources. Subrecipients will retain all records pertinent to the contract for five years from the date of the final payment of the contract unless a more extended period of record retention is stipulated.</w:t>
      </w:r>
    </w:p>
    <w:p w14:paraId="11FCACB6" w14:textId="39300FDA" w:rsidR="008544AA" w:rsidRPr="00E61030" w:rsidRDefault="008544AA" w:rsidP="00291014">
      <w:pPr>
        <w:pStyle w:val="Heading3"/>
      </w:pPr>
      <w:bookmarkStart w:id="123" w:name="_Toc117246184"/>
      <w:bookmarkStart w:id="124" w:name="_Toc130496193"/>
      <w:bookmarkStart w:id="125" w:name="_Toc167356443"/>
      <w:bookmarkStart w:id="126" w:name="_Toc167894679"/>
      <w:r w:rsidRPr="00E61030">
        <w:t>Reporting</w:t>
      </w:r>
      <w:bookmarkEnd w:id="123"/>
      <w:bookmarkEnd w:id="124"/>
      <w:bookmarkEnd w:id="125"/>
      <w:bookmarkEnd w:id="126"/>
    </w:p>
    <w:p w14:paraId="75EC6FB4" w14:textId="09073723" w:rsidR="005E7C94" w:rsidRPr="005E7C94" w:rsidRDefault="005E7C94" w:rsidP="005E7C94">
      <w:pPr>
        <w:rPr>
          <w:rFonts w:cs="Calibri"/>
        </w:rPr>
      </w:pPr>
      <w:bookmarkStart w:id="127" w:name="_1mrcu09"/>
      <w:bookmarkStart w:id="128" w:name="_Hlk185253386"/>
      <w:bookmarkEnd w:id="127"/>
      <w:r w:rsidRPr="00E05188">
        <w:rPr>
          <w:rFonts w:ascii="Calibri" w:hAnsi="Calibri" w:cs="Calibri"/>
          <w:sz w:val="24"/>
          <w:szCs w:val="24"/>
        </w:rPr>
        <w:t>All subrecipients must have access to the CalJOBS</w:t>
      </w:r>
      <w:r w:rsidR="00A26064" w:rsidRPr="00A26064">
        <w:rPr>
          <w:rFonts w:ascii="Calibri" w:hAnsi="Calibri" w:cs="Calibri"/>
          <w:sz w:val="24"/>
          <w:szCs w:val="24"/>
          <w:vertAlign w:val="superscript"/>
        </w:rPr>
        <w:t>SM</w:t>
      </w:r>
      <w:r w:rsidRPr="00E05188">
        <w:rPr>
          <w:rFonts w:ascii="Calibri" w:hAnsi="Calibri" w:cs="Calibri"/>
          <w:sz w:val="24"/>
          <w:szCs w:val="24"/>
          <w:vertAlign w:val="superscript"/>
        </w:rPr>
        <w:t xml:space="preserve"> </w:t>
      </w:r>
      <w:r w:rsidRPr="00E05188">
        <w:rPr>
          <w:rFonts w:ascii="Calibri" w:hAnsi="Calibri" w:cs="Calibri"/>
          <w:sz w:val="24"/>
          <w:szCs w:val="24"/>
        </w:rPr>
        <w:t>website to report expenditures, participant information, and outcome data to the state in a timely and accurate manner. Refer to Appendix F: CalJOBS</w:t>
      </w:r>
      <w:r w:rsidR="00A26064" w:rsidRPr="00A26064">
        <w:rPr>
          <w:rFonts w:ascii="Calibri" w:hAnsi="Calibri" w:cs="Calibri"/>
          <w:sz w:val="24"/>
          <w:szCs w:val="24"/>
          <w:vertAlign w:val="superscript"/>
        </w:rPr>
        <w:t>SM</w:t>
      </w:r>
      <w:r w:rsidRPr="00E05188">
        <w:rPr>
          <w:rFonts w:ascii="Calibri" w:hAnsi="Calibri" w:cs="Calibri"/>
          <w:sz w:val="24"/>
          <w:szCs w:val="24"/>
        </w:rPr>
        <w:t xml:space="preserve"> Workstation and Software Requirements for more details. The state will provide training on how to use the CalJOBS</w:t>
      </w:r>
      <w:r w:rsidRPr="00E05188">
        <w:rPr>
          <w:rFonts w:ascii="Calibri" w:hAnsi="Calibri" w:cs="Calibri"/>
          <w:sz w:val="24"/>
          <w:szCs w:val="24"/>
          <w:vertAlign w:val="superscript"/>
        </w:rPr>
        <w:t>SM</w:t>
      </w:r>
      <w:r w:rsidRPr="00E05188">
        <w:rPr>
          <w:rFonts w:ascii="Calibri" w:hAnsi="Calibri" w:cs="Calibri"/>
          <w:sz w:val="24"/>
          <w:szCs w:val="24"/>
        </w:rPr>
        <w:t xml:space="preserve"> reporting system. Review </w:t>
      </w:r>
      <w:hyperlink r:id="rId29" w:history="1">
        <w:r w:rsidRPr="002E59D4">
          <w:rPr>
            <w:rStyle w:val="Hyperlink"/>
            <w:rFonts w:cs="Calibri"/>
            <w:szCs w:val="24"/>
            <w:u w:val="none"/>
          </w:rPr>
          <w:t>Types of Work-Based Learning WIOA Desk References</w:t>
        </w:r>
      </w:hyperlink>
      <w:r w:rsidRPr="002E59D4">
        <w:rPr>
          <w:rFonts w:ascii="Calibri" w:hAnsi="Calibri" w:cs="Calibri"/>
          <w:color w:val="1F497D"/>
          <w:sz w:val="24"/>
          <w:szCs w:val="24"/>
        </w:rPr>
        <w:t xml:space="preserve"> </w:t>
      </w:r>
      <w:r w:rsidRPr="00E05188">
        <w:rPr>
          <w:rFonts w:ascii="Calibri" w:hAnsi="Calibri" w:cs="Calibri"/>
          <w:color w:val="1F497D"/>
          <w:sz w:val="24"/>
          <w:szCs w:val="24"/>
        </w:rPr>
        <w:t xml:space="preserve">and </w:t>
      </w:r>
      <w:proofErr w:type="spellStart"/>
      <w:r w:rsidRPr="002E59D4">
        <w:rPr>
          <w:rFonts w:ascii="Calibri" w:hAnsi="Calibri" w:cs="Calibri"/>
          <w:i/>
          <w:iCs/>
          <w:sz w:val="24"/>
          <w:szCs w:val="24"/>
        </w:rPr>
        <w:t>CalJOBS</w:t>
      </w:r>
      <w:r w:rsidRPr="002E59D4">
        <w:rPr>
          <w:rFonts w:ascii="Calibri" w:hAnsi="Calibri" w:cs="Calibri"/>
          <w:i/>
          <w:iCs/>
          <w:sz w:val="24"/>
          <w:szCs w:val="24"/>
          <w:vertAlign w:val="superscript"/>
        </w:rPr>
        <w:t>SM</w:t>
      </w:r>
      <w:proofErr w:type="spellEnd"/>
      <w:r w:rsidRPr="002E59D4">
        <w:rPr>
          <w:rFonts w:ascii="Calibri" w:hAnsi="Calibri" w:cs="Calibri"/>
          <w:i/>
          <w:iCs/>
          <w:sz w:val="24"/>
          <w:szCs w:val="24"/>
        </w:rPr>
        <w:t xml:space="preserve"> Activity Codes</w:t>
      </w:r>
      <w:r w:rsidRPr="00E05188">
        <w:rPr>
          <w:rFonts w:ascii="Calibri" w:hAnsi="Calibri" w:cs="Calibri"/>
          <w:color w:val="1F497D"/>
          <w:sz w:val="24"/>
          <w:szCs w:val="24"/>
        </w:rPr>
        <w:t xml:space="preserve"> </w:t>
      </w:r>
      <w:hyperlink r:id="rId30" w:history="1">
        <w:r w:rsidRPr="002E59D4">
          <w:rPr>
            <w:rStyle w:val="Hyperlink"/>
            <w:rFonts w:cs="Calibri"/>
            <w:szCs w:val="24"/>
            <w:u w:val="none"/>
          </w:rPr>
          <w:t>WSD24-05</w:t>
        </w:r>
      </w:hyperlink>
      <w:r w:rsidRPr="00E05188">
        <w:rPr>
          <w:rFonts w:ascii="Calibri" w:hAnsi="Calibri" w:cs="Calibri"/>
          <w:color w:val="1F497D"/>
          <w:sz w:val="24"/>
          <w:szCs w:val="24"/>
        </w:rPr>
        <w:t xml:space="preserve"> </w:t>
      </w:r>
      <w:r w:rsidRPr="00E05188">
        <w:rPr>
          <w:rFonts w:ascii="Calibri" w:hAnsi="Calibri" w:cs="Calibri"/>
          <w:sz w:val="24"/>
          <w:szCs w:val="24"/>
        </w:rPr>
        <w:t>(October 10, 2024)</w:t>
      </w:r>
      <w:r w:rsidR="002E59D4">
        <w:rPr>
          <w:rFonts w:ascii="Calibri" w:hAnsi="Calibri" w:cs="Calibri"/>
          <w:sz w:val="24"/>
          <w:szCs w:val="24"/>
        </w:rPr>
        <w:t>,</w:t>
      </w:r>
      <w:r w:rsidRPr="00E05188">
        <w:rPr>
          <w:rFonts w:ascii="Calibri" w:hAnsi="Calibri" w:cs="Calibri"/>
          <w:sz w:val="24"/>
          <w:szCs w:val="24"/>
        </w:rPr>
        <w:t xml:space="preserve"> for guidance on entering grant activity codes. See </w:t>
      </w:r>
      <w:r w:rsidRPr="00E05188">
        <w:rPr>
          <w:rFonts w:ascii="Calibri" w:hAnsi="Calibri" w:cs="Calibri"/>
          <w:i/>
          <w:iCs/>
          <w:sz w:val="24"/>
          <w:szCs w:val="24"/>
        </w:rPr>
        <w:t>CalJOBS</w:t>
      </w:r>
      <w:r w:rsidRPr="00E05188">
        <w:rPr>
          <w:rFonts w:ascii="Calibri" w:hAnsi="Calibri" w:cs="Calibri"/>
          <w:i/>
          <w:iCs/>
          <w:sz w:val="24"/>
          <w:szCs w:val="24"/>
          <w:vertAlign w:val="superscript"/>
        </w:rPr>
        <w:t>SM</w:t>
      </w:r>
      <w:r w:rsidRPr="00E05188">
        <w:rPr>
          <w:rFonts w:ascii="Calibri" w:hAnsi="Calibri" w:cs="Calibri"/>
          <w:i/>
          <w:iCs/>
          <w:sz w:val="24"/>
          <w:szCs w:val="24"/>
        </w:rPr>
        <w:t xml:space="preserve"> Participant Reporting </w:t>
      </w:r>
      <w:bookmarkStart w:id="129" w:name="_Hlk217891563"/>
      <w:r w:rsidR="002E59D4" w:rsidRPr="002E59D4">
        <w:rPr>
          <w:rFonts w:ascii="Calibri" w:hAnsi="Calibri" w:cs="Calibri"/>
          <w:sz w:val="24"/>
          <w:szCs w:val="24"/>
        </w:rPr>
        <w:fldChar w:fldCharType="begin"/>
      </w:r>
      <w:r w:rsidR="002E59D4" w:rsidRPr="002E59D4">
        <w:rPr>
          <w:rFonts w:ascii="Calibri" w:hAnsi="Calibri" w:cs="Calibri"/>
          <w:sz w:val="24"/>
          <w:szCs w:val="24"/>
        </w:rPr>
        <w:instrText>HYPERLINK "https://edd.ca.gov/siteassets/files/jobs_and_training/pubs/wsd20-10.pdf"</w:instrText>
      </w:r>
      <w:r w:rsidR="002E59D4" w:rsidRPr="002E59D4">
        <w:rPr>
          <w:rFonts w:ascii="Calibri" w:hAnsi="Calibri" w:cs="Calibri"/>
          <w:sz w:val="24"/>
          <w:szCs w:val="24"/>
        </w:rPr>
      </w:r>
      <w:r w:rsidR="002E59D4" w:rsidRPr="002E59D4">
        <w:rPr>
          <w:rFonts w:ascii="Calibri" w:hAnsi="Calibri" w:cs="Calibri"/>
          <w:sz w:val="24"/>
          <w:szCs w:val="24"/>
        </w:rPr>
        <w:fldChar w:fldCharType="separate"/>
      </w:r>
      <w:r w:rsidRPr="002E59D4">
        <w:rPr>
          <w:rStyle w:val="Hyperlink"/>
          <w:rFonts w:cs="Calibri"/>
          <w:szCs w:val="24"/>
          <w:u w:val="none"/>
        </w:rPr>
        <w:t>WSD20-10</w:t>
      </w:r>
      <w:r w:rsidR="002E59D4" w:rsidRPr="002E59D4">
        <w:rPr>
          <w:rFonts w:ascii="Calibri" w:hAnsi="Calibri" w:cs="Calibri"/>
          <w:sz w:val="24"/>
          <w:szCs w:val="24"/>
        </w:rPr>
        <w:fldChar w:fldCharType="end"/>
      </w:r>
      <w:bookmarkEnd w:id="129"/>
      <w:r w:rsidRPr="00E05188">
        <w:rPr>
          <w:rFonts w:ascii="Calibri" w:hAnsi="Calibri" w:cs="Calibri"/>
          <w:color w:val="1F497D"/>
          <w:sz w:val="24"/>
          <w:szCs w:val="24"/>
        </w:rPr>
        <w:t xml:space="preserve"> </w:t>
      </w:r>
      <w:r w:rsidRPr="00E05188">
        <w:rPr>
          <w:rFonts w:ascii="Calibri" w:hAnsi="Calibri" w:cs="Calibri"/>
          <w:sz w:val="24"/>
          <w:szCs w:val="24"/>
        </w:rPr>
        <w:t>(April 8, 2021), for more information regarding participant reporting requirements.</w:t>
      </w:r>
    </w:p>
    <w:p w14:paraId="236BC6A3" w14:textId="641C05F2" w:rsidR="008544AA" w:rsidRDefault="00441B09" w:rsidP="00F470F1">
      <w:pPr>
        <w:pStyle w:val="BodyText"/>
        <w:rPr>
          <w:lang w:val="en-US"/>
        </w:rPr>
      </w:pPr>
      <w:r>
        <w:rPr>
          <w:lang w:val="en-US"/>
        </w:rPr>
        <w:t>S</w:t>
      </w:r>
      <w:r w:rsidR="008544AA" w:rsidRPr="01476CFA">
        <w:rPr>
          <w:lang w:val="en-US"/>
        </w:rPr>
        <w:t xml:space="preserve">ubrecipients must </w:t>
      </w:r>
      <w:r>
        <w:rPr>
          <w:lang w:val="en-US"/>
        </w:rPr>
        <w:t xml:space="preserve">enter participant information for </w:t>
      </w:r>
      <w:proofErr w:type="gramStart"/>
      <w:r>
        <w:rPr>
          <w:lang w:val="en-US"/>
        </w:rPr>
        <w:t>each individual</w:t>
      </w:r>
      <w:proofErr w:type="gramEnd"/>
      <w:r>
        <w:rPr>
          <w:lang w:val="en-US"/>
        </w:rPr>
        <w:t xml:space="preserve"> served by the grant in</w:t>
      </w:r>
      <w:r w:rsidR="008544AA" w:rsidRPr="01476CFA">
        <w:rPr>
          <w:lang w:val="en-US"/>
        </w:rPr>
        <w:t>to CalJOBS</w:t>
      </w:r>
      <w:r w:rsidR="008544AA" w:rsidRPr="01476CFA">
        <w:rPr>
          <w:vertAlign w:val="superscript"/>
          <w:lang w:val="en-US"/>
        </w:rPr>
        <w:t>SM</w:t>
      </w:r>
      <w:bookmarkStart w:id="130" w:name="_Hlk185253436"/>
      <w:bookmarkEnd w:id="128"/>
      <w:r>
        <w:rPr>
          <w:lang w:val="en-US"/>
        </w:rPr>
        <w:t xml:space="preserve">. </w:t>
      </w:r>
      <w:r w:rsidR="0046226D">
        <w:rPr>
          <w:lang w:val="en-US"/>
        </w:rPr>
        <w:t>The information required includes, but is not limited to</w:t>
      </w:r>
      <w:r w:rsidR="00CA4E8F">
        <w:rPr>
          <w:lang w:val="en-US"/>
        </w:rPr>
        <w:t>,</w:t>
      </w:r>
      <w:r w:rsidR="0046226D">
        <w:rPr>
          <w:lang w:val="en-US"/>
        </w:rPr>
        <w:t xml:space="preserve"> complete program applications, individual services provided, supporting documentation, and outcome data. All </w:t>
      </w:r>
      <w:r w:rsidR="0046226D">
        <w:rPr>
          <w:lang w:val="en-US"/>
        </w:rPr>
        <w:lastRenderedPageBreak/>
        <w:t>data must be entered into CalJOBS within 30 days.</w:t>
      </w:r>
      <w:r>
        <w:rPr>
          <w:lang w:val="en-US"/>
        </w:rPr>
        <w:t xml:space="preserve"> </w:t>
      </w:r>
      <w:r w:rsidR="0046226D">
        <w:rPr>
          <w:lang w:val="en-US"/>
        </w:rPr>
        <w:t>Review CalJOBS</w:t>
      </w:r>
      <w:r w:rsidR="00CA4E8F" w:rsidRPr="00CA4E8F">
        <w:rPr>
          <w:vertAlign w:val="superscript"/>
          <w:lang w:val="en-US"/>
        </w:rPr>
        <w:t>SM</w:t>
      </w:r>
      <w:r w:rsidR="0046226D">
        <w:rPr>
          <w:lang w:val="en-US"/>
        </w:rPr>
        <w:t xml:space="preserve"> Participant Reporting</w:t>
      </w:r>
      <w:r w:rsidR="008544AA" w:rsidRPr="00BB23F9">
        <w:rPr>
          <w:lang w:val="en-US"/>
        </w:rPr>
        <w:t xml:space="preserve"> </w:t>
      </w:r>
      <w:hyperlink r:id="rId31">
        <w:r w:rsidR="008544AA" w:rsidRPr="00BB23F9">
          <w:rPr>
            <w:color w:val="467886"/>
          </w:rPr>
          <w:t>WSD20-10</w:t>
        </w:r>
      </w:hyperlink>
      <w:r w:rsidR="008544AA" w:rsidRPr="00BB23F9">
        <w:rPr>
          <w:lang w:val="en-US"/>
        </w:rPr>
        <w:t xml:space="preserve"> for more information </w:t>
      </w:r>
      <w:r w:rsidR="0046226D">
        <w:rPr>
          <w:lang w:val="en-US"/>
        </w:rPr>
        <w:t>on reporting</w:t>
      </w:r>
      <w:r w:rsidR="008544AA" w:rsidRPr="00BB23F9">
        <w:rPr>
          <w:lang w:val="en-US"/>
        </w:rPr>
        <w:t xml:space="preserve"> participant </w:t>
      </w:r>
      <w:r w:rsidR="0046226D">
        <w:rPr>
          <w:lang w:val="en-US"/>
        </w:rPr>
        <w:t>information in CalJOBS</w:t>
      </w:r>
      <w:r w:rsidR="00CA4E8F" w:rsidRPr="00CA4E8F">
        <w:rPr>
          <w:vertAlign w:val="superscript"/>
          <w:lang w:val="en-US"/>
        </w:rPr>
        <w:t>SM</w:t>
      </w:r>
      <w:r w:rsidR="008544AA" w:rsidRPr="00BB23F9">
        <w:rPr>
          <w:lang w:val="en-US"/>
        </w:rPr>
        <w:t>.</w:t>
      </w:r>
      <w:bookmarkStart w:id="131" w:name="_Hlk185253509"/>
      <w:bookmarkEnd w:id="130"/>
    </w:p>
    <w:p w14:paraId="2803870E" w14:textId="32A181C8" w:rsidR="005E7C94" w:rsidRPr="005E7C94" w:rsidRDefault="005E7C94" w:rsidP="005E7C94">
      <w:pPr>
        <w:spacing w:after="0" w:line="240" w:lineRule="auto"/>
        <w:rPr>
          <w:rFonts w:eastAsia="Aptos" w:cs="Calibri"/>
          <w:color w:val="1F497D"/>
          <w:kern w:val="0"/>
        </w:rPr>
      </w:pPr>
      <w:r w:rsidRPr="00E05188">
        <w:rPr>
          <w:rFonts w:ascii="Calibri" w:eastAsia="Aptos" w:hAnsi="Calibri" w:cs="Calibri"/>
          <w:kern w:val="0"/>
          <w:sz w:val="24"/>
          <w:szCs w:val="24"/>
        </w:rPr>
        <w:t>Subrecipients will be required to submit monthly financial and participant reports using CalJOBS</w:t>
      </w:r>
      <w:r w:rsidR="00A26064" w:rsidRPr="00A26064">
        <w:rPr>
          <w:rFonts w:ascii="Calibri" w:eastAsia="Aptos" w:hAnsi="Calibri" w:cs="Calibri"/>
          <w:kern w:val="0"/>
          <w:sz w:val="24"/>
          <w:szCs w:val="24"/>
          <w:vertAlign w:val="superscript"/>
        </w:rPr>
        <w:t>SM</w:t>
      </w:r>
      <w:r w:rsidRPr="00E05188">
        <w:rPr>
          <w:rFonts w:ascii="Calibri" w:eastAsia="Aptos" w:hAnsi="Calibri" w:cs="Calibri"/>
          <w:kern w:val="0"/>
          <w:sz w:val="24"/>
          <w:szCs w:val="24"/>
        </w:rPr>
        <w:t xml:space="preserve">. Subrecipients will also be required to submit narrative progress reports on the status of the projects, which is a condition of the Subgrant Agreement. Failure to properly report may result in a cash hold and de-obligation of the funds. Refer to </w:t>
      </w:r>
      <w:r w:rsidRPr="00E05188">
        <w:rPr>
          <w:rFonts w:ascii="Calibri" w:eastAsia="Aptos" w:hAnsi="Calibri" w:cs="Calibri"/>
          <w:i/>
          <w:iCs/>
          <w:kern w:val="0"/>
          <w:sz w:val="24"/>
          <w:szCs w:val="24"/>
        </w:rPr>
        <w:t>Monthly and Quarterly Financial Reporting Requirements</w:t>
      </w:r>
      <w:r w:rsidRPr="00E05188">
        <w:rPr>
          <w:rFonts w:ascii="Calibri" w:eastAsia="Aptos" w:hAnsi="Calibri" w:cs="Calibri"/>
          <w:kern w:val="0"/>
          <w:sz w:val="24"/>
          <w:szCs w:val="24"/>
        </w:rPr>
        <w:t xml:space="preserve"> </w:t>
      </w:r>
      <w:hyperlink r:id="rId32" w:history="1">
        <w:r w:rsidRPr="002E59D4">
          <w:rPr>
            <w:rFonts w:ascii="Calibri" w:eastAsia="Aptos" w:hAnsi="Calibri" w:cs="Calibri"/>
            <w:color w:val="467886"/>
            <w:kern w:val="0"/>
            <w:sz w:val="24"/>
            <w:szCs w:val="24"/>
            <w:lang w:val="en"/>
          </w:rPr>
          <w:t>WSD19-05</w:t>
        </w:r>
      </w:hyperlink>
      <w:r w:rsidRPr="00E05188">
        <w:rPr>
          <w:rFonts w:ascii="Calibri" w:eastAsia="Aptos" w:hAnsi="Calibri" w:cs="Calibri"/>
          <w:color w:val="1F497D"/>
          <w:kern w:val="0"/>
          <w:sz w:val="24"/>
          <w:szCs w:val="24"/>
        </w:rPr>
        <w:t xml:space="preserve"> </w:t>
      </w:r>
      <w:r w:rsidRPr="00E05188">
        <w:rPr>
          <w:rFonts w:ascii="Calibri" w:eastAsia="Aptos" w:hAnsi="Calibri" w:cs="Calibri"/>
          <w:kern w:val="0"/>
          <w:sz w:val="24"/>
          <w:szCs w:val="24"/>
        </w:rPr>
        <w:t>(December 4, 2019), for further information.</w:t>
      </w:r>
    </w:p>
    <w:p w14:paraId="1707D8C4" w14:textId="09CA4A73" w:rsidR="008544AA" w:rsidRPr="00DC1DE3" w:rsidRDefault="008544AA" w:rsidP="00291014">
      <w:pPr>
        <w:pStyle w:val="Heading3"/>
      </w:pPr>
      <w:bookmarkStart w:id="132" w:name="_Toc117246185"/>
      <w:bookmarkStart w:id="133" w:name="_Toc130496194"/>
      <w:bookmarkStart w:id="134" w:name="_Toc167356444"/>
      <w:bookmarkStart w:id="135" w:name="_Toc167894680"/>
      <w:bookmarkEnd w:id="131"/>
      <w:r w:rsidRPr="00DC1DE3">
        <w:t>Closeout</w:t>
      </w:r>
      <w:bookmarkStart w:id="136" w:name="_46r0co2"/>
      <w:bookmarkEnd w:id="132"/>
      <w:bookmarkEnd w:id="133"/>
      <w:bookmarkEnd w:id="134"/>
      <w:bookmarkEnd w:id="135"/>
      <w:bookmarkEnd w:id="136"/>
    </w:p>
    <w:p w14:paraId="23139911" w14:textId="2DCD14AB" w:rsidR="008544AA" w:rsidRPr="00DC1DE3" w:rsidRDefault="008544AA" w:rsidP="00F470F1">
      <w:pPr>
        <w:pStyle w:val="BodyText"/>
      </w:pPr>
      <w:bookmarkStart w:id="137" w:name="_Toc117246186"/>
      <w:r w:rsidRPr="00DC1DE3">
        <w:t>Project closeout reports are due within 60 days of the project termination date. Applicants should include costs associated with closeout activities in the budget plan</w:t>
      </w:r>
      <w:r w:rsidRPr="00BB23F9">
        <w:t xml:space="preserve">. Refer to </w:t>
      </w:r>
      <w:hyperlink r:id="rId33" w:history="1">
        <w:r w:rsidR="00503C53" w:rsidRPr="00BB23F9">
          <w:rPr>
            <w:rStyle w:val="Hyperlink"/>
            <w:u w:val="none"/>
          </w:rPr>
          <w:t>WSD16-05</w:t>
        </w:r>
      </w:hyperlink>
      <w:r w:rsidRPr="00BB23F9">
        <w:t xml:space="preserve">, Subject: </w:t>
      </w:r>
      <w:r w:rsidRPr="00BB23F9">
        <w:rPr>
          <w:i/>
          <w:iCs/>
        </w:rPr>
        <w:t>WIOA Closeout Requirements</w:t>
      </w:r>
      <w:r w:rsidRPr="00BB23F9">
        <w:t xml:space="preserve"> (July 29, 2016), for further guidance.</w:t>
      </w:r>
    </w:p>
    <w:p w14:paraId="41E3EE0D" w14:textId="7FCBAEEB" w:rsidR="008544AA" w:rsidRPr="00DC1DE3" w:rsidRDefault="008544AA" w:rsidP="00291014">
      <w:pPr>
        <w:pStyle w:val="Heading3"/>
      </w:pPr>
      <w:bookmarkStart w:id="138" w:name="_Toc130496195"/>
      <w:bookmarkStart w:id="139" w:name="_Toc167356445"/>
      <w:bookmarkStart w:id="140" w:name="_Toc167894681"/>
      <w:r w:rsidRPr="00DC1DE3">
        <w:t>Compliance</w:t>
      </w:r>
      <w:bookmarkEnd w:id="137"/>
      <w:bookmarkEnd w:id="138"/>
      <w:bookmarkEnd w:id="139"/>
      <w:bookmarkEnd w:id="140"/>
    </w:p>
    <w:p w14:paraId="6030507F" w14:textId="569B64D9" w:rsidR="008544AA" w:rsidRPr="00DC1DE3" w:rsidRDefault="008544AA" w:rsidP="00F470F1">
      <w:pPr>
        <w:pStyle w:val="BodyText"/>
      </w:pPr>
      <w:bookmarkStart w:id="141" w:name="_2lwamvv"/>
      <w:bookmarkEnd w:id="141"/>
      <w:r w:rsidRPr="00DC1DE3">
        <w:t xml:space="preserve">All funds are subject to state and federal statutory and regulatory requirements, including the WIOA and its associated federal regulations, </w:t>
      </w:r>
      <w:r w:rsidRPr="005C1696">
        <w:t xml:space="preserve">OMB Circulars, Title 29 of the </w:t>
      </w:r>
      <w:hyperlink r:id="rId34" w:history="1">
        <w:r w:rsidRPr="005C1696">
          <w:rPr>
            <w:rStyle w:val="Hyperlink"/>
            <w:i/>
            <w:u w:val="none"/>
          </w:rPr>
          <w:t>Code of Federal Regulations</w:t>
        </w:r>
      </w:hyperlink>
      <w:r w:rsidRPr="005C1696">
        <w:t>, and compliance with the Subgrant Agreement.</w:t>
      </w:r>
    </w:p>
    <w:p w14:paraId="388D07EE" w14:textId="06C65771" w:rsidR="008544AA" w:rsidRPr="00DC1DE3" w:rsidRDefault="008544AA" w:rsidP="00291014">
      <w:pPr>
        <w:pStyle w:val="Heading3"/>
      </w:pPr>
      <w:bookmarkStart w:id="142" w:name="_Toc117246187"/>
      <w:bookmarkStart w:id="143" w:name="_Toc130496196"/>
      <w:bookmarkStart w:id="144" w:name="_Toc167356446"/>
      <w:bookmarkStart w:id="145" w:name="_Toc167894682"/>
      <w:r w:rsidRPr="00DC1DE3">
        <w:t xml:space="preserve">Intellectual Property Rights/Creative </w:t>
      </w:r>
      <w:r w:rsidR="00503C53">
        <w:t>Commons</w:t>
      </w:r>
      <w:r w:rsidR="00503C53" w:rsidRPr="00DC1DE3">
        <w:t xml:space="preserve"> </w:t>
      </w:r>
      <w:r w:rsidRPr="00DC1DE3">
        <w:t>Attribution License</w:t>
      </w:r>
      <w:bookmarkEnd w:id="142"/>
      <w:bookmarkEnd w:id="143"/>
      <w:bookmarkEnd w:id="144"/>
      <w:bookmarkEnd w:id="145"/>
    </w:p>
    <w:p w14:paraId="15760F9A" w14:textId="2BC62440" w:rsidR="008544AA" w:rsidRPr="00DC1DE3" w:rsidRDefault="008544AA" w:rsidP="008F564F">
      <w:pPr>
        <w:pStyle w:val="BodyText"/>
      </w:pPr>
      <w:bookmarkStart w:id="146" w:name="_111kx3o"/>
      <w:bookmarkEnd w:id="146"/>
      <w:r w:rsidRPr="01476CFA">
        <w:rPr>
          <w:lang w:val="en-US"/>
        </w:rPr>
        <w:t xml:space="preserve">Subrecipients of a federal award obtain the title to intangible property once acquired. The subrecipient must use the property for the </w:t>
      </w:r>
      <w:r w:rsidR="00503C53">
        <w:rPr>
          <w:lang w:val="en-US"/>
        </w:rPr>
        <w:t>originally authorized</w:t>
      </w:r>
      <w:r w:rsidRPr="01476CFA">
        <w:rPr>
          <w:lang w:val="en-US"/>
        </w:rPr>
        <w:t xml:space="preserve"> purpose and must not encumber the property without approval from the EDD. Further, the DOL has the right to obtain, reproduce, publish, or otherwise use the data produced under a federal award and authorize others to receive, reproduce, publish, or otherwise use such data for federal purposes (</w:t>
      </w:r>
      <w:r w:rsidRPr="00530B99">
        <w:rPr>
          <w:lang w:val="en-US"/>
        </w:rPr>
        <w:t xml:space="preserve">Uniform Guidance Section </w:t>
      </w:r>
      <w:hyperlink r:id="rId35" w:anchor="p-200.315(d)" w:history="1">
        <w:r w:rsidRPr="00530B99">
          <w:rPr>
            <w:rStyle w:val="Hyperlink"/>
            <w:u w:val="none"/>
            <w:lang w:val="en-US"/>
          </w:rPr>
          <w:t>200.315[a],[d]</w:t>
        </w:r>
      </w:hyperlink>
      <w:r w:rsidRPr="009F35A2">
        <w:rPr>
          <w:lang w:val="en-US"/>
        </w:rPr>
        <w:t>)</w:t>
      </w:r>
      <w:r w:rsidRPr="01476CFA">
        <w:rPr>
          <w:lang w:val="en-US"/>
        </w:rPr>
        <w:t xml:space="preserve">. In addition, DOL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recipient </w:t>
      </w:r>
      <w:r w:rsidRPr="00530B99">
        <w:rPr>
          <w:lang w:val="en-US"/>
        </w:rPr>
        <w:t xml:space="preserve">(DOL Exceptions 2 CFR Section </w:t>
      </w:r>
      <w:hyperlink r:id="rId36" w:history="1">
        <w:r w:rsidRPr="00530B99">
          <w:rPr>
            <w:rStyle w:val="Hyperlink"/>
            <w:u w:val="none"/>
            <w:lang w:val="en-US"/>
          </w:rPr>
          <w:t>2900.13</w:t>
        </w:r>
      </w:hyperlink>
      <w:r w:rsidRPr="00530B99">
        <w:rPr>
          <w:lang w:val="en-US"/>
        </w:rPr>
        <w:t xml:space="preserve">). Refer to </w:t>
      </w:r>
      <w:hyperlink r:id="rId37">
        <w:r w:rsidRPr="00530B99">
          <w:rPr>
            <w:color w:val="467886"/>
            <w:lang w:val="en-US"/>
          </w:rPr>
          <w:t>WSD16-10</w:t>
        </w:r>
      </w:hyperlink>
      <w:r w:rsidRPr="00530B99">
        <w:rPr>
          <w:lang w:val="en-US"/>
        </w:rPr>
        <w:t xml:space="preserve">, Subject: </w:t>
      </w:r>
      <w:r w:rsidRPr="00530B99">
        <w:rPr>
          <w:i/>
          <w:iCs/>
          <w:lang w:val="en-US"/>
        </w:rPr>
        <w:t>Property – Purchasing, Inventory, and Disposal</w:t>
      </w:r>
      <w:r w:rsidRPr="00530B99">
        <w:rPr>
          <w:lang w:val="en-US"/>
        </w:rPr>
        <w:t xml:space="preserve"> (November 10, 2016) for more information.</w:t>
      </w:r>
    </w:p>
    <w:p w14:paraId="7D5F10E4" w14:textId="33B44326" w:rsidR="008544AA" w:rsidRPr="00DC1DE3" w:rsidRDefault="008544AA" w:rsidP="00291014">
      <w:pPr>
        <w:pStyle w:val="Heading3"/>
      </w:pPr>
      <w:bookmarkStart w:id="147" w:name="_Toc130496197"/>
      <w:bookmarkStart w:id="148" w:name="_Toc167356447"/>
      <w:bookmarkStart w:id="149" w:name="_Toc167894683"/>
      <w:r w:rsidRPr="00DC1DE3">
        <w:t>Public Communications – Certain Information Requirement</w:t>
      </w:r>
      <w:bookmarkEnd w:id="147"/>
      <w:bookmarkEnd w:id="148"/>
      <w:bookmarkEnd w:id="149"/>
    </w:p>
    <w:p w14:paraId="088504FD" w14:textId="0C05F068" w:rsidR="008544AA" w:rsidRPr="00DC1DE3" w:rsidRDefault="008544AA" w:rsidP="1E88D79A">
      <w:pPr>
        <w:pStyle w:val="BodyText"/>
        <w:rPr>
          <w:lang w:val="en-US"/>
        </w:rPr>
      </w:pPr>
      <w:r w:rsidRPr="1E88D79A">
        <w:rPr>
          <w:lang w:val="en-US"/>
        </w:rPr>
        <w:t xml:space="preserve">Pursuant to </w:t>
      </w:r>
      <w:r w:rsidRPr="00F11543">
        <w:rPr>
          <w:lang w:val="en-US"/>
        </w:rPr>
        <w:t>P.L. 117-103, Division H, Title V</w:t>
      </w:r>
      <w:r w:rsidRPr="009F35A2">
        <w:rPr>
          <w:lang w:val="en-US"/>
        </w:rPr>
        <w:t xml:space="preserve">, </w:t>
      </w:r>
      <w:hyperlink r:id="rId38" w:history="1">
        <w:r w:rsidRPr="00C34CBA">
          <w:rPr>
            <w:rStyle w:val="Hyperlink"/>
            <w:u w:val="none"/>
          </w:rPr>
          <w:t>Section 505</w:t>
        </w:r>
      </w:hyperlink>
      <w:r w:rsidRPr="009F35A2">
        <w:rPr>
          <w:lang w:val="en-US"/>
        </w:rPr>
        <w:t>,</w:t>
      </w:r>
      <w:r w:rsidRPr="1E88D79A">
        <w:rPr>
          <w:lang w:val="en-US"/>
        </w:rPr>
        <w:t xml:space="preserve"> when issuing statements, press releases, requests for proposals, bid solicitations, and other documents describing projects or programs funded in whole or in part with </w:t>
      </w:r>
      <w:r w:rsidR="00A544A1" w:rsidRPr="1E88D79A">
        <w:rPr>
          <w:lang w:val="en-US"/>
        </w:rPr>
        <w:t>f</w:t>
      </w:r>
      <w:r w:rsidRPr="1E88D79A">
        <w:rPr>
          <w:lang w:val="en-US"/>
        </w:rPr>
        <w:t xml:space="preserve">ederal money, all non-Federal entities receiving </w:t>
      </w:r>
      <w:r w:rsidR="00A544A1" w:rsidRPr="1E88D79A">
        <w:rPr>
          <w:lang w:val="en-US"/>
        </w:rPr>
        <w:t>f</w:t>
      </w:r>
      <w:r w:rsidRPr="1E88D79A">
        <w:rPr>
          <w:lang w:val="en-US"/>
        </w:rPr>
        <w:t>ederal funds shall clearly state:</w:t>
      </w:r>
    </w:p>
    <w:p w14:paraId="5DAFD17A" w14:textId="654D5ED0" w:rsidR="008544AA" w:rsidRPr="00E60407" w:rsidRDefault="008544AA" w:rsidP="00763B60">
      <w:pPr>
        <w:pStyle w:val="ListParagraph"/>
        <w:spacing w:after="120" w:line="240" w:lineRule="auto"/>
      </w:pPr>
      <w:r w:rsidRPr="00E60407">
        <w:t xml:space="preserve">The percentage of the total costs of the project </w:t>
      </w:r>
      <w:r w:rsidR="00CC5ECB">
        <w:t>that</w:t>
      </w:r>
      <w:r w:rsidR="00CC5ECB" w:rsidRPr="00E60407">
        <w:t xml:space="preserve"> </w:t>
      </w:r>
      <w:r w:rsidRPr="00E60407">
        <w:t xml:space="preserve">will be financed with </w:t>
      </w:r>
      <w:r w:rsidR="00A544A1">
        <w:t>f</w:t>
      </w:r>
      <w:r w:rsidRPr="00E60407">
        <w:t>ederal money.</w:t>
      </w:r>
    </w:p>
    <w:p w14:paraId="3D040D10" w14:textId="1173991D" w:rsidR="008544AA" w:rsidRPr="00E60407" w:rsidRDefault="008544AA" w:rsidP="00763B60">
      <w:pPr>
        <w:pStyle w:val="ListParagraph"/>
        <w:spacing w:after="120" w:line="240" w:lineRule="auto"/>
      </w:pPr>
      <w:r w:rsidRPr="00E60407">
        <w:lastRenderedPageBreak/>
        <w:t xml:space="preserve">The dollar amount of </w:t>
      </w:r>
      <w:r w:rsidR="00A544A1">
        <w:t>f</w:t>
      </w:r>
      <w:r w:rsidRPr="00E60407">
        <w:t>ederal funds for the project.</w:t>
      </w:r>
    </w:p>
    <w:p w14:paraId="4A192420" w14:textId="1B24C773" w:rsidR="008544AA" w:rsidRPr="00E60407" w:rsidRDefault="008544AA" w:rsidP="00763B60">
      <w:pPr>
        <w:pStyle w:val="ListParagraph"/>
        <w:spacing w:after="240" w:line="240" w:lineRule="auto"/>
      </w:pPr>
      <w:r w:rsidRPr="00E60407">
        <w:t>The percentage and dollar amount of the total costs of the project that will</w:t>
      </w:r>
      <w:r w:rsidR="00CC5ECB">
        <w:t xml:space="preserve"> </w:t>
      </w:r>
      <w:r w:rsidRPr="00E60407">
        <w:t>be financed by non-governmental sources.</w:t>
      </w:r>
    </w:p>
    <w:p w14:paraId="20EEC895" w14:textId="7A8167CB" w:rsidR="008544AA" w:rsidRPr="00F470F1" w:rsidRDefault="008544AA" w:rsidP="00F470F1">
      <w:pPr>
        <w:pStyle w:val="BodyText"/>
      </w:pPr>
      <w:r w:rsidRPr="01476CFA">
        <w:rPr>
          <w:lang w:val="en-US"/>
        </w:rPr>
        <w:t xml:space="preserve">The requirements of this term are separate from those in </w:t>
      </w:r>
      <w:hyperlink r:id="rId39" w:history="1">
        <w:r w:rsidRPr="005F1246">
          <w:rPr>
            <w:rStyle w:val="Hyperlink"/>
            <w:u w:val="none"/>
            <w:lang w:val="en-US"/>
          </w:rPr>
          <w:t>2 CFR Part 200</w:t>
        </w:r>
      </w:hyperlink>
      <w:r w:rsidRPr="009F35A2">
        <w:rPr>
          <w:lang w:val="en-US"/>
        </w:rPr>
        <w:t>,</w:t>
      </w:r>
      <w:r w:rsidRPr="01476CFA">
        <w:rPr>
          <w:lang w:val="en-US"/>
        </w:rPr>
        <w:t xml:space="preserve"> and, when applicable, both must be complied with.</w:t>
      </w:r>
    </w:p>
    <w:p w14:paraId="0BBC28ED" w14:textId="77777777" w:rsidR="008544AA" w:rsidRPr="00DC1DE3" w:rsidRDefault="008544AA" w:rsidP="00291014">
      <w:pPr>
        <w:pStyle w:val="Heading3"/>
      </w:pPr>
      <w:bookmarkStart w:id="150" w:name="_Toc116915405"/>
      <w:bookmarkStart w:id="151" w:name="_Toc117246189"/>
      <w:bookmarkStart w:id="152" w:name="_Toc130496198"/>
      <w:bookmarkStart w:id="153" w:name="_Toc167356448"/>
      <w:bookmarkStart w:id="154" w:name="_Toc167894684"/>
      <w:r w:rsidRPr="00DC1DE3">
        <w:t>Evaluation</w:t>
      </w:r>
      <w:bookmarkEnd w:id="150"/>
      <w:bookmarkEnd w:id="151"/>
      <w:bookmarkEnd w:id="152"/>
      <w:bookmarkEnd w:id="153"/>
      <w:bookmarkEnd w:id="154"/>
    </w:p>
    <w:p w14:paraId="1C92B663" w14:textId="4054575E" w:rsidR="008544AA" w:rsidRPr="00DC1DE3" w:rsidRDefault="008544AA" w:rsidP="00F470F1">
      <w:pPr>
        <w:pStyle w:val="BodyText"/>
      </w:pPr>
      <w:r w:rsidRPr="005F232B">
        <w:rPr>
          <w:lang w:val="en-US"/>
        </w:rPr>
        <w:t xml:space="preserve">The </w:t>
      </w:r>
      <w:hyperlink r:id="rId40" w:history="1">
        <w:r w:rsidRPr="005F232B">
          <w:rPr>
            <w:rStyle w:val="Hyperlink"/>
            <w:u w:val="none"/>
            <w:lang w:val="en-US"/>
          </w:rPr>
          <w:t>WIOA</w:t>
        </w:r>
      </w:hyperlink>
      <w:r w:rsidRPr="005F232B">
        <w:rPr>
          <w:lang w:val="en-US"/>
        </w:rPr>
        <w:t xml:space="preserve"> Sections 134 and 136 (e) </w:t>
      </w:r>
      <w:r w:rsidR="000F0355" w:rsidRPr="005F232B">
        <w:rPr>
          <w:lang w:val="en-US"/>
        </w:rPr>
        <w:t xml:space="preserve">provide </w:t>
      </w:r>
      <w:r w:rsidRPr="005F232B">
        <w:rPr>
          <w:lang w:val="en-US"/>
        </w:rPr>
        <w:t>for the ongoing evaluation of workforce development activities. A statewide activities assessment allows the state to determine the effectiveness of the Governor’s Discretionary Funds in addressing identified statewide needs.</w:t>
      </w:r>
      <w:r w:rsidRPr="01476CFA">
        <w:rPr>
          <w:lang w:val="en-US"/>
        </w:rPr>
        <w:t xml:space="preserve"> As a result, the state may pursue a statewide evaluation of the projects awarded through this SFP. If a statewide evaluation occurs, the subrecipient will be required to participate by providing the requested data and information. Therefore, throughout the POP</w:t>
      </w:r>
      <w:r w:rsidR="007B2BE9">
        <w:rPr>
          <w:lang w:val="en-US"/>
        </w:rPr>
        <w:t>,</w:t>
      </w:r>
      <w:r w:rsidRPr="01476CFA">
        <w:rPr>
          <w:lang w:val="en-US"/>
        </w:rPr>
        <w:t xml:space="preserve"> subrecipients must document lessons learned and effective practices ascertained through this project and share them through the QPR medium.</w:t>
      </w:r>
    </w:p>
    <w:p w14:paraId="1B23DEF3" w14:textId="501BE060" w:rsidR="008544AA" w:rsidRDefault="00FA162F" w:rsidP="00F26E86">
      <w:pPr>
        <w:pStyle w:val="Heading3"/>
      </w:pPr>
      <w:bookmarkStart w:id="155" w:name="_Toc117246190"/>
      <w:bookmarkStart w:id="156" w:name="_Toc130496199"/>
      <w:r>
        <w:t>Deliverables</w:t>
      </w:r>
      <w:r w:rsidR="00F26E86">
        <w:t xml:space="preserve">    </w:t>
      </w:r>
    </w:p>
    <w:p w14:paraId="673F5AC9" w14:textId="54C1593C" w:rsidR="00F26E86" w:rsidRDefault="00F26E86" w:rsidP="00F26E86">
      <w:pPr>
        <w:rPr>
          <w:rFonts w:ascii="Calibri" w:hAnsi="Calibri" w:cs="Calibri"/>
          <w:sz w:val="24"/>
          <w:szCs w:val="24"/>
        </w:rPr>
      </w:pPr>
      <w:r>
        <w:rPr>
          <w:rFonts w:ascii="Calibri" w:hAnsi="Calibri" w:cs="Calibri"/>
          <w:sz w:val="24"/>
          <w:szCs w:val="24"/>
        </w:rPr>
        <w:t>Data and products developed under this grant will be considered grant-funded deliverables and will remain the property of the EDD. All deliverables must be submitted for review and receive formal approval from EDD before they are considered final. Any use, distribution, or publication of these materials must comply with the grant’s Intellectual Property Rights/Creative Commons Attribution License and receive approval for dissemination from the EDD.</w:t>
      </w:r>
    </w:p>
    <w:p w14:paraId="4BAA75C7" w14:textId="77777777" w:rsidR="003117B7" w:rsidRDefault="003117B7" w:rsidP="00F26E86">
      <w:pPr>
        <w:rPr>
          <w:rFonts w:ascii="Calibri" w:hAnsi="Calibri" w:cs="Calibri"/>
          <w:sz w:val="24"/>
          <w:szCs w:val="24"/>
        </w:rPr>
      </w:pPr>
    </w:p>
    <w:p w14:paraId="213647CF" w14:textId="77777777" w:rsidR="003117B7" w:rsidRDefault="003117B7" w:rsidP="00F26E86">
      <w:pPr>
        <w:rPr>
          <w:rFonts w:ascii="Calibri" w:hAnsi="Calibri" w:cs="Calibri"/>
          <w:sz w:val="24"/>
          <w:szCs w:val="24"/>
        </w:rPr>
      </w:pPr>
    </w:p>
    <w:p w14:paraId="52C0E012" w14:textId="77777777" w:rsidR="003117B7" w:rsidRDefault="003117B7" w:rsidP="00F26E86">
      <w:pPr>
        <w:rPr>
          <w:rFonts w:ascii="Calibri" w:hAnsi="Calibri" w:cs="Calibri"/>
          <w:sz w:val="24"/>
          <w:szCs w:val="24"/>
        </w:rPr>
      </w:pPr>
    </w:p>
    <w:p w14:paraId="1416CCAC" w14:textId="77777777" w:rsidR="003117B7" w:rsidRDefault="003117B7" w:rsidP="00F26E86">
      <w:pPr>
        <w:rPr>
          <w:rFonts w:ascii="Calibri" w:hAnsi="Calibri" w:cs="Calibri"/>
          <w:sz w:val="24"/>
          <w:szCs w:val="24"/>
        </w:rPr>
      </w:pPr>
    </w:p>
    <w:p w14:paraId="184A2659" w14:textId="77777777" w:rsidR="003117B7" w:rsidRDefault="003117B7" w:rsidP="00F26E86">
      <w:pPr>
        <w:rPr>
          <w:rFonts w:ascii="Calibri" w:hAnsi="Calibri" w:cs="Calibri"/>
          <w:sz w:val="24"/>
          <w:szCs w:val="24"/>
        </w:rPr>
      </w:pPr>
    </w:p>
    <w:p w14:paraId="2264764E" w14:textId="77777777" w:rsidR="003117B7" w:rsidRDefault="003117B7" w:rsidP="00F26E86">
      <w:pPr>
        <w:rPr>
          <w:rFonts w:ascii="Calibri" w:hAnsi="Calibri" w:cs="Calibri"/>
          <w:sz w:val="24"/>
          <w:szCs w:val="24"/>
        </w:rPr>
      </w:pPr>
    </w:p>
    <w:p w14:paraId="62A59D47" w14:textId="77777777" w:rsidR="003117B7" w:rsidRDefault="003117B7" w:rsidP="00F26E86">
      <w:pPr>
        <w:rPr>
          <w:rFonts w:ascii="Calibri" w:hAnsi="Calibri" w:cs="Calibri"/>
          <w:sz w:val="24"/>
          <w:szCs w:val="24"/>
        </w:rPr>
      </w:pPr>
    </w:p>
    <w:p w14:paraId="43B11ADE" w14:textId="77777777" w:rsidR="003117B7" w:rsidRDefault="003117B7" w:rsidP="00F26E86">
      <w:pPr>
        <w:rPr>
          <w:rFonts w:ascii="Calibri" w:hAnsi="Calibri" w:cs="Calibri"/>
          <w:sz w:val="24"/>
          <w:szCs w:val="24"/>
        </w:rPr>
      </w:pPr>
    </w:p>
    <w:p w14:paraId="361C2595" w14:textId="77777777" w:rsidR="00EE2987" w:rsidRDefault="00EE2987" w:rsidP="00F26E86">
      <w:pPr>
        <w:rPr>
          <w:rFonts w:ascii="Calibri" w:hAnsi="Calibri" w:cs="Calibri"/>
          <w:sz w:val="24"/>
          <w:szCs w:val="24"/>
        </w:rPr>
      </w:pPr>
    </w:p>
    <w:p w14:paraId="2B24F315" w14:textId="77777777" w:rsidR="00EE2987" w:rsidRDefault="00EE2987" w:rsidP="00F26E86">
      <w:pPr>
        <w:rPr>
          <w:rFonts w:ascii="Calibri" w:hAnsi="Calibri" w:cs="Calibri"/>
          <w:sz w:val="24"/>
          <w:szCs w:val="24"/>
        </w:rPr>
      </w:pPr>
    </w:p>
    <w:p w14:paraId="46258517" w14:textId="77777777" w:rsidR="00EE2987" w:rsidRPr="00F26E86" w:rsidRDefault="00EE2987" w:rsidP="00F26E86">
      <w:pPr>
        <w:rPr>
          <w:rFonts w:ascii="Calibri" w:hAnsi="Calibri" w:cs="Calibri"/>
          <w:sz w:val="24"/>
          <w:szCs w:val="24"/>
        </w:rPr>
      </w:pPr>
    </w:p>
    <w:p w14:paraId="4A2CC3FA" w14:textId="77777777" w:rsidR="008544AA" w:rsidRPr="00DC1DE3" w:rsidRDefault="008544AA" w:rsidP="00F470F1">
      <w:pPr>
        <w:pStyle w:val="Heading2"/>
        <w:numPr>
          <w:ilvl w:val="0"/>
          <w:numId w:val="0"/>
        </w:numPr>
        <w:rPr>
          <w:rFonts w:eastAsia="Arial"/>
        </w:rPr>
      </w:pPr>
      <w:bookmarkStart w:id="157" w:name="_Toc167894686"/>
      <w:r w:rsidRPr="00DC1DE3">
        <w:rPr>
          <w:rFonts w:eastAsia="Arial"/>
        </w:rPr>
        <w:lastRenderedPageBreak/>
        <w:t>Appendix A: Proposal Package Instructions</w:t>
      </w:r>
      <w:bookmarkEnd w:id="155"/>
      <w:bookmarkEnd w:id="156"/>
      <w:bookmarkEnd w:id="157"/>
    </w:p>
    <w:p w14:paraId="10748BD5" w14:textId="77777777" w:rsidR="009D2427" w:rsidRDefault="009D2427" w:rsidP="00763B60">
      <w:pPr>
        <w:pStyle w:val="BodyText"/>
        <w:spacing w:after="0"/>
        <w:rPr>
          <w:rFonts w:cs="Calibri"/>
          <w:lang w:val="en-US"/>
        </w:rPr>
      </w:pPr>
    </w:p>
    <w:p w14:paraId="32673466" w14:textId="7BBF8F66" w:rsidR="008544AA" w:rsidRPr="00E60407" w:rsidRDefault="008544AA" w:rsidP="01476CFA">
      <w:pPr>
        <w:pStyle w:val="BodyText"/>
        <w:rPr>
          <w:rFonts w:cs="Calibri"/>
          <w:lang w:val="en-US"/>
        </w:rPr>
      </w:pPr>
      <w:r w:rsidRPr="01476CFA">
        <w:rPr>
          <w:rFonts w:cs="Calibri"/>
          <w:lang w:val="en-US"/>
        </w:rPr>
        <w:t xml:space="preserve">Applicants must follow the instructions below and complete all requested exhibits in the SFP announcement. The Cover/Signature Page, Executive Summary, Project Narrative, and all Exhibits must be completed in </w:t>
      </w:r>
      <w:r w:rsidR="00ED1CF7">
        <w:rPr>
          <w:rFonts w:cs="Calibri"/>
          <w:lang w:val="en-US"/>
        </w:rPr>
        <w:t>1</w:t>
      </w:r>
      <w:r w:rsidR="003E66B0">
        <w:rPr>
          <w:rFonts w:cs="Calibri"/>
          <w:lang w:val="en-US"/>
        </w:rPr>
        <w:t>2</w:t>
      </w:r>
      <w:r w:rsidRPr="00ED1CF7">
        <w:rPr>
          <w:rFonts w:cs="Calibri"/>
          <w:lang w:val="en-US"/>
        </w:rPr>
        <w:t>-point</w:t>
      </w:r>
      <w:r w:rsidR="00ED1CF7">
        <w:rPr>
          <w:rFonts w:cs="Calibri"/>
          <w:lang w:val="en-US"/>
        </w:rPr>
        <w:t xml:space="preserve"> Aptos</w:t>
      </w:r>
      <w:r w:rsidRPr="00ED1CF7">
        <w:rPr>
          <w:rFonts w:cs="Calibri"/>
          <w:lang w:val="en-US"/>
        </w:rPr>
        <w:t xml:space="preserve"> font.</w:t>
      </w:r>
      <w:r w:rsidRPr="01476CFA">
        <w:rPr>
          <w:rFonts w:cs="Calibri"/>
          <w:lang w:val="en-US"/>
        </w:rPr>
        <w:t xml:space="preserve"> The Cover/Signature Page, Executive Summary, required exhibits, partnership agreement letters, commitment letters, and optional letters of support are not included in the </w:t>
      </w:r>
      <w:r w:rsidR="005A5601" w:rsidRPr="00C979B9">
        <w:rPr>
          <w:rFonts w:cs="Calibri"/>
          <w:lang w:val="en-US"/>
        </w:rPr>
        <w:t>10</w:t>
      </w:r>
      <w:r w:rsidRPr="00C979B9">
        <w:rPr>
          <w:rFonts w:cs="Calibri"/>
          <w:lang w:val="en-US"/>
        </w:rPr>
        <w:t>-page limit</w:t>
      </w:r>
      <w:r w:rsidRPr="01476CFA">
        <w:rPr>
          <w:rFonts w:cs="Calibri"/>
          <w:lang w:val="en-US"/>
        </w:rPr>
        <w:t xml:space="preserve">, which applies only to the narrative. After carefully reviewing the SFP and Appendices, questions regarding the proposal package can be emailed to EDD staff at </w:t>
      </w:r>
      <w:r w:rsidR="005A5601" w:rsidRPr="00C979B9">
        <w:rPr>
          <w:rFonts w:cs="Calibri"/>
          <w:lang w:val="en-US"/>
        </w:rPr>
        <w:t>WSBSFP3@edd.ca.gov</w:t>
      </w:r>
      <w:r w:rsidRPr="00C979B9">
        <w:rPr>
          <w:rFonts w:cs="Calibri"/>
          <w:lang w:val="en-US"/>
        </w:rPr>
        <w:t>.</w:t>
      </w:r>
    </w:p>
    <w:p w14:paraId="2FF3C6FB" w14:textId="6DAF75BA" w:rsidR="008544AA" w:rsidRPr="00E60407" w:rsidRDefault="00232E00" w:rsidP="00086CF0">
      <w:pPr>
        <w:pStyle w:val="Heading3"/>
        <w:numPr>
          <w:ilvl w:val="0"/>
          <w:numId w:val="13"/>
        </w:numPr>
      </w:pPr>
      <w:bookmarkStart w:id="158" w:name="_Toc167894687"/>
      <w:bookmarkStart w:id="159" w:name="_Hlk158715575"/>
      <w:bookmarkStart w:id="160" w:name="_Hlk130057537"/>
      <w:r>
        <w:t xml:space="preserve">Required Documents and </w:t>
      </w:r>
      <w:r w:rsidR="008544AA" w:rsidRPr="00E60407">
        <w:t>Format</w:t>
      </w:r>
      <w:bookmarkEnd w:id="158"/>
    </w:p>
    <w:bookmarkEnd w:id="159"/>
    <w:p w14:paraId="1F05C22E" w14:textId="73383C47" w:rsidR="00E60407" w:rsidRDefault="00232E00" w:rsidP="00E60407">
      <w:pPr>
        <w:rPr>
          <w:rFonts w:ascii="Calibri" w:hAnsi="Calibri" w:cs="Calibri"/>
          <w:sz w:val="24"/>
          <w:szCs w:val="24"/>
        </w:rPr>
      </w:pPr>
      <w:r w:rsidRPr="543319F8">
        <w:rPr>
          <w:rFonts w:ascii="Calibri" w:hAnsi="Calibri" w:cs="Calibri"/>
          <w:sz w:val="24"/>
          <w:szCs w:val="24"/>
        </w:rPr>
        <w:t xml:space="preserve">Figure A.1 below lists the SFP Exhibits and Exhibit Attachments </w:t>
      </w:r>
      <w:r>
        <w:rPr>
          <w:rFonts w:ascii="Calibri" w:hAnsi="Calibri" w:cs="Calibri"/>
          <w:sz w:val="24"/>
          <w:szCs w:val="24"/>
        </w:rPr>
        <w:t xml:space="preserve">the applicant is </w:t>
      </w:r>
      <w:r w:rsidRPr="543319F8">
        <w:rPr>
          <w:rFonts w:ascii="Calibri" w:hAnsi="Calibri" w:cs="Calibri"/>
          <w:sz w:val="24"/>
          <w:szCs w:val="24"/>
        </w:rPr>
        <w:t>required to download and complete according to the instructions in th</w:t>
      </w:r>
      <w:r>
        <w:rPr>
          <w:rFonts w:ascii="Calibri" w:hAnsi="Calibri" w:cs="Calibri"/>
          <w:sz w:val="24"/>
          <w:szCs w:val="24"/>
        </w:rPr>
        <w:t>is</w:t>
      </w:r>
      <w:r w:rsidRPr="543319F8">
        <w:rPr>
          <w:rFonts w:ascii="Calibri" w:hAnsi="Calibri" w:cs="Calibri"/>
          <w:sz w:val="24"/>
          <w:szCs w:val="24"/>
        </w:rPr>
        <w:t xml:space="preserve"> SFP</w:t>
      </w:r>
      <w:r>
        <w:rPr>
          <w:rFonts w:ascii="Calibri" w:hAnsi="Calibri" w:cs="Calibri"/>
          <w:sz w:val="24"/>
          <w:szCs w:val="24"/>
        </w:rPr>
        <w:t>.</w:t>
      </w:r>
      <w:r w:rsidRPr="543319F8">
        <w:rPr>
          <w:rFonts w:ascii="Calibri" w:hAnsi="Calibri" w:cs="Calibri"/>
          <w:sz w:val="24"/>
          <w:szCs w:val="24"/>
        </w:rPr>
        <w:t xml:space="preserve"> </w:t>
      </w:r>
      <w:r>
        <w:rPr>
          <w:rFonts w:ascii="Calibri" w:hAnsi="Calibri" w:cs="Calibri"/>
          <w:sz w:val="24"/>
          <w:szCs w:val="24"/>
        </w:rPr>
        <w:t>Applicants should</w:t>
      </w:r>
      <w:r w:rsidRPr="543319F8">
        <w:rPr>
          <w:rFonts w:ascii="Calibri" w:hAnsi="Calibri" w:cs="Calibri"/>
          <w:sz w:val="24"/>
          <w:szCs w:val="24"/>
        </w:rPr>
        <w:t xml:space="preserve"> submit </w:t>
      </w:r>
      <w:r>
        <w:rPr>
          <w:rFonts w:ascii="Calibri" w:hAnsi="Calibri" w:cs="Calibri"/>
          <w:sz w:val="24"/>
          <w:szCs w:val="24"/>
        </w:rPr>
        <w:t xml:space="preserve">documents according to the </w:t>
      </w:r>
      <w:r w:rsidRPr="543319F8">
        <w:rPr>
          <w:rFonts w:ascii="Calibri" w:hAnsi="Calibri" w:cs="Calibri"/>
          <w:sz w:val="24"/>
          <w:szCs w:val="24"/>
        </w:rPr>
        <w:t xml:space="preserve">naming convention guidelines by the deadline </w:t>
      </w:r>
      <w:r>
        <w:rPr>
          <w:rFonts w:ascii="Calibri" w:hAnsi="Calibri" w:cs="Calibri"/>
          <w:sz w:val="24"/>
          <w:szCs w:val="24"/>
        </w:rPr>
        <w:t>stated</w:t>
      </w:r>
      <w:r w:rsidRPr="543319F8">
        <w:rPr>
          <w:rFonts w:ascii="Calibri" w:hAnsi="Calibri" w:cs="Calibri"/>
          <w:sz w:val="24"/>
          <w:szCs w:val="24"/>
        </w:rPr>
        <w:t xml:space="preserve"> in the SFP</w:t>
      </w:r>
      <w:r>
        <w:rPr>
          <w:rFonts w:ascii="Calibri" w:hAnsi="Calibri" w:cs="Calibri"/>
          <w:sz w:val="24"/>
          <w:szCs w:val="24"/>
        </w:rPr>
        <w:t>. Applications that fail to do this may be</w:t>
      </w:r>
      <w:r w:rsidRPr="543319F8">
        <w:rPr>
          <w:rFonts w:ascii="Calibri" w:hAnsi="Calibri" w:cs="Calibri"/>
          <w:sz w:val="24"/>
          <w:szCs w:val="24"/>
        </w:rPr>
        <w:t xml:space="preserve"> deemed non-responsive and disqualified </w:t>
      </w:r>
      <w:r>
        <w:rPr>
          <w:rFonts w:ascii="Calibri" w:hAnsi="Calibri" w:cs="Calibri"/>
          <w:sz w:val="24"/>
          <w:szCs w:val="24"/>
        </w:rPr>
        <w:t>from being</w:t>
      </w:r>
      <w:r w:rsidRPr="543319F8">
        <w:rPr>
          <w:rFonts w:ascii="Calibri" w:hAnsi="Calibri" w:cs="Calibri"/>
          <w:sz w:val="24"/>
          <w:szCs w:val="24"/>
        </w:rPr>
        <w:t xml:space="preserve"> forward</w:t>
      </w:r>
      <w:r>
        <w:rPr>
          <w:rFonts w:ascii="Calibri" w:hAnsi="Calibri" w:cs="Calibri"/>
          <w:sz w:val="24"/>
          <w:szCs w:val="24"/>
        </w:rPr>
        <w:t>ed</w:t>
      </w:r>
      <w:r w:rsidRPr="543319F8">
        <w:rPr>
          <w:rFonts w:ascii="Calibri" w:hAnsi="Calibri" w:cs="Calibri"/>
          <w:sz w:val="24"/>
          <w:szCs w:val="24"/>
        </w:rPr>
        <w:t xml:space="preserve"> for funding consideration</w:t>
      </w:r>
      <w:r w:rsidR="008544AA" w:rsidRPr="543319F8">
        <w:rPr>
          <w:rFonts w:ascii="Calibri" w:hAnsi="Calibri" w:cs="Calibri"/>
          <w:sz w:val="24"/>
          <w:szCs w:val="24"/>
        </w:rPr>
        <w:t>. The list may also be used as a checklist to help ensure a complete SFP application package submission.</w:t>
      </w:r>
    </w:p>
    <w:p w14:paraId="39C2368F" w14:textId="7D6658E3" w:rsidR="008544AA" w:rsidRPr="00F470F1" w:rsidRDefault="008544AA" w:rsidP="00763B60">
      <w:pPr>
        <w:spacing w:after="0" w:line="240" w:lineRule="auto"/>
        <w:ind w:left="-187" w:firstLine="187"/>
        <w:rPr>
          <w:rFonts w:ascii="Calibri" w:hAnsi="Calibri" w:cs="Calibri"/>
          <w:sz w:val="24"/>
          <w:szCs w:val="24"/>
        </w:rPr>
      </w:pPr>
      <w:r w:rsidRPr="00F470F1">
        <w:rPr>
          <w:rFonts w:ascii="Calibri" w:hAnsi="Calibri" w:cs="Calibri"/>
          <w:b/>
          <w:bCs/>
          <w:sz w:val="24"/>
          <w:szCs w:val="24"/>
        </w:rPr>
        <w:t xml:space="preserve">Figure </w:t>
      </w:r>
      <w:r w:rsidR="008F564F">
        <w:rPr>
          <w:rFonts w:ascii="Calibri" w:hAnsi="Calibri" w:cs="Calibri"/>
          <w:b/>
          <w:bCs/>
          <w:sz w:val="24"/>
          <w:szCs w:val="24"/>
        </w:rPr>
        <w:t>A.1</w:t>
      </w:r>
      <w:r w:rsidRPr="00F470F1">
        <w:rPr>
          <w:rFonts w:ascii="Calibri" w:hAnsi="Calibri" w:cs="Calibri"/>
          <w:b/>
          <w:bCs/>
          <w:sz w:val="24"/>
          <w:szCs w:val="24"/>
        </w:rPr>
        <w:t xml:space="preserve">: Required Document Format Checklist </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E60407" w14:paraId="18D2E758" w14:textId="77777777" w:rsidTr="006E259A">
        <w:trPr>
          <w:trHeight w:val="395"/>
        </w:trPr>
        <w:tc>
          <w:tcPr>
            <w:tcW w:w="4711" w:type="pct"/>
            <w:shd w:val="clear" w:color="auto" w:fill="F2F2F2" w:themeFill="background1" w:themeFillShade="F2"/>
          </w:tcPr>
          <w:p w14:paraId="6AB3D201" w14:textId="77777777" w:rsidR="008544AA" w:rsidRPr="00F470F1" w:rsidRDefault="008544AA" w:rsidP="00763B60">
            <w:pPr>
              <w:pStyle w:val="BodyText"/>
              <w:spacing w:after="0"/>
              <w:rPr>
                <w:rFonts w:cs="Calibri"/>
              </w:rPr>
            </w:pPr>
            <w:r w:rsidRPr="00F470F1">
              <w:rPr>
                <w:rFonts w:cs="Calibri"/>
                <w:b/>
              </w:rPr>
              <w:t>Required SFP Exhibits</w:t>
            </w:r>
            <w:r w:rsidRPr="00F470F1">
              <w:rPr>
                <w:rFonts w:cs="Calibri"/>
              </w:rPr>
              <w:t xml:space="preserve"> </w:t>
            </w:r>
          </w:p>
        </w:tc>
        <w:tc>
          <w:tcPr>
            <w:tcW w:w="289" w:type="pct"/>
            <w:shd w:val="clear" w:color="auto" w:fill="F2F2F2" w:themeFill="background1" w:themeFillShade="F2"/>
          </w:tcPr>
          <w:p w14:paraId="0F8C6A33" w14:textId="77777777" w:rsidR="008544AA" w:rsidRPr="00F470F1" w:rsidRDefault="008544AA" w:rsidP="00763B60">
            <w:pPr>
              <w:pStyle w:val="BodyText"/>
              <w:spacing w:after="0"/>
              <w:rPr>
                <w:rFonts w:cs="Calibri"/>
                <w:color w:val="FFFFFF"/>
              </w:rPr>
            </w:pPr>
          </w:p>
        </w:tc>
      </w:tr>
      <w:tr w:rsidR="00E60407" w:rsidRPr="00E60407" w14:paraId="127F09CA" w14:textId="77777777" w:rsidTr="006E259A">
        <w:trPr>
          <w:trHeight w:val="360"/>
        </w:trPr>
        <w:tc>
          <w:tcPr>
            <w:tcW w:w="4711" w:type="pct"/>
          </w:tcPr>
          <w:p w14:paraId="6E01D303" w14:textId="7F5D2A70" w:rsidR="008544AA" w:rsidRPr="00F470F1" w:rsidRDefault="008544AA" w:rsidP="00763B60">
            <w:pPr>
              <w:pStyle w:val="BodyText"/>
              <w:spacing w:before="120" w:after="120"/>
              <w:rPr>
                <w:rFonts w:cs="Calibri"/>
                <w:lang w:val="en-US"/>
              </w:rPr>
            </w:pPr>
            <w:r w:rsidRPr="543319F8">
              <w:rPr>
                <w:rFonts w:cs="Calibri"/>
                <w:b/>
                <w:bCs/>
                <w:lang w:val="en-US"/>
              </w:rPr>
              <w:t xml:space="preserve">1. Exhibit A: </w:t>
            </w:r>
            <w:r w:rsidR="15A953B0" w:rsidRPr="543319F8">
              <w:rPr>
                <w:rFonts w:cs="Calibri"/>
                <w:b/>
                <w:bCs/>
                <w:lang w:val="en-US"/>
              </w:rPr>
              <w:t>Project</w:t>
            </w:r>
            <w:r w:rsidRPr="543319F8">
              <w:rPr>
                <w:rFonts w:cs="Calibri"/>
                <w:b/>
                <w:bCs/>
                <w:lang w:val="en-US"/>
              </w:rPr>
              <w:t xml:space="preserve"> Narrative</w:t>
            </w:r>
            <w:r w:rsidR="00600A1F">
              <w:rPr>
                <w:rFonts w:cs="Calibri"/>
                <w:b/>
                <w:bCs/>
                <w:lang w:val="en-US"/>
              </w:rPr>
              <w:t xml:space="preserve"> </w:t>
            </w:r>
            <w:r w:rsidRPr="543319F8">
              <w:rPr>
                <w:rFonts w:cs="Calibri"/>
                <w:b/>
                <w:bCs/>
                <w:lang w:val="en-US"/>
              </w:rPr>
              <w:t>-</w:t>
            </w:r>
            <w:r w:rsidR="00600A1F">
              <w:rPr>
                <w:rFonts w:cs="Calibri"/>
                <w:b/>
                <w:bCs/>
                <w:lang w:val="en-US"/>
              </w:rPr>
              <w:t xml:space="preserve"> </w:t>
            </w:r>
            <w:proofErr w:type="spellStart"/>
            <w:r w:rsidRPr="543319F8">
              <w:rPr>
                <w:rFonts w:cs="Calibri"/>
                <w:b/>
                <w:bCs/>
                <w:lang w:val="en-US"/>
              </w:rPr>
              <w:t>ExA</w:t>
            </w:r>
            <w:proofErr w:type="spellEnd"/>
            <w:r w:rsidRPr="543319F8">
              <w:rPr>
                <w:rFonts w:cs="Calibri"/>
                <w:b/>
                <w:bCs/>
                <w:lang w:val="en-US"/>
              </w:rPr>
              <w:t xml:space="preserve"> </w:t>
            </w:r>
            <w:r w:rsidRPr="543319F8">
              <w:rPr>
                <w:rFonts w:cs="Calibri"/>
                <w:lang w:val="en-US"/>
              </w:rPr>
              <w:t xml:space="preserve">(must complete the </w:t>
            </w:r>
            <w:r w:rsidR="00600A1F">
              <w:rPr>
                <w:rFonts w:cs="Calibri"/>
                <w:lang w:val="en-US"/>
              </w:rPr>
              <w:t>Word</w:t>
            </w:r>
            <w:r w:rsidR="00600A1F" w:rsidRPr="543319F8">
              <w:rPr>
                <w:rFonts w:cs="Calibri"/>
                <w:lang w:val="en-US"/>
              </w:rPr>
              <w:t xml:space="preserve"> </w:t>
            </w:r>
            <w:r w:rsidR="00600A1F" w:rsidRPr="00762B97">
              <w:rPr>
                <w:rFonts w:cs="Calibri"/>
                <w:lang w:val="en-US"/>
              </w:rPr>
              <w:t>template,</w:t>
            </w:r>
            <w:r w:rsidR="00600A1F" w:rsidRPr="543319F8">
              <w:rPr>
                <w:rFonts w:cs="Calibri"/>
                <w:lang w:val="en-US"/>
              </w:rPr>
              <w:t xml:space="preserve"> </w:t>
            </w:r>
            <w:r w:rsidRPr="543319F8">
              <w:rPr>
                <w:rFonts w:cs="Calibri"/>
                <w:lang w:val="en-US"/>
              </w:rPr>
              <w:t>including all required sections and sub-sections)</w:t>
            </w:r>
          </w:p>
        </w:tc>
        <w:tc>
          <w:tcPr>
            <w:tcW w:w="289" w:type="pct"/>
          </w:tcPr>
          <w:p w14:paraId="57091532" w14:textId="77777777" w:rsidR="008544AA" w:rsidRPr="00F470F1" w:rsidRDefault="008544AA" w:rsidP="00F470F1">
            <w:pPr>
              <w:pStyle w:val="BodyText"/>
              <w:rPr>
                <w:rFonts w:cs="Calibri"/>
                <w:color w:val="FFFFFF"/>
              </w:rPr>
            </w:pPr>
          </w:p>
        </w:tc>
      </w:tr>
      <w:tr w:rsidR="00E60407" w:rsidRPr="00E60407" w14:paraId="0FCA0E0B" w14:textId="77777777" w:rsidTr="006E259A">
        <w:trPr>
          <w:trHeight w:val="360"/>
        </w:trPr>
        <w:tc>
          <w:tcPr>
            <w:tcW w:w="4711" w:type="pct"/>
          </w:tcPr>
          <w:p w14:paraId="2EA75011" w14:textId="5CE965EB" w:rsidR="008544AA" w:rsidRPr="00F470F1" w:rsidRDefault="008544AA" w:rsidP="00763B60">
            <w:pPr>
              <w:pStyle w:val="BodyText"/>
              <w:spacing w:before="120" w:after="120"/>
              <w:rPr>
                <w:rFonts w:cs="Calibri"/>
                <w:lang w:val="en-US"/>
              </w:rPr>
            </w:pPr>
            <w:r w:rsidRPr="01476CFA">
              <w:rPr>
                <w:rFonts w:cs="Calibri"/>
                <w:b/>
                <w:bCs/>
                <w:lang w:val="en-US"/>
              </w:rPr>
              <w:t>2. Exhibit F: Budget Summary</w:t>
            </w:r>
            <w:r w:rsidR="00600A1F" w:rsidRPr="00600A1F">
              <w:rPr>
                <w:rFonts w:cs="Calibri"/>
                <w:b/>
                <w:bCs/>
                <w:lang w:val="en-US"/>
              </w:rPr>
              <w:t xml:space="preserve"> </w:t>
            </w:r>
            <w:r w:rsidRPr="00763B60">
              <w:rPr>
                <w:rFonts w:cs="Calibri"/>
                <w:b/>
                <w:bCs/>
                <w:lang w:val="en-US"/>
              </w:rPr>
              <w:t>-</w:t>
            </w:r>
            <w:r w:rsidR="00600A1F" w:rsidRPr="00763B60">
              <w:rPr>
                <w:rFonts w:cs="Calibri"/>
                <w:b/>
                <w:bCs/>
                <w:lang w:val="en-US"/>
              </w:rPr>
              <w:t xml:space="preserve"> </w:t>
            </w:r>
            <w:proofErr w:type="spellStart"/>
            <w:r w:rsidRPr="01476CFA">
              <w:rPr>
                <w:rFonts w:cs="Calibri"/>
                <w:b/>
                <w:bCs/>
                <w:lang w:val="en-US"/>
              </w:rPr>
              <w:t>ExF</w:t>
            </w:r>
            <w:proofErr w:type="spellEnd"/>
            <w:r w:rsidRPr="01476CFA">
              <w:rPr>
                <w:rFonts w:cs="Calibri"/>
                <w:lang w:val="en-US"/>
              </w:rPr>
              <w:t xml:space="preserve"> (must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00600A1F" w:rsidRPr="01476CFA">
              <w:rPr>
                <w:rFonts w:cs="Calibri"/>
                <w:lang w:val="en-US"/>
              </w:rPr>
              <w:t xml:space="preserve"> </w:t>
            </w:r>
            <w:r w:rsidRPr="01476CFA">
              <w:rPr>
                <w:rFonts w:cs="Calibri"/>
                <w:lang w:val="en-US"/>
              </w:rPr>
              <w:t>provided in the SFP)</w:t>
            </w:r>
          </w:p>
        </w:tc>
        <w:tc>
          <w:tcPr>
            <w:tcW w:w="289" w:type="pct"/>
          </w:tcPr>
          <w:p w14:paraId="63B7732A" w14:textId="77777777" w:rsidR="008544AA" w:rsidRPr="00F470F1" w:rsidRDefault="008544AA" w:rsidP="00F470F1">
            <w:pPr>
              <w:pStyle w:val="BodyText"/>
              <w:rPr>
                <w:rFonts w:cs="Calibri"/>
                <w:color w:val="FFFFFF"/>
              </w:rPr>
            </w:pPr>
          </w:p>
        </w:tc>
      </w:tr>
      <w:tr w:rsidR="00E60407" w:rsidRPr="00E60407" w14:paraId="00374BF2" w14:textId="77777777" w:rsidTr="006E259A">
        <w:trPr>
          <w:trHeight w:val="360"/>
        </w:trPr>
        <w:tc>
          <w:tcPr>
            <w:tcW w:w="4711" w:type="pct"/>
          </w:tcPr>
          <w:p w14:paraId="5589722B" w14:textId="3A64A4C7" w:rsidR="008544AA" w:rsidRPr="00F470F1" w:rsidRDefault="008544AA" w:rsidP="00763B60">
            <w:pPr>
              <w:pStyle w:val="BodyText"/>
              <w:spacing w:before="120" w:after="120"/>
              <w:rPr>
                <w:rFonts w:cs="Calibri"/>
                <w:lang w:val="en-US"/>
              </w:rPr>
            </w:pPr>
            <w:r w:rsidRPr="01476CFA">
              <w:rPr>
                <w:rFonts w:cs="Calibri"/>
                <w:b/>
                <w:bCs/>
                <w:lang w:val="en-US"/>
              </w:rPr>
              <w:t>3. Exhibit F2: Budget Narrative</w:t>
            </w:r>
            <w:r w:rsidR="00600A1F">
              <w:rPr>
                <w:rFonts w:cs="Calibri"/>
                <w:b/>
                <w:bCs/>
                <w:lang w:val="en-US"/>
              </w:rPr>
              <w:t xml:space="preserve"> </w:t>
            </w:r>
            <w:r w:rsidRPr="01476CFA">
              <w:rPr>
                <w:rFonts w:cs="Calibri"/>
                <w:b/>
                <w:bCs/>
                <w:lang w:val="en-US"/>
              </w:rPr>
              <w:t xml:space="preserve">- </w:t>
            </w:r>
            <w:proofErr w:type="spellStart"/>
            <w:r w:rsidRPr="01476CFA">
              <w:rPr>
                <w:rFonts w:cs="Calibri"/>
                <w:b/>
                <w:bCs/>
                <w:lang w:val="en-US"/>
              </w:rPr>
              <w:t>ExF</w:t>
            </w:r>
            <w:proofErr w:type="spellEnd"/>
            <w:r w:rsidRPr="01476CFA">
              <w:rPr>
                <w:rFonts w:cs="Calibri"/>
                <w:lang w:val="en-US"/>
              </w:rPr>
              <w:t xml:space="preserve"> (must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Pr="01476CFA">
              <w:rPr>
                <w:rFonts w:cs="Calibri"/>
                <w:lang w:val="en-US"/>
              </w:rPr>
              <w:t xml:space="preserve"> provided in the SFP)</w:t>
            </w:r>
          </w:p>
        </w:tc>
        <w:tc>
          <w:tcPr>
            <w:tcW w:w="289" w:type="pct"/>
          </w:tcPr>
          <w:p w14:paraId="14EDC1FA" w14:textId="77777777" w:rsidR="008544AA" w:rsidRPr="00F470F1" w:rsidRDefault="008544AA" w:rsidP="00F470F1">
            <w:pPr>
              <w:pStyle w:val="BodyText"/>
              <w:rPr>
                <w:rFonts w:cs="Calibri"/>
                <w:color w:val="FFFFFF"/>
              </w:rPr>
            </w:pPr>
          </w:p>
        </w:tc>
      </w:tr>
      <w:tr w:rsidR="00E60407" w:rsidRPr="00E60407" w14:paraId="27147B0B" w14:textId="77777777" w:rsidTr="006E259A">
        <w:trPr>
          <w:trHeight w:val="360"/>
        </w:trPr>
        <w:tc>
          <w:tcPr>
            <w:tcW w:w="4711" w:type="pct"/>
          </w:tcPr>
          <w:p w14:paraId="64693843" w14:textId="0B50FB47" w:rsidR="008544AA" w:rsidRPr="00F470F1" w:rsidRDefault="008544AA" w:rsidP="00763B60">
            <w:pPr>
              <w:pStyle w:val="BodyText"/>
              <w:spacing w:before="120" w:after="120"/>
              <w:rPr>
                <w:rFonts w:cs="Calibri"/>
                <w:lang w:val="en-US"/>
              </w:rPr>
            </w:pPr>
            <w:r w:rsidRPr="01476CFA">
              <w:rPr>
                <w:rFonts w:cs="Calibri"/>
                <w:b/>
                <w:bCs/>
                <w:lang w:val="en-US"/>
              </w:rPr>
              <w:t>4. Exhibit G: Supplemental Budget</w:t>
            </w:r>
            <w:r w:rsidR="00600A1F">
              <w:rPr>
                <w:rFonts w:cs="Calibri"/>
                <w:b/>
                <w:bCs/>
                <w:lang w:val="en-US"/>
              </w:rPr>
              <w:t xml:space="preserve"> </w:t>
            </w:r>
            <w:r w:rsidRPr="01476CFA">
              <w:rPr>
                <w:rFonts w:cs="Calibri"/>
                <w:b/>
                <w:bCs/>
                <w:lang w:val="en-US"/>
              </w:rPr>
              <w:t>-</w:t>
            </w:r>
            <w:r w:rsidR="00600A1F">
              <w:rPr>
                <w:rFonts w:cs="Calibri"/>
                <w:b/>
                <w:bCs/>
                <w:lang w:val="en-US"/>
              </w:rPr>
              <w:t xml:space="preserve"> </w:t>
            </w:r>
            <w:proofErr w:type="spellStart"/>
            <w:r w:rsidRPr="01476CFA">
              <w:rPr>
                <w:rFonts w:cs="Calibri"/>
                <w:b/>
                <w:bCs/>
                <w:lang w:val="en-US"/>
              </w:rPr>
              <w:t>ExG</w:t>
            </w:r>
            <w:proofErr w:type="spellEnd"/>
            <w:r w:rsidRPr="01476CFA">
              <w:rPr>
                <w:rFonts w:cs="Calibri"/>
                <w:b/>
                <w:bCs/>
                <w:lang w:val="en-US"/>
              </w:rPr>
              <w:t xml:space="preserve"> </w:t>
            </w:r>
            <w:r w:rsidRPr="01476CFA">
              <w:rPr>
                <w:rFonts w:cs="Calibri"/>
                <w:lang w:val="en-US"/>
              </w:rPr>
              <w:t xml:space="preserve">(if applicable) (must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Pr="01476CFA">
              <w:rPr>
                <w:rFonts w:cs="Calibri"/>
                <w:lang w:val="en-US"/>
              </w:rPr>
              <w:t xml:space="preserve"> provided in the SFP)</w:t>
            </w:r>
          </w:p>
        </w:tc>
        <w:tc>
          <w:tcPr>
            <w:tcW w:w="289" w:type="pct"/>
          </w:tcPr>
          <w:p w14:paraId="33A048C5" w14:textId="77777777" w:rsidR="008544AA" w:rsidRPr="00F470F1" w:rsidRDefault="008544AA" w:rsidP="00F470F1">
            <w:pPr>
              <w:pStyle w:val="BodyText"/>
              <w:rPr>
                <w:rFonts w:cs="Calibri"/>
                <w:color w:val="FFFFFF"/>
              </w:rPr>
            </w:pPr>
          </w:p>
        </w:tc>
      </w:tr>
      <w:tr w:rsidR="00E60407" w:rsidRPr="00E60407" w14:paraId="0F86A7A9" w14:textId="77777777" w:rsidTr="006E259A">
        <w:trPr>
          <w:trHeight w:val="360"/>
        </w:trPr>
        <w:tc>
          <w:tcPr>
            <w:tcW w:w="4711" w:type="pct"/>
            <w:tcBorders>
              <w:bottom w:val="single" w:sz="4" w:space="0" w:color="auto"/>
            </w:tcBorders>
          </w:tcPr>
          <w:p w14:paraId="65E6E2B8" w14:textId="3F747CA9" w:rsidR="008544AA" w:rsidRPr="00F470F1" w:rsidRDefault="005A5601" w:rsidP="00763B60">
            <w:pPr>
              <w:pStyle w:val="BodyText"/>
              <w:spacing w:before="120" w:after="120"/>
              <w:rPr>
                <w:rFonts w:cs="Calibri"/>
                <w:lang w:val="en-US"/>
              </w:rPr>
            </w:pPr>
            <w:r>
              <w:rPr>
                <w:rFonts w:cs="Calibri"/>
                <w:b/>
                <w:bCs/>
                <w:lang w:val="en-US"/>
              </w:rPr>
              <w:t>5</w:t>
            </w:r>
            <w:r w:rsidR="008544AA" w:rsidRPr="01476CFA">
              <w:rPr>
                <w:rFonts w:cs="Calibri"/>
                <w:b/>
                <w:bCs/>
                <w:lang w:val="en-US"/>
              </w:rPr>
              <w:t>. Exhibit J: Partner Roles and Responsibilities</w:t>
            </w:r>
            <w:r w:rsidR="00600A1F">
              <w:rPr>
                <w:rFonts w:cs="Calibri"/>
                <w:b/>
                <w:bCs/>
                <w:lang w:val="en-US"/>
              </w:rPr>
              <w:t xml:space="preserve"> </w:t>
            </w:r>
            <w:r w:rsidR="008544AA" w:rsidRPr="01476CFA">
              <w:rPr>
                <w:rFonts w:cs="Calibri"/>
                <w:b/>
                <w:bCs/>
                <w:lang w:val="en-US"/>
              </w:rPr>
              <w:t>-</w:t>
            </w:r>
            <w:r w:rsidR="00600A1F">
              <w:rPr>
                <w:rFonts w:cs="Calibri"/>
                <w:b/>
                <w:bCs/>
                <w:lang w:val="en-US"/>
              </w:rPr>
              <w:t xml:space="preserve"> </w:t>
            </w:r>
            <w:proofErr w:type="spellStart"/>
            <w:r w:rsidR="008544AA" w:rsidRPr="01476CFA">
              <w:rPr>
                <w:rFonts w:cs="Calibri"/>
                <w:b/>
                <w:bCs/>
                <w:lang w:val="en-US"/>
              </w:rPr>
              <w:t>ExJ</w:t>
            </w:r>
            <w:proofErr w:type="spellEnd"/>
            <w:r w:rsidR="008544AA" w:rsidRPr="01476CFA">
              <w:rPr>
                <w:rFonts w:cs="Calibri"/>
                <w:lang w:val="en-US"/>
              </w:rPr>
              <w:t xml:space="preserve"> (must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008544AA" w:rsidRPr="01476CFA">
              <w:rPr>
                <w:rFonts w:cs="Calibri"/>
                <w:lang w:val="en-US"/>
              </w:rPr>
              <w:t xml:space="preserve"> provided in the SFP)</w:t>
            </w:r>
          </w:p>
        </w:tc>
        <w:tc>
          <w:tcPr>
            <w:tcW w:w="289" w:type="pct"/>
            <w:tcBorders>
              <w:bottom w:val="single" w:sz="4" w:space="0" w:color="auto"/>
            </w:tcBorders>
          </w:tcPr>
          <w:p w14:paraId="659490DF" w14:textId="77777777" w:rsidR="008544AA" w:rsidRPr="00F470F1" w:rsidRDefault="008544AA" w:rsidP="00F470F1">
            <w:pPr>
              <w:pStyle w:val="BodyText"/>
              <w:rPr>
                <w:rFonts w:cs="Calibri"/>
                <w:color w:val="FFFFFF"/>
              </w:rPr>
            </w:pPr>
          </w:p>
        </w:tc>
      </w:tr>
      <w:tr w:rsidR="00E60407" w:rsidRPr="00E60407" w14:paraId="6B9916C0" w14:textId="77777777" w:rsidTr="006E259A">
        <w:trPr>
          <w:trHeight w:val="360"/>
        </w:trPr>
        <w:tc>
          <w:tcPr>
            <w:tcW w:w="4711" w:type="pct"/>
            <w:shd w:val="clear" w:color="auto" w:fill="F2F2F2" w:themeFill="background1" w:themeFillShade="F2"/>
          </w:tcPr>
          <w:p w14:paraId="3BDAC068" w14:textId="38457B9B" w:rsidR="008544AA" w:rsidRPr="00F470F1" w:rsidRDefault="008544AA" w:rsidP="00763B60">
            <w:pPr>
              <w:pStyle w:val="BodyText"/>
              <w:spacing w:after="0"/>
              <w:rPr>
                <w:rFonts w:cs="Calibri"/>
              </w:rPr>
            </w:pPr>
            <w:r w:rsidRPr="00F470F1">
              <w:rPr>
                <w:rFonts w:cs="Calibri"/>
                <w:b/>
              </w:rPr>
              <w:t>Required SFP Exhibit Attachments</w:t>
            </w:r>
          </w:p>
        </w:tc>
        <w:tc>
          <w:tcPr>
            <w:tcW w:w="289" w:type="pct"/>
            <w:shd w:val="clear" w:color="auto" w:fill="F2F2F2" w:themeFill="background1" w:themeFillShade="F2"/>
          </w:tcPr>
          <w:p w14:paraId="52143098" w14:textId="77777777" w:rsidR="008544AA" w:rsidRPr="00F470F1" w:rsidRDefault="008544AA" w:rsidP="00763B60">
            <w:pPr>
              <w:pStyle w:val="BodyText"/>
              <w:spacing w:after="0"/>
              <w:rPr>
                <w:rFonts w:cs="Calibri"/>
                <w:color w:val="FFFFFF"/>
              </w:rPr>
            </w:pPr>
          </w:p>
        </w:tc>
      </w:tr>
      <w:tr w:rsidR="00E60407" w:rsidRPr="00E60407" w14:paraId="4388D81F" w14:textId="77777777" w:rsidTr="006E259A">
        <w:trPr>
          <w:trHeight w:val="360"/>
        </w:trPr>
        <w:tc>
          <w:tcPr>
            <w:tcW w:w="4711" w:type="pct"/>
          </w:tcPr>
          <w:p w14:paraId="6B0AB44A" w14:textId="26A37FC5" w:rsidR="008544AA" w:rsidRPr="00F470F1" w:rsidRDefault="004565E0" w:rsidP="00763B60">
            <w:pPr>
              <w:pStyle w:val="BodyText"/>
              <w:spacing w:before="120" w:after="120"/>
              <w:rPr>
                <w:rFonts w:cs="Calibri"/>
                <w:highlight w:val="yellow"/>
                <w:lang w:val="en-US"/>
              </w:rPr>
            </w:pPr>
            <w:r>
              <w:rPr>
                <w:rFonts w:cs="Calibri"/>
                <w:b/>
                <w:bCs/>
                <w:lang w:val="en-US"/>
              </w:rPr>
              <w:t>6</w:t>
            </w:r>
            <w:r w:rsidR="008544AA" w:rsidRPr="01476CFA">
              <w:rPr>
                <w:rFonts w:cs="Calibri"/>
                <w:b/>
                <w:bCs/>
                <w:lang w:val="en-US"/>
              </w:rPr>
              <w:t>. Cover/Signature Page</w:t>
            </w:r>
            <w:r w:rsidR="00600A1F">
              <w:rPr>
                <w:rFonts w:cs="Calibri"/>
                <w:b/>
                <w:bCs/>
                <w:lang w:val="en-US"/>
              </w:rPr>
              <w:t xml:space="preserve"> </w:t>
            </w:r>
            <w:r w:rsidR="008544AA" w:rsidRPr="01476CFA">
              <w:rPr>
                <w:rFonts w:cs="Calibri"/>
                <w:b/>
                <w:bCs/>
                <w:lang w:val="en-US"/>
              </w:rPr>
              <w:t>-</w:t>
            </w:r>
            <w:r w:rsidR="00600A1F">
              <w:rPr>
                <w:rFonts w:cs="Calibri"/>
                <w:b/>
                <w:bCs/>
                <w:lang w:val="en-US"/>
              </w:rPr>
              <w:t xml:space="preserve"> </w:t>
            </w:r>
            <w:proofErr w:type="spellStart"/>
            <w:r w:rsidR="008544AA" w:rsidRPr="01476CFA">
              <w:rPr>
                <w:rFonts w:cs="Calibri"/>
                <w:b/>
                <w:bCs/>
                <w:lang w:val="en-US"/>
              </w:rPr>
              <w:t>CovSign</w:t>
            </w:r>
            <w:proofErr w:type="spellEnd"/>
            <w:r w:rsidR="008544AA" w:rsidRPr="01476CFA">
              <w:rPr>
                <w:rFonts w:cs="Calibri"/>
                <w:b/>
                <w:bCs/>
                <w:lang w:val="en-US"/>
              </w:rPr>
              <w:t xml:space="preserve"> </w:t>
            </w:r>
            <w:r w:rsidR="008544AA" w:rsidRPr="01476CFA">
              <w:rPr>
                <w:rFonts w:cs="Calibri"/>
                <w:lang w:val="en-US"/>
              </w:rPr>
              <w:t xml:space="preserve">(must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008544AA" w:rsidRPr="01476CFA">
              <w:rPr>
                <w:rFonts w:cs="Calibri"/>
                <w:lang w:val="en-US"/>
              </w:rPr>
              <w:t xml:space="preserve"> provided in the SFP and provide </w:t>
            </w:r>
            <w:r w:rsidR="002E71CA">
              <w:rPr>
                <w:rFonts w:cs="Calibri"/>
                <w:lang w:val="en-US"/>
              </w:rPr>
              <w:t xml:space="preserve">as </w:t>
            </w:r>
            <w:r w:rsidR="008544AA" w:rsidRPr="01476CFA">
              <w:rPr>
                <w:rFonts w:cs="Calibri"/>
                <w:lang w:val="en-US"/>
              </w:rPr>
              <w:t>a</w:t>
            </w:r>
            <w:r w:rsidR="002E71CA">
              <w:rPr>
                <w:rFonts w:cs="Calibri"/>
                <w:lang w:val="en-US"/>
              </w:rPr>
              <w:t xml:space="preserve"> PDF</w:t>
            </w:r>
            <w:r w:rsidR="008544AA" w:rsidRPr="01476CFA">
              <w:rPr>
                <w:rFonts w:cs="Calibri"/>
                <w:lang w:val="en-US"/>
              </w:rPr>
              <w:t xml:space="preserve"> e-signed by the authorized signatory)</w:t>
            </w:r>
          </w:p>
        </w:tc>
        <w:tc>
          <w:tcPr>
            <w:tcW w:w="289" w:type="pct"/>
          </w:tcPr>
          <w:p w14:paraId="14B3747F" w14:textId="77777777" w:rsidR="008544AA" w:rsidRPr="00F470F1" w:rsidRDefault="008544AA" w:rsidP="00F470F1">
            <w:pPr>
              <w:pStyle w:val="BodyText"/>
              <w:rPr>
                <w:rFonts w:cs="Calibri"/>
                <w:color w:val="FFFFFF"/>
              </w:rPr>
            </w:pPr>
          </w:p>
        </w:tc>
      </w:tr>
      <w:tr w:rsidR="00E60407" w:rsidRPr="00E60407" w14:paraId="7723ED76" w14:textId="77777777" w:rsidTr="006E259A">
        <w:trPr>
          <w:trHeight w:val="360"/>
        </w:trPr>
        <w:tc>
          <w:tcPr>
            <w:tcW w:w="4711" w:type="pct"/>
          </w:tcPr>
          <w:p w14:paraId="73D7E8A3" w14:textId="0F52463E" w:rsidR="008544AA" w:rsidRPr="00F470F1" w:rsidRDefault="004565E0" w:rsidP="00763B60">
            <w:pPr>
              <w:pStyle w:val="BodyText"/>
              <w:spacing w:before="120" w:after="120"/>
              <w:rPr>
                <w:rFonts w:cs="Calibri"/>
                <w:b/>
                <w:bCs/>
                <w:lang w:val="en-US"/>
              </w:rPr>
            </w:pPr>
            <w:r>
              <w:rPr>
                <w:rFonts w:cs="Calibri"/>
                <w:b/>
                <w:bCs/>
                <w:lang w:val="en-US"/>
              </w:rPr>
              <w:lastRenderedPageBreak/>
              <w:t>7</w:t>
            </w:r>
            <w:r w:rsidR="008544AA" w:rsidRPr="01476CFA">
              <w:rPr>
                <w:rFonts w:cs="Calibri"/>
                <w:b/>
                <w:bCs/>
                <w:lang w:val="en-US"/>
              </w:rPr>
              <w:t>. Executive Summary</w:t>
            </w:r>
            <w:r w:rsidR="00600A1F">
              <w:rPr>
                <w:rFonts w:cs="Calibri"/>
                <w:b/>
                <w:bCs/>
                <w:lang w:val="en-US"/>
              </w:rPr>
              <w:t xml:space="preserve"> </w:t>
            </w:r>
            <w:r w:rsidR="008544AA" w:rsidRPr="01476CFA">
              <w:rPr>
                <w:rFonts w:cs="Calibri"/>
                <w:b/>
                <w:bCs/>
                <w:lang w:val="en-US"/>
              </w:rPr>
              <w:t>-</w:t>
            </w:r>
            <w:r w:rsidR="00600A1F">
              <w:rPr>
                <w:rFonts w:cs="Calibri"/>
                <w:b/>
                <w:bCs/>
                <w:lang w:val="en-US"/>
              </w:rPr>
              <w:t xml:space="preserve"> </w:t>
            </w:r>
            <w:proofErr w:type="spellStart"/>
            <w:r w:rsidR="008544AA" w:rsidRPr="01476CFA">
              <w:rPr>
                <w:rFonts w:cs="Calibri"/>
                <w:b/>
                <w:bCs/>
                <w:lang w:val="en-US"/>
              </w:rPr>
              <w:t>Exe</w:t>
            </w:r>
            <w:r w:rsidR="00600A1F">
              <w:rPr>
                <w:rFonts w:cs="Calibri"/>
                <w:b/>
                <w:bCs/>
                <w:lang w:val="en-US"/>
              </w:rPr>
              <w:t>c</w:t>
            </w:r>
            <w:r w:rsidR="008544AA" w:rsidRPr="01476CFA">
              <w:rPr>
                <w:rFonts w:cs="Calibri"/>
                <w:b/>
                <w:bCs/>
                <w:lang w:val="en-US"/>
              </w:rPr>
              <w:t>Sum</w:t>
            </w:r>
            <w:proofErr w:type="spellEnd"/>
            <w:r w:rsidR="008544AA" w:rsidRPr="01476CFA">
              <w:rPr>
                <w:rFonts w:cs="Calibri"/>
                <w:b/>
                <w:bCs/>
                <w:lang w:val="en-US"/>
              </w:rPr>
              <w:t xml:space="preserve"> </w:t>
            </w:r>
            <w:r w:rsidR="008544AA" w:rsidRPr="01476CFA">
              <w:rPr>
                <w:rFonts w:cs="Calibri"/>
                <w:lang w:val="en-US"/>
              </w:rPr>
              <w:t xml:space="preserve">(must complete the </w:t>
            </w:r>
            <w:r w:rsidR="00600A1F">
              <w:rPr>
                <w:rFonts w:cs="Calibri"/>
                <w:lang w:val="en-US"/>
              </w:rPr>
              <w:t>Word</w:t>
            </w:r>
            <w:r w:rsidR="00600A1F" w:rsidRPr="01476CFA">
              <w:rPr>
                <w:rFonts w:cs="Calibri"/>
                <w:lang w:val="en-US"/>
              </w:rPr>
              <w:t xml:space="preserve"> </w:t>
            </w:r>
            <w:r w:rsidR="00600A1F" w:rsidRPr="00762B97">
              <w:rPr>
                <w:rFonts w:cs="Calibri"/>
                <w:lang w:val="en-US"/>
              </w:rPr>
              <w:t>template</w:t>
            </w:r>
            <w:r w:rsidR="008544AA" w:rsidRPr="01476CFA">
              <w:rPr>
                <w:rFonts w:cs="Calibri"/>
                <w:lang w:val="en-US"/>
              </w:rPr>
              <w:t xml:space="preserve"> provided in the SFP)</w:t>
            </w:r>
          </w:p>
        </w:tc>
        <w:tc>
          <w:tcPr>
            <w:tcW w:w="289" w:type="pct"/>
          </w:tcPr>
          <w:p w14:paraId="3D04AB14" w14:textId="77777777" w:rsidR="008544AA" w:rsidRPr="00F470F1" w:rsidRDefault="008544AA" w:rsidP="00F470F1">
            <w:pPr>
              <w:pStyle w:val="BodyText"/>
              <w:rPr>
                <w:rFonts w:cs="Calibri"/>
                <w:color w:val="FFFFFF"/>
              </w:rPr>
            </w:pPr>
          </w:p>
        </w:tc>
      </w:tr>
      <w:tr w:rsidR="00E60407" w:rsidRPr="00E60407" w14:paraId="31A2AF56" w14:textId="77777777" w:rsidTr="006E259A">
        <w:trPr>
          <w:trHeight w:val="360"/>
        </w:trPr>
        <w:tc>
          <w:tcPr>
            <w:tcW w:w="4711" w:type="pct"/>
          </w:tcPr>
          <w:p w14:paraId="3859C7D8" w14:textId="5B98E324" w:rsidR="008544AA" w:rsidRPr="00F470F1" w:rsidRDefault="004565E0" w:rsidP="00763B60">
            <w:pPr>
              <w:pStyle w:val="BodyText"/>
              <w:spacing w:before="120" w:after="120"/>
              <w:rPr>
                <w:rFonts w:cs="Calibri"/>
                <w:b/>
                <w:bCs/>
                <w:lang w:val="en-US"/>
              </w:rPr>
            </w:pPr>
            <w:r>
              <w:rPr>
                <w:rFonts w:cs="Calibri"/>
                <w:b/>
                <w:bCs/>
                <w:lang w:val="en-US"/>
              </w:rPr>
              <w:t>8</w:t>
            </w:r>
            <w:r w:rsidR="008544AA" w:rsidRPr="01476CFA">
              <w:rPr>
                <w:rFonts w:cs="Calibri"/>
                <w:b/>
                <w:bCs/>
                <w:lang w:val="en-US"/>
              </w:rPr>
              <w:t>. Commitment Letters</w:t>
            </w:r>
            <w:r w:rsidR="00600A1F">
              <w:rPr>
                <w:rFonts w:cs="Calibri"/>
                <w:b/>
                <w:bCs/>
                <w:lang w:val="en-US"/>
              </w:rPr>
              <w:t xml:space="preserve"> </w:t>
            </w:r>
            <w:r w:rsidR="008544AA" w:rsidRPr="01476CFA">
              <w:rPr>
                <w:rFonts w:cs="Calibri"/>
                <w:b/>
                <w:bCs/>
                <w:lang w:val="en-US"/>
              </w:rPr>
              <w:t>-</w:t>
            </w:r>
            <w:r w:rsidR="00600A1F">
              <w:rPr>
                <w:rFonts w:cs="Calibri"/>
                <w:b/>
                <w:bCs/>
                <w:lang w:val="en-US"/>
              </w:rPr>
              <w:t xml:space="preserve"> </w:t>
            </w:r>
            <w:proofErr w:type="spellStart"/>
            <w:r w:rsidR="008544AA" w:rsidRPr="01476CFA">
              <w:rPr>
                <w:rFonts w:cs="Calibri"/>
                <w:b/>
                <w:bCs/>
                <w:lang w:val="en-US"/>
              </w:rPr>
              <w:t>ComLtr</w:t>
            </w:r>
            <w:proofErr w:type="spellEnd"/>
            <w:r w:rsidR="001228D1">
              <w:rPr>
                <w:rFonts w:cs="Calibri"/>
                <w:b/>
                <w:bCs/>
                <w:lang w:val="en-US"/>
              </w:rPr>
              <w:t xml:space="preserve"> (if applicable)</w:t>
            </w:r>
            <w:r w:rsidR="00E60407" w:rsidRPr="01476CFA">
              <w:rPr>
                <w:rFonts w:cs="Calibri"/>
                <w:b/>
                <w:bCs/>
                <w:lang w:val="en-US"/>
              </w:rPr>
              <w:t xml:space="preserve"> </w:t>
            </w:r>
            <w:r w:rsidR="008544AA" w:rsidRPr="01476CFA">
              <w:rPr>
                <w:rFonts w:cs="Calibri"/>
                <w:lang w:val="en-US"/>
              </w:rPr>
              <w:t>(</w:t>
            </w:r>
            <w:r w:rsidR="00FB49FC">
              <w:rPr>
                <w:rFonts w:cs="Calibri"/>
                <w:lang w:val="en-US"/>
              </w:rPr>
              <w:t>p</w:t>
            </w:r>
            <w:r w:rsidR="008544AA" w:rsidRPr="01476CFA">
              <w:rPr>
                <w:rFonts w:cs="Calibri"/>
                <w:lang w:val="en-US"/>
              </w:rPr>
              <w:t>rovide a PDF version if applicant or any partner(s) are providing leveraged funds)</w:t>
            </w:r>
          </w:p>
        </w:tc>
        <w:tc>
          <w:tcPr>
            <w:tcW w:w="289" w:type="pct"/>
          </w:tcPr>
          <w:p w14:paraId="67548C99" w14:textId="77777777" w:rsidR="008544AA" w:rsidRPr="00F470F1" w:rsidRDefault="008544AA" w:rsidP="00F470F1">
            <w:pPr>
              <w:pStyle w:val="BodyText"/>
              <w:rPr>
                <w:rFonts w:cs="Calibri"/>
                <w:color w:val="FFFFFF"/>
              </w:rPr>
            </w:pPr>
          </w:p>
        </w:tc>
      </w:tr>
      <w:tr w:rsidR="00E60407" w:rsidRPr="00E60407" w14:paraId="2C709CF3" w14:textId="77777777" w:rsidTr="006E259A">
        <w:trPr>
          <w:trHeight w:val="360"/>
        </w:trPr>
        <w:tc>
          <w:tcPr>
            <w:tcW w:w="4711" w:type="pct"/>
          </w:tcPr>
          <w:p w14:paraId="492D4358" w14:textId="6C90074C" w:rsidR="008544AA" w:rsidRPr="00F470F1" w:rsidRDefault="004565E0" w:rsidP="00763B60">
            <w:pPr>
              <w:pStyle w:val="BodyText"/>
              <w:spacing w:before="120" w:after="120"/>
              <w:rPr>
                <w:rFonts w:cs="Calibri"/>
                <w:b/>
                <w:bCs/>
                <w:lang w:val="en-US"/>
              </w:rPr>
            </w:pPr>
            <w:r>
              <w:rPr>
                <w:rFonts w:cs="Calibri"/>
                <w:b/>
                <w:bCs/>
                <w:lang w:val="en-US"/>
              </w:rPr>
              <w:t>9</w:t>
            </w:r>
            <w:r w:rsidR="008544AA" w:rsidRPr="01476CFA">
              <w:rPr>
                <w:rFonts w:cs="Calibri"/>
                <w:b/>
                <w:bCs/>
                <w:lang w:val="en-US"/>
              </w:rPr>
              <w:t>. Partnership Agreement Letters</w:t>
            </w:r>
            <w:r w:rsidR="00600A1F">
              <w:rPr>
                <w:rFonts w:cs="Calibri"/>
                <w:b/>
                <w:bCs/>
                <w:lang w:val="en-US"/>
              </w:rPr>
              <w:t xml:space="preserve"> </w:t>
            </w:r>
            <w:r w:rsidR="008544AA" w:rsidRPr="01476CFA">
              <w:rPr>
                <w:rFonts w:cs="Calibri"/>
                <w:b/>
                <w:bCs/>
                <w:lang w:val="en-US"/>
              </w:rPr>
              <w:t>-</w:t>
            </w:r>
            <w:r w:rsidR="00600A1F">
              <w:rPr>
                <w:rFonts w:cs="Calibri"/>
                <w:b/>
                <w:bCs/>
                <w:lang w:val="en-US"/>
              </w:rPr>
              <w:t xml:space="preserve"> </w:t>
            </w:r>
            <w:proofErr w:type="spellStart"/>
            <w:r w:rsidR="008544AA" w:rsidRPr="01476CFA">
              <w:rPr>
                <w:rFonts w:cs="Calibri"/>
                <w:b/>
                <w:bCs/>
                <w:lang w:val="en-US"/>
              </w:rPr>
              <w:t>PartLtr</w:t>
            </w:r>
            <w:proofErr w:type="spellEnd"/>
            <w:r w:rsidR="008544AA" w:rsidRPr="01476CFA">
              <w:rPr>
                <w:rFonts w:cs="Calibri"/>
                <w:b/>
                <w:bCs/>
                <w:lang w:val="en-US"/>
              </w:rPr>
              <w:t xml:space="preserve"> </w:t>
            </w:r>
            <w:r w:rsidR="001228D1">
              <w:rPr>
                <w:rFonts w:cs="Calibri"/>
                <w:b/>
                <w:bCs/>
                <w:lang w:val="en-US"/>
              </w:rPr>
              <w:t xml:space="preserve">(if applicable) </w:t>
            </w:r>
            <w:r w:rsidR="008544AA" w:rsidRPr="01476CFA">
              <w:rPr>
                <w:rFonts w:cs="Calibri"/>
                <w:lang w:val="en-US"/>
              </w:rPr>
              <w:t>(</w:t>
            </w:r>
            <w:r w:rsidR="00FB49FC">
              <w:rPr>
                <w:rFonts w:cs="Calibri"/>
                <w:lang w:val="en-US"/>
              </w:rPr>
              <w:t>m</w:t>
            </w:r>
            <w:r w:rsidR="008544AA" w:rsidRPr="01476CFA">
              <w:rPr>
                <w:rFonts w:cs="Calibri"/>
                <w:lang w:val="en-US"/>
              </w:rPr>
              <w:t>ust provide a PDF version if collaborations and strategic partnerships are established in the proposal)</w:t>
            </w:r>
          </w:p>
        </w:tc>
        <w:tc>
          <w:tcPr>
            <w:tcW w:w="289" w:type="pct"/>
          </w:tcPr>
          <w:p w14:paraId="687D5D49" w14:textId="77777777" w:rsidR="008544AA" w:rsidRPr="00F470F1" w:rsidRDefault="008544AA" w:rsidP="00F470F1">
            <w:pPr>
              <w:pStyle w:val="BodyText"/>
              <w:rPr>
                <w:rFonts w:cs="Calibri"/>
                <w:color w:val="FFFFFF"/>
              </w:rPr>
            </w:pPr>
          </w:p>
        </w:tc>
      </w:tr>
      <w:tr w:rsidR="00E60407" w:rsidRPr="00E60407" w14:paraId="127C166E" w14:textId="77777777" w:rsidTr="006E259A">
        <w:trPr>
          <w:trHeight w:val="360"/>
        </w:trPr>
        <w:tc>
          <w:tcPr>
            <w:tcW w:w="4711" w:type="pct"/>
          </w:tcPr>
          <w:p w14:paraId="7741F189" w14:textId="31108412" w:rsidR="008544AA" w:rsidRPr="00F470F1" w:rsidRDefault="008544AA" w:rsidP="00763B60">
            <w:pPr>
              <w:pStyle w:val="BodyText"/>
              <w:spacing w:before="120" w:after="120"/>
              <w:rPr>
                <w:rFonts w:cs="Calibri"/>
                <w:b/>
                <w:bCs/>
              </w:rPr>
            </w:pPr>
            <w:bookmarkStart w:id="161" w:name="_Hlk159097002"/>
            <w:r w:rsidRPr="00F470F1">
              <w:rPr>
                <w:rFonts w:cs="Calibri"/>
                <w:b/>
                <w:bCs/>
              </w:rPr>
              <w:t>1</w:t>
            </w:r>
            <w:r w:rsidR="004565E0">
              <w:rPr>
                <w:rFonts w:cs="Calibri"/>
                <w:b/>
                <w:bCs/>
              </w:rPr>
              <w:t>0</w:t>
            </w:r>
            <w:r w:rsidRPr="00F470F1">
              <w:rPr>
                <w:rFonts w:cs="Calibri"/>
                <w:b/>
                <w:bCs/>
              </w:rPr>
              <w:t>. Indirect Cost Declaration</w:t>
            </w:r>
            <w:r w:rsidR="00600A1F">
              <w:rPr>
                <w:rFonts w:cs="Calibri"/>
                <w:b/>
                <w:bCs/>
              </w:rPr>
              <w:t xml:space="preserve"> </w:t>
            </w:r>
            <w:r w:rsidRPr="00F470F1">
              <w:rPr>
                <w:rFonts w:cs="Calibri"/>
                <w:b/>
                <w:bCs/>
              </w:rPr>
              <w:t>-</w:t>
            </w:r>
            <w:r w:rsidR="00600A1F">
              <w:rPr>
                <w:rFonts w:cs="Calibri"/>
                <w:b/>
                <w:bCs/>
              </w:rPr>
              <w:t xml:space="preserve"> </w:t>
            </w:r>
            <w:r w:rsidRPr="00F470F1">
              <w:rPr>
                <w:rFonts w:cs="Calibri"/>
                <w:b/>
                <w:bCs/>
              </w:rPr>
              <w:t>ICD</w:t>
            </w:r>
            <w:r w:rsidRPr="00F470F1">
              <w:rPr>
                <w:rFonts w:cs="Calibri"/>
              </w:rPr>
              <w:t xml:space="preserve"> (must complete the </w:t>
            </w:r>
            <w:r w:rsidR="00600A1F">
              <w:rPr>
                <w:rFonts w:cs="Calibri"/>
              </w:rPr>
              <w:t>Word</w:t>
            </w:r>
            <w:r w:rsidR="00600A1F" w:rsidRPr="00F470F1">
              <w:rPr>
                <w:rFonts w:cs="Calibri"/>
              </w:rPr>
              <w:t xml:space="preserve"> </w:t>
            </w:r>
            <w:r w:rsidR="00600A1F" w:rsidRPr="00762B97">
              <w:rPr>
                <w:rFonts w:cs="Calibri"/>
                <w:lang w:val="en-US"/>
              </w:rPr>
              <w:t>template</w:t>
            </w:r>
            <w:r w:rsidRPr="00F470F1">
              <w:rPr>
                <w:rFonts w:cs="Calibri"/>
              </w:rPr>
              <w:t xml:space="preserve"> provided in the SFP signed by the authorized signatory)</w:t>
            </w:r>
          </w:p>
        </w:tc>
        <w:tc>
          <w:tcPr>
            <w:tcW w:w="289" w:type="pct"/>
          </w:tcPr>
          <w:p w14:paraId="37DC1E1D" w14:textId="77777777" w:rsidR="008544AA" w:rsidRPr="00F470F1" w:rsidRDefault="008544AA" w:rsidP="00F470F1">
            <w:pPr>
              <w:pStyle w:val="BodyText"/>
              <w:rPr>
                <w:rFonts w:cs="Calibri"/>
                <w:color w:val="FFFFFF"/>
              </w:rPr>
            </w:pPr>
          </w:p>
        </w:tc>
      </w:tr>
      <w:tr w:rsidR="00E60407" w:rsidRPr="00E60407" w14:paraId="67049033" w14:textId="77777777" w:rsidTr="006E259A">
        <w:trPr>
          <w:trHeight w:val="360"/>
        </w:trPr>
        <w:tc>
          <w:tcPr>
            <w:tcW w:w="4711" w:type="pct"/>
          </w:tcPr>
          <w:p w14:paraId="3D752FE9" w14:textId="791D0116" w:rsidR="008544AA" w:rsidRPr="00F470F1" w:rsidRDefault="008544AA" w:rsidP="00763B60">
            <w:pPr>
              <w:pStyle w:val="BodyText"/>
              <w:spacing w:before="120" w:after="120"/>
              <w:rPr>
                <w:rFonts w:cs="Calibri"/>
                <w:b/>
                <w:bCs/>
                <w:lang w:val="en-US"/>
              </w:rPr>
            </w:pPr>
            <w:r w:rsidRPr="01476CFA">
              <w:rPr>
                <w:rFonts w:cs="Calibri"/>
                <w:b/>
                <w:bCs/>
                <w:lang w:val="en-US"/>
              </w:rPr>
              <w:t>1</w:t>
            </w:r>
            <w:r w:rsidR="004565E0">
              <w:rPr>
                <w:rFonts w:cs="Calibri"/>
                <w:b/>
                <w:bCs/>
                <w:lang w:val="en-US"/>
              </w:rPr>
              <w:t>1</w:t>
            </w:r>
            <w:r w:rsidRPr="01476CFA">
              <w:rPr>
                <w:rFonts w:cs="Calibri"/>
                <w:b/>
                <w:bCs/>
                <w:lang w:val="en-US"/>
              </w:rPr>
              <w:t>. Indirect Cost Rate Agreement (ICRA) or Cost Allocation Plan (CAP) (if applicable)-</w:t>
            </w:r>
            <w:r w:rsidRPr="01476CFA">
              <w:rPr>
                <w:rFonts w:cs="Calibri"/>
                <w:lang w:val="en-US"/>
              </w:rPr>
              <w:t xml:space="preserve"> If an applicant indicates that they are using an ICRA or CAP, they must include the ICRA approved by the Cognizant</w:t>
            </w:r>
            <w:r w:rsidR="00FB49FC">
              <w:rPr>
                <w:rFonts w:cs="Calibri"/>
                <w:lang w:val="en-US"/>
              </w:rPr>
              <w:t xml:space="preserve"> or </w:t>
            </w:r>
            <w:r w:rsidRPr="01476CFA">
              <w:rPr>
                <w:rFonts w:cs="Calibri"/>
                <w:lang w:val="en-US"/>
              </w:rPr>
              <w:t>Approving Agency</w:t>
            </w:r>
            <w:r w:rsidR="00FB49FC">
              <w:rPr>
                <w:rFonts w:cs="Calibri"/>
                <w:lang w:val="en-US"/>
              </w:rPr>
              <w:t>,</w:t>
            </w:r>
            <w:r w:rsidRPr="01476CFA">
              <w:rPr>
                <w:rFonts w:cs="Calibri"/>
                <w:lang w:val="en-US"/>
              </w:rPr>
              <w:t xml:space="preserve"> </w:t>
            </w:r>
            <w:r w:rsidR="00FB49FC">
              <w:rPr>
                <w:rFonts w:cs="Calibri"/>
                <w:lang w:val="en-US"/>
              </w:rPr>
              <w:t>or</w:t>
            </w:r>
            <w:r w:rsidRPr="01476CFA">
              <w:rPr>
                <w:rFonts w:cs="Calibri"/>
                <w:lang w:val="en-US"/>
              </w:rPr>
              <w:t xml:space="preserve"> attach a </w:t>
            </w:r>
            <w:bookmarkStart w:id="162" w:name="_Hlk159856825"/>
            <w:r w:rsidRPr="01476CFA">
              <w:rPr>
                <w:rFonts w:cs="Calibri"/>
                <w:lang w:val="en-US"/>
              </w:rPr>
              <w:t xml:space="preserve">Cost Allocation Plan </w:t>
            </w:r>
            <w:bookmarkEnd w:id="162"/>
            <w:r w:rsidRPr="01476CFA">
              <w:rPr>
                <w:rFonts w:cs="Calibri"/>
                <w:lang w:val="en-US"/>
              </w:rPr>
              <w:t>with a certification letter.</w:t>
            </w:r>
          </w:p>
        </w:tc>
        <w:tc>
          <w:tcPr>
            <w:tcW w:w="289" w:type="pct"/>
          </w:tcPr>
          <w:p w14:paraId="53BBCF17" w14:textId="77777777" w:rsidR="008544AA" w:rsidRPr="00F470F1" w:rsidRDefault="008544AA" w:rsidP="00F470F1">
            <w:pPr>
              <w:pStyle w:val="BodyText"/>
              <w:rPr>
                <w:rFonts w:cs="Calibri"/>
                <w:color w:val="FFFFFF"/>
              </w:rPr>
            </w:pPr>
          </w:p>
        </w:tc>
      </w:tr>
    </w:tbl>
    <w:p w14:paraId="33023A50" w14:textId="77777777" w:rsidR="008544AA" w:rsidRPr="00E60407" w:rsidRDefault="008544AA" w:rsidP="00291014">
      <w:pPr>
        <w:pStyle w:val="Heading3"/>
        <w:rPr>
          <w:rFonts w:eastAsia="Calibri"/>
        </w:rPr>
      </w:pPr>
      <w:bookmarkStart w:id="163" w:name="_Toc167894630"/>
      <w:bookmarkStart w:id="164" w:name="_Toc167894688"/>
      <w:bookmarkStart w:id="165" w:name="_Toc167894689"/>
      <w:bookmarkEnd w:id="160"/>
      <w:bookmarkEnd w:id="161"/>
      <w:bookmarkEnd w:id="163"/>
      <w:bookmarkEnd w:id="164"/>
      <w:r w:rsidRPr="00E60407">
        <w:rPr>
          <w:rFonts w:eastAsia="Calibri"/>
        </w:rPr>
        <w:t>SFP Exhibit Instructions</w:t>
      </w:r>
      <w:bookmarkEnd w:id="165"/>
    </w:p>
    <w:p w14:paraId="7783E59A" w14:textId="1F0E7247" w:rsidR="008544AA" w:rsidRPr="00E60407" w:rsidRDefault="008544AA" w:rsidP="01476CFA">
      <w:pPr>
        <w:pStyle w:val="BodyText"/>
        <w:rPr>
          <w:rFonts w:cs="Calibri"/>
          <w:lang w:val="en-US"/>
        </w:rPr>
      </w:pPr>
      <w:r w:rsidRPr="01476CFA">
        <w:rPr>
          <w:rFonts w:cs="Calibri"/>
          <w:lang w:val="en-US"/>
        </w:rPr>
        <w:t>Complete only the required information in the exhibits provided in the SFP. Submit all exhibits and attachments with the following naming convention</w:t>
      </w:r>
      <w:r w:rsidR="009C4038">
        <w:rPr>
          <w:rFonts w:cs="Calibri"/>
          <w:lang w:val="en-US"/>
        </w:rPr>
        <w:t>:</w:t>
      </w:r>
      <w:r w:rsidR="009C4038" w:rsidRPr="01476CFA">
        <w:rPr>
          <w:rFonts w:cs="Calibri"/>
          <w:lang w:val="en-US"/>
        </w:rPr>
        <w:t xml:space="preserve"> </w:t>
      </w:r>
      <w:bookmarkStart w:id="166" w:name="_Hlk214009171"/>
      <w:r w:rsidRPr="001A3BFE">
        <w:rPr>
          <w:rFonts w:cs="Calibri"/>
          <w:lang w:val="en-US"/>
        </w:rPr>
        <w:t xml:space="preserve">“[Applicant’s Three Digit Initialism] </w:t>
      </w:r>
      <w:r w:rsidR="004565E0" w:rsidRPr="001A3BFE">
        <w:rPr>
          <w:rFonts w:cs="Calibri"/>
          <w:lang w:val="en-US"/>
        </w:rPr>
        <w:t>E</w:t>
      </w:r>
      <w:r w:rsidR="00C204D9" w:rsidRPr="001A3BFE">
        <w:rPr>
          <w:rFonts w:cs="Calibri"/>
          <w:lang w:val="en-US"/>
        </w:rPr>
        <w:t>P</w:t>
      </w:r>
      <w:r w:rsidR="004565E0" w:rsidRPr="001A3BFE">
        <w:rPr>
          <w:rFonts w:cs="Calibri"/>
          <w:lang w:val="en-US"/>
        </w:rPr>
        <w:t xml:space="preserve">TA </w:t>
      </w:r>
      <w:r w:rsidRPr="001A3BFE">
        <w:rPr>
          <w:rFonts w:cs="Calibri"/>
          <w:lang w:val="en-US"/>
        </w:rPr>
        <w:t xml:space="preserve">PY </w:t>
      </w:r>
      <w:r w:rsidR="004565E0" w:rsidRPr="001A3BFE">
        <w:rPr>
          <w:rFonts w:cs="Calibri"/>
          <w:lang w:val="en-US"/>
        </w:rPr>
        <w:t>25</w:t>
      </w:r>
      <w:r w:rsidRPr="001A3BFE">
        <w:rPr>
          <w:rFonts w:cs="Calibri"/>
          <w:lang w:val="en-US"/>
        </w:rPr>
        <w:t>-</w:t>
      </w:r>
      <w:r w:rsidR="004565E0" w:rsidRPr="001A3BFE">
        <w:rPr>
          <w:rFonts w:cs="Calibri"/>
          <w:lang w:val="en-US"/>
        </w:rPr>
        <w:t>26</w:t>
      </w:r>
      <w:r w:rsidRPr="001A3BFE">
        <w:rPr>
          <w:rFonts w:cs="Calibri"/>
          <w:lang w:val="en-US"/>
        </w:rPr>
        <w:t xml:space="preserve"> [Exhibit or Attachment Initialism</w:t>
      </w:r>
      <w:bookmarkEnd w:id="166"/>
      <w:r w:rsidRPr="001A3BFE">
        <w:rPr>
          <w:rFonts w:cs="Calibri"/>
          <w:lang w:val="en-US"/>
        </w:rPr>
        <w:t>].”</w:t>
      </w:r>
      <w:r w:rsidRPr="01476CFA">
        <w:rPr>
          <w:rFonts w:cs="Calibri"/>
          <w:lang w:val="en-US"/>
        </w:rPr>
        <w:t xml:space="preserve"> For example, “</w:t>
      </w:r>
      <w:r w:rsidR="00371A69" w:rsidRPr="003F6B39">
        <w:rPr>
          <w:rFonts w:cs="Calibri"/>
          <w:lang w:val="en-US"/>
        </w:rPr>
        <w:t>ABC</w:t>
      </w:r>
      <w:r w:rsidR="00C204D9" w:rsidRPr="003F6B39">
        <w:rPr>
          <w:rFonts w:cs="Calibri"/>
          <w:lang w:val="en-US"/>
        </w:rPr>
        <w:t xml:space="preserve"> </w:t>
      </w:r>
      <w:r w:rsidR="004565E0" w:rsidRPr="003F6B39">
        <w:rPr>
          <w:rFonts w:cs="Calibri"/>
          <w:lang w:val="en-US"/>
        </w:rPr>
        <w:t>E</w:t>
      </w:r>
      <w:r w:rsidR="00C204D9" w:rsidRPr="003F6B39">
        <w:rPr>
          <w:rFonts w:cs="Calibri"/>
          <w:lang w:val="en-US"/>
        </w:rPr>
        <w:t>P</w:t>
      </w:r>
      <w:r w:rsidR="004565E0" w:rsidRPr="003F6B39">
        <w:rPr>
          <w:rFonts w:cs="Calibri"/>
          <w:lang w:val="en-US"/>
        </w:rPr>
        <w:t>TA</w:t>
      </w:r>
      <w:r w:rsidRPr="003F6B39">
        <w:rPr>
          <w:rFonts w:cs="Calibri"/>
          <w:lang w:val="en-US"/>
        </w:rPr>
        <w:t xml:space="preserve"> PY </w:t>
      </w:r>
      <w:r w:rsidR="004565E0" w:rsidRPr="003F6B39">
        <w:rPr>
          <w:rFonts w:cs="Calibri"/>
          <w:lang w:val="en-US"/>
        </w:rPr>
        <w:t>25</w:t>
      </w:r>
      <w:r w:rsidR="009C4038" w:rsidRPr="003F6B39">
        <w:rPr>
          <w:rFonts w:cs="Calibri"/>
          <w:lang w:val="en-US"/>
        </w:rPr>
        <w:t>-</w:t>
      </w:r>
      <w:r w:rsidR="004565E0" w:rsidRPr="003F6B39">
        <w:rPr>
          <w:rFonts w:cs="Calibri"/>
          <w:lang w:val="en-US"/>
        </w:rPr>
        <w:t>26</w:t>
      </w:r>
      <w:r w:rsidRPr="003F6B39">
        <w:rPr>
          <w:rFonts w:cs="Calibri"/>
          <w:lang w:val="en-US"/>
        </w:rPr>
        <w:t xml:space="preserve"> </w:t>
      </w:r>
      <w:proofErr w:type="spellStart"/>
      <w:r w:rsidRPr="003F6B39">
        <w:rPr>
          <w:rFonts w:cs="Calibri"/>
          <w:lang w:val="en-US"/>
        </w:rPr>
        <w:t>ExF</w:t>
      </w:r>
      <w:proofErr w:type="spellEnd"/>
      <w:r w:rsidRPr="003F6B39">
        <w:rPr>
          <w:rFonts w:cs="Calibri"/>
          <w:lang w:val="en-US"/>
        </w:rPr>
        <w:t>”</w:t>
      </w:r>
      <w:r w:rsidRPr="01476CFA">
        <w:rPr>
          <w:rFonts w:cs="Calibri"/>
          <w:lang w:val="en-US"/>
        </w:rPr>
        <w:t xml:space="preserve"> for Exhibit F. File names must not exceed 40 Characters.</w:t>
      </w:r>
    </w:p>
    <w:p w14:paraId="1A0C3D48" w14:textId="77777777" w:rsidR="008544AA" w:rsidRPr="00E60407" w:rsidRDefault="008544AA" w:rsidP="00F470F1">
      <w:pPr>
        <w:pStyle w:val="BodyText"/>
        <w:rPr>
          <w:rFonts w:cs="Calibri"/>
          <w:bCs/>
        </w:rPr>
      </w:pPr>
      <w:r w:rsidRPr="001A3BFE">
        <w:rPr>
          <w:rFonts w:cs="Calibri"/>
          <w:b/>
        </w:rPr>
        <w:t>Disclaimer</w:t>
      </w:r>
      <w:r w:rsidRPr="00E60407">
        <w:rPr>
          <w:rFonts w:cs="Calibri"/>
          <w:bCs/>
        </w:rPr>
        <w:t>: The exhibits have been updated for accessibility in compliance with the Americans with Disabilities Act. Exhibits must be completed accurately.</w:t>
      </w:r>
    </w:p>
    <w:p w14:paraId="6297C234" w14:textId="4CB96A10" w:rsidR="008544AA" w:rsidRPr="00F470F1" w:rsidRDefault="008544AA" w:rsidP="00F470F1">
      <w:pPr>
        <w:rPr>
          <w:rFonts w:ascii="Calibri" w:hAnsi="Calibri" w:cs="Calibri"/>
          <w:sz w:val="24"/>
          <w:szCs w:val="24"/>
        </w:rPr>
      </w:pPr>
      <w:r w:rsidRPr="00FA26BC">
        <w:rPr>
          <w:rFonts w:ascii="Calibri" w:hAnsi="Calibri" w:cs="Calibri"/>
          <w:sz w:val="24"/>
          <w:szCs w:val="24"/>
        </w:rPr>
        <w:t xml:space="preserve">Refer to </w:t>
      </w:r>
      <w:r w:rsidR="009C4038" w:rsidRPr="00FA26BC">
        <w:rPr>
          <w:rFonts w:ascii="Calibri" w:hAnsi="Calibri" w:cs="Calibri"/>
          <w:sz w:val="24"/>
          <w:szCs w:val="24"/>
        </w:rPr>
        <w:t xml:space="preserve">Section </w:t>
      </w:r>
      <w:r w:rsidR="009C4038" w:rsidRPr="00FA26BC">
        <w:rPr>
          <w:rFonts w:ascii="Calibri" w:hAnsi="Calibri" w:cs="Calibri"/>
          <w:i/>
          <w:iCs/>
          <w:sz w:val="24"/>
          <w:szCs w:val="24"/>
        </w:rPr>
        <w:t>5</w:t>
      </w:r>
      <w:r w:rsidRPr="00FA26BC">
        <w:rPr>
          <w:rFonts w:ascii="Calibri" w:hAnsi="Calibri" w:cs="Calibri"/>
          <w:i/>
          <w:iCs/>
          <w:sz w:val="24"/>
          <w:szCs w:val="24"/>
        </w:rPr>
        <w:t>.</w:t>
      </w:r>
      <w:r w:rsidR="009C4038" w:rsidRPr="00FA26BC">
        <w:rPr>
          <w:rFonts w:ascii="Calibri" w:hAnsi="Calibri" w:cs="Calibri"/>
          <w:i/>
          <w:iCs/>
          <w:sz w:val="24"/>
          <w:szCs w:val="24"/>
        </w:rPr>
        <w:t xml:space="preserve"> </w:t>
      </w:r>
      <w:r w:rsidR="005141CF" w:rsidRPr="00764CC1">
        <w:rPr>
          <w:rFonts w:ascii="Calibri" w:hAnsi="Calibri" w:cs="Calibri"/>
          <w:sz w:val="24"/>
          <w:szCs w:val="24"/>
        </w:rPr>
        <w:t>B</w:t>
      </w:r>
      <w:r w:rsidRPr="00764CC1">
        <w:rPr>
          <w:rFonts w:ascii="Calibri" w:hAnsi="Calibri" w:cs="Calibri"/>
          <w:sz w:val="24"/>
          <w:szCs w:val="24"/>
        </w:rPr>
        <w:t>. Submission Guidelines</w:t>
      </w:r>
      <w:r w:rsidRPr="00FA26BC">
        <w:rPr>
          <w:rFonts w:ascii="Calibri" w:hAnsi="Calibri" w:cs="Calibri"/>
          <w:sz w:val="24"/>
          <w:szCs w:val="24"/>
        </w:rPr>
        <w:t xml:space="preserve">, </w:t>
      </w:r>
      <w:r w:rsidR="00FA26BC" w:rsidRPr="00FA26BC">
        <w:rPr>
          <w:rFonts w:ascii="Calibri" w:hAnsi="Calibri" w:cs="Calibri"/>
          <w:sz w:val="24"/>
          <w:szCs w:val="24"/>
        </w:rPr>
        <w:t>and</w:t>
      </w:r>
      <w:r w:rsidRPr="00FA26BC">
        <w:rPr>
          <w:rFonts w:ascii="Calibri" w:hAnsi="Calibri" w:cs="Calibri"/>
          <w:sz w:val="24"/>
          <w:szCs w:val="24"/>
        </w:rPr>
        <w:t xml:space="preserve"> Figure </w:t>
      </w:r>
      <w:r w:rsidR="005141CF" w:rsidRPr="00FA26BC">
        <w:rPr>
          <w:rFonts w:ascii="Calibri" w:hAnsi="Calibri" w:cs="Calibri"/>
          <w:sz w:val="24"/>
          <w:szCs w:val="24"/>
        </w:rPr>
        <w:t>5.</w:t>
      </w:r>
      <w:r w:rsidRPr="00FA26BC">
        <w:rPr>
          <w:rFonts w:ascii="Calibri" w:hAnsi="Calibri" w:cs="Calibri"/>
          <w:sz w:val="24"/>
          <w:szCs w:val="24"/>
        </w:rPr>
        <w:t xml:space="preserve">1: Document Submission Guidelines </w:t>
      </w:r>
      <w:r w:rsidR="009C4038" w:rsidRPr="00FA26BC">
        <w:rPr>
          <w:rFonts w:ascii="Calibri" w:hAnsi="Calibri" w:cs="Calibri"/>
          <w:sz w:val="24"/>
          <w:szCs w:val="24"/>
        </w:rPr>
        <w:t xml:space="preserve">for </w:t>
      </w:r>
      <w:r w:rsidRPr="00FA26BC">
        <w:rPr>
          <w:rFonts w:ascii="Calibri" w:hAnsi="Calibri" w:cs="Calibri"/>
          <w:sz w:val="24"/>
          <w:szCs w:val="24"/>
        </w:rPr>
        <w:t>instructions on file submission.</w:t>
      </w:r>
    </w:p>
    <w:p w14:paraId="370233D6" w14:textId="14D1B296" w:rsidR="008544AA" w:rsidRPr="003869E0" w:rsidRDefault="008544AA" w:rsidP="00F470F1">
      <w:pPr>
        <w:pStyle w:val="Heading4"/>
      </w:pPr>
      <w:r w:rsidRPr="543319F8">
        <w:rPr>
          <w:lang w:val="en-US"/>
        </w:rPr>
        <w:t>Exhibit A</w:t>
      </w:r>
      <w:r w:rsidR="001A4A1F" w:rsidRPr="543319F8">
        <w:rPr>
          <w:lang w:val="en-US"/>
        </w:rPr>
        <w:t xml:space="preserve"> – </w:t>
      </w:r>
      <w:r w:rsidR="726D880B" w:rsidRPr="543319F8">
        <w:rPr>
          <w:lang w:val="en-US"/>
        </w:rPr>
        <w:t>Project</w:t>
      </w:r>
      <w:r w:rsidR="009C4038">
        <w:rPr>
          <w:lang w:val="en-US"/>
        </w:rPr>
        <w:t xml:space="preserve"> </w:t>
      </w:r>
      <w:r w:rsidRPr="543319F8">
        <w:rPr>
          <w:lang w:val="en-US"/>
        </w:rPr>
        <w:t>Narrative</w:t>
      </w:r>
      <w:r w:rsidR="001A4A1F" w:rsidRPr="543319F8">
        <w:rPr>
          <w:lang w:val="en-US"/>
        </w:rPr>
        <w:t xml:space="preserve"> (</w:t>
      </w:r>
      <w:proofErr w:type="spellStart"/>
      <w:r w:rsidR="001A4A1F" w:rsidRPr="543319F8">
        <w:rPr>
          <w:lang w:val="en-US"/>
        </w:rPr>
        <w:t>E</w:t>
      </w:r>
      <w:r w:rsidRPr="543319F8">
        <w:rPr>
          <w:lang w:val="en-US"/>
        </w:rPr>
        <w:t>xA</w:t>
      </w:r>
      <w:proofErr w:type="spellEnd"/>
      <w:r w:rsidR="001A4A1F" w:rsidRPr="543319F8">
        <w:rPr>
          <w:lang w:val="en-US"/>
        </w:rPr>
        <w:t>)</w:t>
      </w:r>
    </w:p>
    <w:p w14:paraId="6A8B5774" w14:textId="210BA8A5" w:rsidR="008544AA" w:rsidRPr="00E60407" w:rsidRDefault="008544AA" w:rsidP="00F470F1">
      <w:pPr>
        <w:pStyle w:val="BodyText"/>
        <w:rPr>
          <w:rFonts w:cs="Calibri"/>
        </w:rPr>
      </w:pPr>
      <w:r w:rsidRPr="003F6B39">
        <w:rPr>
          <w:rFonts w:cs="Calibri"/>
        </w:rPr>
        <w:t>Exhibit A will be c</w:t>
      </w:r>
      <w:r w:rsidR="001A3BFE" w:rsidRPr="003F6B39">
        <w:rPr>
          <w:rFonts w:cs="Calibri"/>
        </w:rPr>
        <w:t>omple</w:t>
      </w:r>
      <w:r w:rsidRPr="003F6B39">
        <w:rPr>
          <w:rFonts w:cs="Calibri"/>
        </w:rPr>
        <w:t>ted by the a</w:t>
      </w:r>
      <w:r w:rsidR="003F6B39">
        <w:rPr>
          <w:rFonts w:cs="Calibri"/>
        </w:rPr>
        <w:t>pplicant</w:t>
      </w:r>
      <w:r w:rsidRPr="003F6B39">
        <w:rPr>
          <w:rFonts w:cs="Calibri"/>
        </w:rPr>
        <w:t xml:space="preserve"> using the Exhibit A template. The content of the sections and subsections </w:t>
      </w:r>
      <w:r w:rsidR="00107205" w:rsidRPr="003F6B39">
        <w:rPr>
          <w:rFonts w:cs="Calibri"/>
        </w:rPr>
        <w:t xml:space="preserve">is </w:t>
      </w:r>
      <w:r w:rsidRPr="003F6B39">
        <w:rPr>
          <w:rFonts w:cs="Calibri"/>
        </w:rPr>
        <w:t>based on what is expected of applicants to include in their proposal</w:t>
      </w:r>
      <w:r w:rsidRPr="006F5C48">
        <w:rPr>
          <w:rFonts w:cs="Calibri"/>
        </w:rPr>
        <w:t xml:space="preserve">. </w:t>
      </w:r>
      <w:r w:rsidRPr="543319F8">
        <w:rPr>
          <w:rFonts w:cs="Calibri"/>
        </w:rPr>
        <w:t xml:space="preserve">The </w:t>
      </w:r>
      <w:r w:rsidR="2736E08F" w:rsidRPr="543319F8">
        <w:rPr>
          <w:rFonts w:cs="Calibri"/>
        </w:rPr>
        <w:t>Project</w:t>
      </w:r>
      <w:r w:rsidRPr="543319F8">
        <w:rPr>
          <w:rFonts w:cs="Calibri"/>
        </w:rPr>
        <w:t xml:space="preserve"> Narrative should convey how the applicant’s approach will lead to the success of program awardees, potential participants, and the workforce system. </w:t>
      </w:r>
      <w:r w:rsidRPr="00A341F1">
        <w:rPr>
          <w:rFonts w:cs="Calibri"/>
        </w:rPr>
        <w:t xml:space="preserve">There is a </w:t>
      </w:r>
      <w:r w:rsidR="004565E0" w:rsidRPr="001A3BFE">
        <w:rPr>
          <w:rFonts w:cs="Calibri"/>
        </w:rPr>
        <w:t>10</w:t>
      </w:r>
      <w:r w:rsidRPr="001A3BFE">
        <w:rPr>
          <w:rFonts w:cs="Calibri"/>
        </w:rPr>
        <w:t>-page</w:t>
      </w:r>
      <w:r w:rsidRPr="00A341F1">
        <w:rPr>
          <w:rFonts w:cs="Calibri"/>
        </w:rPr>
        <w:t xml:space="preserve"> limit for Ex</w:t>
      </w:r>
      <w:r w:rsidR="00E134BC" w:rsidRPr="00A341F1">
        <w:rPr>
          <w:rFonts w:cs="Calibri"/>
        </w:rPr>
        <w:t>hibit</w:t>
      </w:r>
      <w:r w:rsidRPr="00A341F1">
        <w:rPr>
          <w:rFonts w:cs="Calibri"/>
        </w:rPr>
        <w:t xml:space="preserve"> A.</w:t>
      </w:r>
      <w:r w:rsidRPr="543319F8">
        <w:rPr>
          <w:rFonts w:cs="Calibri"/>
        </w:rPr>
        <w:t xml:space="preserve"> Anything beyond the </w:t>
      </w:r>
      <w:r w:rsidR="004565E0" w:rsidRPr="001A3BFE">
        <w:rPr>
          <w:rFonts w:cs="Calibri"/>
        </w:rPr>
        <w:t>10</w:t>
      </w:r>
      <w:r w:rsidRPr="001A3BFE">
        <w:rPr>
          <w:rFonts w:cs="Calibri"/>
        </w:rPr>
        <w:t>-page</w:t>
      </w:r>
      <w:r w:rsidRPr="543319F8">
        <w:rPr>
          <w:rFonts w:cs="Calibri"/>
        </w:rPr>
        <w:t xml:space="preserve"> limit will not be considered. The other required exhibits and attachments do not count toward this page limit.</w:t>
      </w:r>
    </w:p>
    <w:p w14:paraId="6782C871" w14:textId="6B729294" w:rsidR="008544AA" w:rsidRPr="00E60407" w:rsidRDefault="008544AA" w:rsidP="01476CFA">
      <w:pPr>
        <w:pStyle w:val="BodyText"/>
        <w:rPr>
          <w:rFonts w:cs="Calibri"/>
          <w:lang w:val="en-US"/>
        </w:rPr>
      </w:pPr>
      <w:bookmarkStart w:id="167" w:name="_Hlk158715758"/>
      <w:r w:rsidRPr="543319F8">
        <w:rPr>
          <w:rFonts w:cs="Calibri"/>
          <w:lang w:val="en-US"/>
        </w:rPr>
        <w:t xml:space="preserve">The </w:t>
      </w:r>
      <w:r w:rsidR="3BC686F9" w:rsidRPr="543319F8">
        <w:rPr>
          <w:rFonts w:cs="Calibri"/>
          <w:lang w:val="en-US"/>
        </w:rPr>
        <w:t>Project</w:t>
      </w:r>
      <w:r w:rsidRPr="543319F8">
        <w:rPr>
          <w:rFonts w:cs="Calibri"/>
          <w:lang w:val="en-US"/>
        </w:rPr>
        <w:t xml:space="preserve"> Narrative must be submitted in M</w:t>
      </w:r>
      <w:r w:rsidR="00402D3D">
        <w:rPr>
          <w:rFonts w:cs="Calibri"/>
          <w:lang w:val="en-US"/>
        </w:rPr>
        <w:t>icrosoft</w:t>
      </w:r>
      <w:r w:rsidRPr="543319F8">
        <w:rPr>
          <w:rFonts w:cs="Calibri"/>
          <w:lang w:val="en-US"/>
        </w:rPr>
        <w:t xml:space="preserve"> Word format </w:t>
      </w:r>
      <w:r w:rsidR="001A3BFE">
        <w:rPr>
          <w:rFonts w:cs="Calibri"/>
          <w:lang w:val="en-US"/>
        </w:rPr>
        <w:t>using</w:t>
      </w:r>
      <w:r w:rsidRPr="543319F8">
        <w:rPr>
          <w:rFonts w:cs="Calibri"/>
          <w:lang w:val="en-US"/>
        </w:rPr>
        <w:t xml:space="preserve"> </w:t>
      </w:r>
      <w:r w:rsidR="001A3BFE" w:rsidRPr="006F5C48">
        <w:rPr>
          <w:rFonts w:cs="Calibri"/>
          <w:lang w:val="en-US"/>
        </w:rPr>
        <w:t>Aptos</w:t>
      </w:r>
      <w:r w:rsidRPr="006F5C48">
        <w:rPr>
          <w:rFonts w:cs="Calibri"/>
          <w:lang w:val="en-US"/>
        </w:rPr>
        <w:t xml:space="preserve"> 1</w:t>
      </w:r>
      <w:r w:rsidR="0017638E">
        <w:rPr>
          <w:rFonts w:cs="Calibri"/>
          <w:lang w:val="en-US"/>
        </w:rPr>
        <w:t>2</w:t>
      </w:r>
      <w:r w:rsidRPr="006F5C48">
        <w:rPr>
          <w:rFonts w:cs="Calibri"/>
          <w:lang w:val="en-US"/>
        </w:rPr>
        <w:t>-point font</w:t>
      </w:r>
      <w:r w:rsidR="00137533" w:rsidRPr="006F5C48">
        <w:rPr>
          <w:rFonts w:cs="Calibri"/>
          <w:lang w:val="en-US"/>
        </w:rPr>
        <w:t>.</w:t>
      </w:r>
      <w:r w:rsidR="00137533">
        <w:rPr>
          <w:rFonts w:cs="Calibri"/>
          <w:lang w:val="en-US"/>
        </w:rPr>
        <w:t xml:space="preserve"> </w:t>
      </w:r>
      <w:r w:rsidRPr="543319F8">
        <w:rPr>
          <w:rFonts w:cs="Calibri"/>
          <w:lang w:val="en-US"/>
        </w:rPr>
        <w:t xml:space="preserve">Save this document according to the following naming convention: </w:t>
      </w:r>
      <w:r w:rsidR="001A3BFE" w:rsidRPr="001A3BFE">
        <w:rPr>
          <w:rFonts w:cs="Calibri"/>
          <w:lang w:val="en-US"/>
        </w:rPr>
        <w:t xml:space="preserve">[Applicant’s Three Digit Initialism] </w:t>
      </w:r>
      <w:r w:rsidR="001A3BFE" w:rsidRPr="006F5C48">
        <w:rPr>
          <w:rFonts w:cs="Calibri"/>
          <w:lang w:val="en-US"/>
        </w:rPr>
        <w:t>EPTA PY 25-26</w:t>
      </w:r>
      <w:r w:rsidR="001A3BFE" w:rsidRPr="001A3BFE">
        <w:rPr>
          <w:rFonts w:cs="Calibri"/>
          <w:lang w:val="en-US"/>
        </w:rPr>
        <w:t xml:space="preserve"> [Exhibit Initialism</w:t>
      </w:r>
      <w:r w:rsidR="001A3BFE">
        <w:rPr>
          <w:rFonts w:cs="Calibri"/>
          <w:lang w:val="en-US"/>
        </w:rPr>
        <w:t>], e.g.,</w:t>
      </w:r>
      <w:r w:rsidR="001A3BFE" w:rsidRPr="001A3BFE">
        <w:rPr>
          <w:rFonts w:cs="Calibri"/>
          <w:lang w:val="en-US"/>
        </w:rPr>
        <w:t xml:space="preserve"> </w:t>
      </w:r>
      <w:r w:rsidRPr="006F5C48">
        <w:rPr>
          <w:rFonts w:cs="Calibri"/>
          <w:lang w:val="en-US"/>
        </w:rPr>
        <w:t>“</w:t>
      </w:r>
      <w:r w:rsidR="00371A69" w:rsidRPr="006F5C48">
        <w:rPr>
          <w:rFonts w:cs="Calibri"/>
          <w:lang w:val="en-US"/>
        </w:rPr>
        <w:t>ABC</w:t>
      </w:r>
      <w:r w:rsidRPr="006F5C48">
        <w:rPr>
          <w:rFonts w:cs="Calibri"/>
          <w:lang w:val="en-US"/>
        </w:rPr>
        <w:t xml:space="preserve"> </w:t>
      </w:r>
      <w:r w:rsidR="004565E0" w:rsidRPr="006F5C48">
        <w:rPr>
          <w:rFonts w:cs="Calibri"/>
          <w:lang w:val="en-US"/>
        </w:rPr>
        <w:t>E</w:t>
      </w:r>
      <w:r w:rsidR="001824C3" w:rsidRPr="006F5C48">
        <w:rPr>
          <w:rFonts w:cs="Calibri"/>
          <w:lang w:val="en-US"/>
        </w:rPr>
        <w:t>P</w:t>
      </w:r>
      <w:r w:rsidR="004565E0" w:rsidRPr="006F5C48">
        <w:rPr>
          <w:rFonts w:cs="Calibri"/>
          <w:lang w:val="en-US"/>
        </w:rPr>
        <w:t>TA</w:t>
      </w:r>
      <w:r w:rsidRPr="006F5C48">
        <w:rPr>
          <w:rFonts w:cs="Calibri"/>
          <w:lang w:val="en-US"/>
        </w:rPr>
        <w:t xml:space="preserve"> PY </w:t>
      </w:r>
      <w:r w:rsidR="004565E0" w:rsidRPr="006F5C48">
        <w:rPr>
          <w:rFonts w:cs="Calibri"/>
          <w:lang w:val="en-US"/>
        </w:rPr>
        <w:t>25</w:t>
      </w:r>
      <w:r w:rsidRPr="006F5C48">
        <w:rPr>
          <w:rFonts w:cs="Calibri"/>
          <w:lang w:val="en-US"/>
        </w:rPr>
        <w:t>-</w:t>
      </w:r>
      <w:r w:rsidR="004565E0" w:rsidRPr="006F5C48">
        <w:rPr>
          <w:rFonts w:cs="Calibri"/>
          <w:lang w:val="en-US"/>
        </w:rPr>
        <w:t>26</w:t>
      </w:r>
      <w:r w:rsidR="005141CF" w:rsidRPr="006F5C48">
        <w:rPr>
          <w:rFonts w:cs="Calibri"/>
          <w:lang w:val="en-US"/>
        </w:rPr>
        <w:t xml:space="preserve"> </w:t>
      </w:r>
      <w:proofErr w:type="spellStart"/>
      <w:r w:rsidRPr="006F5C48">
        <w:rPr>
          <w:rFonts w:cs="Calibri"/>
          <w:lang w:val="en-US"/>
        </w:rPr>
        <w:t>ExA</w:t>
      </w:r>
      <w:proofErr w:type="spellEnd"/>
      <w:r w:rsidRPr="543319F8">
        <w:rPr>
          <w:rFonts w:cs="Calibri"/>
          <w:lang w:val="en-US"/>
        </w:rPr>
        <w:t>.”</w:t>
      </w:r>
    </w:p>
    <w:bookmarkEnd w:id="167"/>
    <w:p w14:paraId="6CF921A2" w14:textId="308DB484" w:rsidR="008544AA" w:rsidRPr="00E60407" w:rsidRDefault="008544AA" w:rsidP="01476CFA">
      <w:pPr>
        <w:pStyle w:val="BodyText"/>
        <w:rPr>
          <w:rFonts w:cs="Calibri"/>
          <w:lang w:val="en-US"/>
        </w:rPr>
      </w:pPr>
      <w:r w:rsidRPr="543319F8">
        <w:rPr>
          <w:rFonts w:cs="Calibri"/>
          <w:lang w:val="en-US"/>
        </w:rPr>
        <w:lastRenderedPageBreak/>
        <w:t xml:space="preserve">The Project Narrative must include the following </w:t>
      </w:r>
      <w:r w:rsidR="00E81870">
        <w:rPr>
          <w:rFonts w:cs="Calibri"/>
          <w:lang w:val="en-US"/>
        </w:rPr>
        <w:t>four</w:t>
      </w:r>
      <w:r w:rsidRPr="543319F8">
        <w:rPr>
          <w:rFonts w:cs="Calibri"/>
          <w:lang w:val="en-US"/>
        </w:rPr>
        <w:t xml:space="preserve"> sections in the following order</w:t>
      </w:r>
      <w:r w:rsidR="00402D3D">
        <w:rPr>
          <w:rFonts w:cs="Calibri"/>
          <w:lang w:val="en-US"/>
        </w:rPr>
        <w:t>,</w:t>
      </w:r>
      <w:r w:rsidRPr="543319F8">
        <w:rPr>
          <w:rFonts w:cs="Calibri"/>
          <w:lang w:val="en-US"/>
        </w:rPr>
        <w:t xml:space="preserve"> indicated in Exhibit A:</w:t>
      </w:r>
      <w:r w:rsidR="00F96907">
        <w:rPr>
          <w:rFonts w:cs="Calibri"/>
          <w:lang w:val="en-US"/>
        </w:rPr>
        <w:t xml:space="preserve"> </w:t>
      </w:r>
    </w:p>
    <w:p w14:paraId="3C88461D" w14:textId="192B3F49" w:rsidR="008544AA" w:rsidRPr="004565E0" w:rsidRDefault="004565E0" w:rsidP="00086CF0">
      <w:pPr>
        <w:pStyle w:val="BodyText"/>
        <w:numPr>
          <w:ilvl w:val="0"/>
          <w:numId w:val="11"/>
        </w:numPr>
        <w:spacing w:after="120"/>
        <w:rPr>
          <w:rFonts w:eastAsia="Arial"/>
        </w:rPr>
      </w:pPr>
      <w:r w:rsidRPr="004565E0">
        <w:t xml:space="preserve">Technical Assistance </w:t>
      </w:r>
      <w:r w:rsidR="00EF21FB">
        <w:t xml:space="preserve">and Evaluation </w:t>
      </w:r>
      <w:r w:rsidRPr="004565E0">
        <w:t>Plan</w:t>
      </w:r>
      <w:r w:rsidR="008544AA" w:rsidRPr="004565E0">
        <w:t xml:space="preserve"> </w:t>
      </w:r>
    </w:p>
    <w:p w14:paraId="52F6ABB0" w14:textId="6D0E3C2D" w:rsidR="008544AA" w:rsidRPr="00E81870" w:rsidRDefault="00E81870" w:rsidP="00086CF0">
      <w:pPr>
        <w:pStyle w:val="BodyText"/>
        <w:numPr>
          <w:ilvl w:val="0"/>
          <w:numId w:val="11"/>
        </w:numPr>
        <w:spacing w:after="120"/>
        <w:rPr>
          <w:rFonts w:eastAsia="Arial"/>
        </w:rPr>
      </w:pPr>
      <w:bookmarkStart w:id="168" w:name="_Hlk129612382"/>
      <w:r>
        <w:t>Community of Practice Strategy</w:t>
      </w:r>
      <w:r w:rsidR="008544AA" w:rsidRPr="004565E0">
        <w:t xml:space="preserve"> </w:t>
      </w:r>
    </w:p>
    <w:p w14:paraId="360BE0D2" w14:textId="3BF27EE0" w:rsidR="00E81870" w:rsidRPr="004565E0" w:rsidRDefault="00E81870" w:rsidP="00086CF0">
      <w:pPr>
        <w:pStyle w:val="BodyText"/>
        <w:numPr>
          <w:ilvl w:val="0"/>
          <w:numId w:val="11"/>
        </w:numPr>
        <w:spacing w:after="120"/>
        <w:rPr>
          <w:rFonts w:eastAsia="Arial"/>
        </w:rPr>
      </w:pPr>
      <w:r>
        <w:t>Organizational Capacity and Experience</w:t>
      </w:r>
    </w:p>
    <w:bookmarkEnd w:id="168"/>
    <w:p w14:paraId="5C256104" w14:textId="196CEC4C" w:rsidR="008544AA" w:rsidRPr="004565E0" w:rsidRDefault="008544AA" w:rsidP="00086CF0">
      <w:pPr>
        <w:pStyle w:val="BodyText"/>
        <w:numPr>
          <w:ilvl w:val="0"/>
          <w:numId w:val="11"/>
        </w:numPr>
        <w:rPr>
          <w:rFonts w:eastAsia="Arial"/>
        </w:rPr>
      </w:pPr>
      <w:r w:rsidRPr="004565E0">
        <w:t xml:space="preserve">Budget Summary Narrative and Plan </w:t>
      </w:r>
    </w:p>
    <w:p w14:paraId="436CAC18" w14:textId="5308A4B3" w:rsidR="008544AA" w:rsidRPr="00DC1DE3" w:rsidRDefault="008544AA" w:rsidP="00F470F1">
      <w:pPr>
        <w:pStyle w:val="BodyText"/>
      </w:pPr>
      <w:r w:rsidRPr="01476CFA">
        <w:rPr>
          <w:lang w:val="en-US"/>
        </w:rPr>
        <w:t>Applicants must cite supporting data as applicable for each section to be considered complete. Relevant data sources may include the EDD Labor Market Information Division, the Bureau of Labor Statistics, the U.S. Census, local surveys, case studies, past performance</w:t>
      </w:r>
      <w:r w:rsidR="004565E0">
        <w:rPr>
          <w:lang w:val="en-US"/>
        </w:rPr>
        <w:t>,</w:t>
      </w:r>
      <w:r w:rsidRPr="01476CFA">
        <w:rPr>
          <w:lang w:val="en-US"/>
        </w:rPr>
        <w:t xml:space="preserve"> and consultation with industry associations, Local Areas, or mandatory and non-mandatory partners. The data should:</w:t>
      </w:r>
    </w:p>
    <w:p w14:paraId="3B12E5CB" w14:textId="61ABBD58" w:rsidR="008544AA" w:rsidRPr="00E60407" w:rsidRDefault="008544AA" w:rsidP="000E27FB">
      <w:pPr>
        <w:pStyle w:val="ListParagraph"/>
        <w:spacing w:after="120" w:line="240" w:lineRule="auto"/>
      </w:pPr>
      <w:r w:rsidRPr="00E60407">
        <w:t>Reflect the applicant’s comprehensive understanding of the issues specific to the</w:t>
      </w:r>
      <w:r w:rsidR="00A734C0" w:rsidRPr="00A734C0">
        <w:t xml:space="preserve"> target populations in in-demand industry sector jobs</w:t>
      </w:r>
      <w:r w:rsidR="00A734C0">
        <w:t>.</w:t>
      </w:r>
    </w:p>
    <w:p w14:paraId="135408F2" w14:textId="0A0746C4" w:rsidR="008544AA" w:rsidRPr="00E60407" w:rsidRDefault="00A734C0" w:rsidP="00A734C0">
      <w:pPr>
        <w:pStyle w:val="ListParagraph"/>
        <w:spacing w:after="120" w:line="240" w:lineRule="auto"/>
      </w:pPr>
      <w:r>
        <w:t>V</w:t>
      </w:r>
      <w:r w:rsidRPr="00A734C0">
        <w:t>alidate program design with evidence that the best practices are being used.</w:t>
      </w:r>
    </w:p>
    <w:p w14:paraId="551AE228" w14:textId="148EEA79" w:rsidR="004565E0" w:rsidRPr="00225C6F" w:rsidRDefault="008544AA" w:rsidP="004565E0">
      <w:pPr>
        <w:pStyle w:val="ListParagraph"/>
        <w:spacing w:after="240" w:line="240" w:lineRule="auto"/>
        <w:rPr>
          <w:rFonts w:asciiTheme="minorHAnsi" w:hAnsiTheme="minorHAnsi" w:cstheme="minorHAnsi"/>
        </w:rPr>
      </w:pPr>
      <w:r w:rsidRPr="00E60407">
        <w:t>Suggest the potential for success</w:t>
      </w:r>
      <w:r w:rsidR="00413F0E">
        <w:t>.</w:t>
      </w:r>
    </w:p>
    <w:p w14:paraId="52893F56" w14:textId="0787D50A" w:rsidR="008544AA" w:rsidRPr="00B34081" w:rsidRDefault="008544AA" w:rsidP="00E60407">
      <w:pPr>
        <w:rPr>
          <w:rFonts w:ascii="Calibri" w:hAnsi="Calibri" w:cs="Calibri"/>
          <w:sz w:val="24"/>
          <w:szCs w:val="24"/>
        </w:rPr>
      </w:pPr>
      <w:r w:rsidRPr="00B34081">
        <w:rPr>
          <w:rFonts w:ascii="Calibri" w:hAnsi="Calibri" w:cs="Calibri"/>
          <w:sz w:val="24"/>
          <w:szCs w:val="24"/>
        </w:rPr>
        <w:t>The narrative must include the Section and Sub-Section header</w:t>
      </w:r>
      <w:r w:rsidR="00305BF0" w:rsidRPr="00B34081">
        <w:rPr>
          <w:rFonts w:ascii="Calibri" w:hAnsi="Calibri" w:cs="Calibri"/>
          <w:sz w:val="24"/>
          <w:szCs w:val="24"/>
        </w:rPr>
        <w:t>s</w:t>
      </w:r>
      <w:r w:rsidRPr="00B34081">
        <w:rPr>
          <w:rFonts w:ascii="Calibri" w:hAnsi="Calibri" w:cs="Calibri"/>
          <w:sz w:val="24"/>
          <w:szCs w:val="24"/>
        </w:rPr>
        <w:t xml:space="preserve"> indicated in bold and must directly address the bulleted prompts. Each section will be reviewed and scored individually for content according to the instructions below.</w:t>
      </w:r>
    </w:p>
    <w:p w14:paraId="125B4739" w14:textId="262B7E4F" w:rsidR="00530AD8" w:rsidRPr="00EC0A6A" w:rsidRDefault="003869E0" w:rsidP="001A4A1F">
      <w:pPr>
        <w:pStyle w:val="BodyText"/>
        <w:rPr>
          <w:b/>
          <w:bCs/>
        </w:rPr>
      </w:pPr>
      <w:r w:rsidRPr="00EC0A6A">
        <w:rPr>
          <w:b/>
          <w:bCs/>
        </w:rPr>
        <w:t xml:space="preserve">Exhibit A – Project Narrative, </w:t>
      </w:r>
      <w:r w:rsidR="008544AA" w:rsidRPr="00EC0A6A">
        <w:rPr>
          <w:b/>
          <w:bCs/>
        </w:rPr>
        <w:t xml:space="preserve">Section </w:t>
      </w:r>
      <w:r w:rsidR="008F564F" w:rsidRPr="00EC0A6A">
        <w:rPr>
          <w:b/>
          <w:bCs/>
        </w:rPr>
        <w:t>1</w:t>
      </w:r>
      <w:r w:rsidRPr="00EC0A6A">
        <w:rPr>
          <w:b/>
          <w:bCs/>
        </w:rPr>
        <w:t xml:space="preserve">: </w:t>
      </w:r>
      <w:r w:rsidR="00445C3D" w:rsidRPr="00EC0A6A">
        <w:rPr>
          <w:b/>
          <w:bCs/>
        </w:rPr>
        <w:t>Technical Assistance</w:t>
      </w:r>
      <w:r w:rsidR="00EE49B5" w:rsidRPr="00EC0A6A">
        <w:rPr>
          <w:b/>
          <w:bCs/>
        </w:rPr>
        <w:t xml:space="preserve"> and Evaluation</w:t>
      </w:r>
      <w:r w:rsidR="00445C3D" w:rsidRPr="00EC0A6A">
        <w:rPr>
          <w:b/>
          <w:bCs/>
        </w:rPr>
        <w:t xml:space="preserve"> Plan</w:t>
      </w:r>
      <w:r w:rsidR="008544AA" w:rsidRPr="00EC0A6A">
        <w:rPr>
          <w:b/>
          <w:bCs/>
        </w:rPr>
        <w:t xml:space="preserve"> (Maximum </w:t>
      </w:r>
      <w:r w:rsidR="00EE49B5" w:rsidRPr="00EC0A6A">
        <w:rPr>
          <w:b/>
          <w:bCs/>
        </w:rPr>
        <w:t>40</w:t>
      </w:r>
      <w:r w:rsidR="008544AA" w:rsidRPr="00EC0A6A">
        <w:rPr>
          <w:b/>
          <w:bCs/>
        </w:rPr>
        <w:t xml:space="preserve"> points)</w:t>
      </w:r>
    </w:p>
    <w:p w14:paraId="1AC3D7E8" w14:textId="32894CD0" w:rsidR="008544AA" w:rsidRPr="003869E0" w:rsidRDefault="008F564F" w:rsidP="001A4A1F">
      <w:pPr>
        <w:pStyle w:val="BodyText"/>
        <w:rPr>
          <w:bCs/>
        </w:rPr>
      </w:pPr>
      <w:r w:rsidRPr="00EC0A6A">
        <w:rPr>
          <w:rStyle w:val="BodyTextChar"/>
          <w:b/>
          <w:bCs/>
        </w:rPr>
        <w:t>1</w:t>
      </w:r>
      <w:r w:rsidR="008544AA" w:rsidRPr="00EC0A6A">
        <w:rPr>
          <w:rStyle w:val="BodyTextChar"/>
          <w:b/>
          <w:bCs/>
        </w:rPr>
        <w:t xml:space="preserve">.1.  </w:t>
      </w:r>
      <w:r w:rsidR="00EC0A6A" w:rsidRPr="00EC0A6A">
        <w:rPr>
          <w:rStyle w:val="BodyTextChar"/>
          <w:b/>
          <w:bCs/>
        </w:rPr>
        <w:t xml:space="preserve">Developmental </w:t>
      </w:r>
      <w:r w:rsidR="009D2B91" w:rsidRPr="00EC0A6A">
        <w:rPr>
          <w:rStyle w:val="BodyTextChar"/>
          <w:b/>
          <w:bCs/>
        </w:rPr>
        <w:t xml:space="preserve">Evaluation </w:t>
      </w:r>
      <w:r w:rsidR="00445C3D" w:rsidRPr="00EC0A6A">
        <w:rPr>
          <w:rStyle w:val="BodyTextChar"/>
          <w:b/>
          <w:bCs/>
        </w:rPr>
        <w:t>Approach</w:t>
      </w:r>
      <w:r w:rsidR="008544AA" w:rsidRPr="00EC0A6A">
        <w:t xml:space="preserve"> (Score Range 0–</w:t>
      </w:r>
      <w:r w:rsidR="00EC0A6A" w:rsidRPr="00EC0A6A">
        <w:t>10</w:t>
      </w:r>
      <w:r w:rsidR="008544AA" w:rsidRPr="00EC0A6A">
        <w:t xml:space="preserve"> points)</w:t>
      </w:r>
    </w:p>
    <w:p w14:paraId="2C315FAD" w14:textId="696E5E10" w:rsidR="008544AA" w:rsidRPr="00646151" w:rsidRDefault="00646151" w:rsidP="00086CF0">
      <w:pPr>
        <w:pStyle w:val="ListParagraph"/>
        <w:numPr>
          <w:ilvl w:val="0"/>
          <w:numId w:val="48"/>
        </w:numPr>
        <w:spacing w:after="120" w:line="240" w:lineRule="auto"/>
        <w:rPr>
          <w:lang w:val="en"/>
        </w:rPr>
      </w:pPr>
      <w:r w:rsidRPr="00646151">
        <w:rPr>
          <w:lang w:val="en"/>
        </w:rPr>
        <w:t>Provide a clear understanding of developmental evaluation.</w:t>
      </w:r>
    </w:p>
    <w:p w14:paraId="1BE8DD5F" w14:textId="17CB80A1" w:rsidR="00646151" w:rsidRPr="00646151" w:rsidRDefault="00646151" w:rsidP="00086CF0">
      <w:pPr>
        <w:pStyle w:val="ListParagraph"/>
        <w:numPr>
          <w:ilvl w:val="0"/>
          <w:numId w:val="48"/>
        </w:numPr>
        <w:spacing w:after="120" w:line="240" w:lineRule="auto"/>
        <w:rPr>
          <w:lang w:val="en"/>
        </w:rPr>
      </w:pPr>
      <w:r w:rsidRPr="00646151">
        <w:rPr>
          <w:lang w:val="en"/>
        </w:rPr>
        <w:t>Describe the framework with shared and grantee-specific components.</w:t>
      </w:r>
    </w:p>
    <w:p w14:paraId="5E4B1873" w14:textId="33D89FD5" w:rsidR="00646151" w:rsidRPr="00646151" w:rsidRDefault="00646151" w:rsidP="00086CF0">
      <w:pPr>
        <w:pStyle w:val="ListParagraph"/>
        <w:numPr>
          <w:ilvl w:val="0"/>
          <w:numId w:val="48"/>
        </w:numPr>
        <w:spacing w:after="120" w:line="240" w:lineRule="auto"/>
        <w:rPr>
          <w:lang w:val="en"/>
        </w:rPr>
      </w:pPr>
      <w:r w:rsidRPr="00646151">
        <w:rPr>
          <w:lang w:val="en"/>
        </w:rPr>
        <w:t>Provide real-time learning and adaptation strategies.</w:t>
      </w:r>
    </w:p>
    <w:p w14:paraId="3F514494" w14:textId="7CE09A71" w:rsidR="008544AA" w:rsidRPr="00DC1DE3" w:rsidRDefault="008F564F" w:rsidP="00F470F1">
      <w:pPr>
        <w:pStyle w:val="BodyText"/>
      </w:pPr>
      <w:r w:rsidRPr="00EC0A6A">
        <w:rPr>
          <w:b/>
          <w:bCs/>
        </w:rPr>
        <w:t>1</w:t>
      </w:r>
      <w:r w:rsidR="008544AA" w:rsidRPr="00EC0A6A">
        <w:rPr>
          <w:b/>
          <w:bCs/>
        </w:rPr>
        <w:t xml:space="preserve">.2. </w:t>
      </w:r>
      <w:r w:rsidR="00EC0A6A" w:rsidRPr="00EC0A6A">
        <w:rPr>
          <w:b/>
          <w:bCs/>
        </w:rPr>
        <w:t xml:space="preserve">Data Strategy </w:t>
      </w:r>
      <w:r w:rsidR="00445C3D" w:rsidRPr="00EC0A6A">
        <w:rPr>
          <w:b/>
          <w:bCs/>
        </w:rPr>
        <w:t xml:space="preserve">and </w:t>
      </w:r>
      <w:r w:rsidR="00EC0A6A" w:rsidRPr="00EC0A6A">
        <w:rPr>
          <w:b/>
          <w:bCs/>
        </w:rPr>
        <w:t>Use</w:t>
      </w:r>
      <w:r w:rsidR="008544AA" w:rsidRPr="00EC0A6A">
        <w:t xml:space="preserve"> (Score range 0–</w:t>
      </w:r>
      <w:r w:rsidR="00EC0A6A" w:rsidRPr="00EC0A6A">
        <w:t>10</w:t>
      </w:r>
      <w:r w:rsidR="008544AA" w:rsidRPr="00EC0A6A">
        <w:t xml:space="preserve"> points)</w:t>
      </w:r>
    </w:p>
    <w:p w14:paraId="0B20588B" w14:textId="759CA521" w:rsidR="00646151" w:rsidRPr="00646151" w:rsidRDefault="00A2080B" w:rsidP="00086CF0">
      <w:pPr>
        <w:pStyle w:val="ListParagraph"/>
        <w:numPr>
          <w:ilvl w:val="0"/>
          <w:numId w:val="49"/>
        </w:numPr>
        <w:spacing w:after="120" w:line="240" w:lineRule="auto"/>
        <w:rPr>
          <w:lang w:val="en"/>
        </w:rPr>
      </w:pPr>
      <w:r>
        <w:rPr>
          <w:lang w:val="en"/>
        </w:rPr>
        <w:t>Provide d</w:t>
      </w:r>
      <w:r w:rsidR="00646151" w:rsidRPr="00646151">
        <w:rPr>
          <w:lang w:val="en"/>
        </w:rPr>
        <w:t>emonstrated experience using data systems (e.g., CalJOBS</w:t>
      </w:r>
      <w:r w:rsidR="00646151" w:rsidRPr="00646151">
        <w:rPr>
          <w:vertAlign w:val="superscript"/>
          <w:lang w:val="en"/>
        </w:rPr>
        <w:t>SM</w:t>
      </w:r>
      <w:r w:rsidR="00646151" w:rsidRPr="00646151">
        <w:rPr>
          <w:lang w:val="en"/>
        </w:rPr>
        <w:t>)</w:t>
      </w:r>
    </w:p>
    <w:p w14:paraId="0C8D03BB" w14:textId="72136736" w:rsidR="00646151" w:rsidRPr="00646151" w:rsidRDefault="00646151" w:rsidP="00086CF0">
      <w:pPr>
        <w:pStyle w:val="ListParagraph"/>
        <w:numPr>
          <w:ilvl w:val="0"/>
          <w:numId w:val="49"/>
        </w:numPr>
        <w:spacing w:after="120" w:line="240" w:lineRule="auto"/>
        <w:rPr>
          <w:lang w:val="en"/>
        </w:rPr>
      </w:pPr>
      <w:r w:rsidRPr="00646151">
        <w:rPr>
          <w:lang w:val="en"/>
        </w:rPr>
        <w:t>Describe the development of data tools (e.g., dashboards)</w:t>
      </w:r>
      <w:r w:rsidR="00C46A76">
        <w:rPr>
          <w:lang w:val="en"/>
        </w:rPr>
        <w:t>.</w:t>
      </w:r>
    </w:p>
    <w:p w14:paraId="55A4304A" w14:textId="6D6B8511" w:rsidR="00646151" w:rsidRPr="00646151" w:rsidRDefault="00646151" w:rsidP="00086CF0">
      <w:pPr>
        <w:pStyle w:val="ListParagraph"/>
        <w:numPr>
          <w:ilvl w:val="0"/>
          <w:numId w:val="49"/>
        </w:numPr>
        <w:spacing w:after="120" w:line="240" w:lineRule="auto"/>
        <w:rPr>
          <w:lang w:val="en"/>
        </w:rPr>
      </w:pPr>
      <w:r w:rsidRPr="00646151">
        <w:rPr>
          <w:lang w:val="en"/>
        </w:rPr>
        <w:t>Describe the integration of participant feedback</w:t>
      </w:r>
      <w:r w:rsidR="00C46A76">
        <w:rPr>
          <w:lang w:val="en"/>
        </w:rPr>
        <w:t>.</w:t>
      </w:r>
    </w:p>
    <w:p w14:paraId="1E402277" w14:textId="38D669FA" w:rsidR="00646151" w:rsidRPr="00646151" w:rsidRDefault="00646151" w:rsidP="00086CF0">
      <w:pPr>
        <w:pStyle w:val="ListParagraph"/>
        <w:numPr>
          <w:ilvl w:val="0"/>
          <w:numId w:val="49"/>
        </w:numPr>
        <w:spacing w:after="120" w:line="240" w:lineRule="auto"/>
        <w:rPr>
          <w:lang w:val="en"/>
        </w:rPr>
      </w:pPr>
      <w:r w:rsidRPr="00646151">
        <w:rPr>
          <w:lang w:val="en"/>
        </w:rPr>
        <w:t>Provide examples of past success.</w:t>
      </w:r>
    </w:p>
    <w:p w14:paraId="021E7FC7" w14:textId="2EBBAF84" w:rsidR="008544AA" w:rsidRPr="003869E0" w:rsidRDefault="008F564F" w:rsidP="00F470F1">
      <w:pPr>
        <w:pStyle w:val="BodyText"/>
        <w:rPr>
          <w:bCs/>
        </w:rPr>
      </w:pPr>
      <w:bookmarkStart w:id="169" w:name="_Hlk214010978"/>
      <w:r w:rsidRPr="00EC0A6A">
        <w:rPr>
          <w:rStyle w:val="Heading6Char"/>
          <w:bCs w:val="0"/>
          <w:i w:val="0"/>
          <w:iCs w:val="0"/>
        </w:rPr>
        <w:t>1</w:t>
      </w:r>
      <w:r w:rsidR="008544AA" w:rsidRPr="00EC0A6A">
        <w:rPr>
          <w:rStyle w:val="Heading6Char"/>
          <w:bCs w:val="0"/>
          <w:i w:val="0"/>
          <w:iCs w:val="0"/>
        </w:rPr>
        <w:t xml:space="preserve">.3. </w:t>
      </w:r>
      <w:r w:rsidR="00EC0A6A" w:rsidRPr="00EC0A6A">
        <w:rPr>
          <w:rStyle w:val="Heading6Char"/>
          <w:bCs w:val="0"/>
          <w:i w:val="0"/>
          <w:iCs w:val="0"/>
        </w:rPr>
        <w:t>Technical Assistance Delivery</w:t>
      </w:r>
      <w:r w:rsidR="008544AA" w:rsidRPr="00EC0A6A">
        <w:rPr>
          <w:bCs/>
        </w:rPr>
        <w:t xml:space="preserve"> (Score Range 0-</w:t>
      </w:r>
      <w:r w:rsidR="00EC0A6A" w:rsidRPr="00EC0A6A">
        <w:rPr>
          <w:bCs/>
        </w:rPr>
        <w:t>10</w:t>
      </w:r>
      <w:r w:rsidR="008544AA" w:rsidRPr="00EC0A6A">
        <w:rPr>
          <w:bCs/>
        </w:rPr>
        <w:t xml:space="preserve"> points)</w:t>
      </w:r>
    </w:p>
    <w:bookmarkEnd w:id="169"/>
    <w:p w14:paraId="52BB55F6" w14:textId="46B1FC4F" w:rsidR="008544AA" w:rsidRPr="00A2080B" w:rsidRDefault="00A2080B" w:rsidP="00086CF0">
      <w:pPr>
        <w:pStyle w:val="ListParagraph"/>
        <w:numPr>
          <w:ilvl w:val="0"/>
          <w:numId w:val="50"/>
        </w:numPr>
        <w:spacing w:after="120" w:line="240" w:lineRule="auto"/>
      </w:pPr>
      <w:r w:rsidRPr="00A2080B">
        <w:t xml:space="preserve">Describe the </w:t>
      </w:r>
      <w:r w:rsidR="00733F25">
        <w:t>plan for providing</w:t>
      </w:r>
      <w:r w:rsidR="00D3401D">
        <w:t xml:space="preserve"> a</w:t>
      </w:r>
      <w:r w:rsidRPr="00A2080B">
        <w:t xml:space="preserve"> tailored</w:t>
      </w:r>
      <w:r w:rsidR="00CC42D2">
        <w:t xml:space="preserve"> technical assistance</w:t>
      </w:r>
      <w:r w:rsidRPr="00A2080B">
        <w:t xml:space="preserve"> </w:t>
      </w:r>
      <w:r w:rsidR="00CC42D2">
        <w:t>(</w:t>
      </w:r>
      <w:r w:rsidRPr="00A2080B">
        <w:t>TA</w:t>
      </w:r>
      <w:r w:rsidR="00CC42D2">
        <w:t>)</w:t>
      </w:r>
      <w:r w:rsidRPr="00A2080B">
        <w:t xml:space="preserve"> approach</w:t>
      </w:r>
      <w:r w:rsidR="007F1A03">
        <w:t>.</w:t>
      </w:r>
    </w:p>
    <w:p w14:paraId="7DB3C7CB" w14:textId="282ED115" w:rsidR="00A2080B" w:rsidRPr="00A2080B" w:rsidRDefault="00A2080B" w:rsidP="00086CF0">
      <w:pPr>
        <w:pStyle w:val="ListParagraph"/>
        <w:numPr>
          <w:ilvl w:val="0"/>
          <w:numId w:val="50"/>
        </w:numPr>
        <w:spacing w:after="120" w:line="240" w:lineRule="auto"/>
      </w:pPr>
      <w:r w:rsidRPr="00A2080B">
        <w:lastRenderedPageBreak/>
        <w:t>Describe how the organization will be responsive to the grantee’s needs.</w:t>
      </w:r>
    </w:p>
    <w:p w14:paraId="5AAF7696" w14:textId="3A80E402" w:rsidR="00A2080B" w:rsidRPr="00A2080B" w:rsidRDefault="00A2080B" w:rsidP="00086CF0">
      <w:pPr>
        <w:pStyle w:val="ListParagraph"/>
        <w:numPr>
          <w:ilvl w:val="0"/>
          <w:numId w:val="50"/>
        </w:numPr>
        <w:spacing w:after="120" w:line="240" w:lineRule="auto"/>
      </w:pPr>
      <w:r w:rsidRPr="00A2080B">
        <w:t>Include planned coaching, training, and peer-learning.</w:t>
      </w:r>
    </w:p>
    <w:p w14:paraId="13EC772E" w14:textId="2B430E57" w:rsidR="00A2080B" w:rsidRPr="00A2080B" w:rsidRDefault="00A2080B" w:rsidP="00086CF0">
      <w:pPr>
        <w:pStyle w:val="ListParagraph"/>
        <w:numPr>
          <w:ilvl w:val="0"/>
          <w:numId w:val="50"/>
        </w:numPr>
        <w:spacing w:after="120" w:line="240" w:lineRule="auto"/>
      </w:pPr>
      <w:r w:rsidRPr="00A2080B">
        <w:t>Provide evidence of measurable impact from prior TA efforts.</w:t>
      </w:r>
    </w:p>
    <w:p w14:paraId="089287D8" w14:textId="27258A9D" w:rsidR="00EC0A6A" w:rsidRDefault="00EC0A6A" w:rsidP="00EC0A6A">
      <w:pPr>
        <w:spacing w:after="240" w:line="240" w:lineRule="auto"/>
        <w:rPr>
          <w:rFonts w:ascii="Calibri" w:eastAsia="Calibri" w:hAnsi="Calibri" w:cs="Calibri"/>
          <w:sz w:val="24"/>
          <w:szCs w:val="24"/>
          <w:lang w:val="en"/>
        </w:rPr>
      </w:pPr>
      <w:r w:rsidRPr="00EC0A6A">
        <w:rPr>
          <w:rFonts w:ascii="Calibri" w:eastAsia="Calibri" w:hAnsi="Calibri" w:cs="Calibri"/>
          <w:b/>
          <w:bCs/>
          <w:sz w:val="24"/>
          <w:szCs w:val="24"/>
          <w:lang w:val="en"/>
        </w:rPr>
        <w:t>1.</w:t>
      </w:r>
      <w:r w:rsidR="003F2C1C">
        <w:rPr>
          <w:rFonts w:ascii="Calibri" w:eastAsia="Calibri" w:hAnsi="Calibri" w:cs="Calibri"/>
          <w:b/>
          <w:bCs/>
          <w:sz w:val="24"/>
          <w:szCs w:val="24"/>
          <w:lang w:val="en"/>
        </w:rPr>
        <w:t>4</w:t>
      </w:r>
      <w:r w:rsidRPr="00EC0A6A">
        <w:rPr>
          <w:rFonts w:ascii="Calibri" w:eastAsia="Calibri" w:hAnsi="Calibri" w:cs="Calibri"/>
          <w:b/>
          <w:bCs/>
          <w:sz w:val="24"/>
          <w:szCs w:val="24"/>
          <w:lang w:val="en"/>
        </w:rPr>
        <w:t>. Measurable Outcomes (</w:t>
      </w:r>
      <w:r w:rsidRPr="00EC0A6A">
        <w:rPr>
          <w:rFonts w:ascii="Calibri" w:eastAsia="Calibri" w:hAnsi="Calibri" w:cs="Calibri"/>
          <w:sz w:val="24"/>
          <w:szCs w:val="24"/>
          <w:lang w:val="en"/>
        </w:rPr>
        <w:t>Score Range 0-10 points</w:t>
      </w:r>
      <w:r w:rsidRPr="00EC0A6A">
        <w:rPr>
          <w:rFonts w:ascii="Calibri" w:eastAsia="Calibri" w:hAnsi="Calibri" w:cs="Calibri"/>
          <w:b/>
          <w:bCs/>
          <w:sz w:val="24"/>
          <w:szCs w:val="24"/>
          <w:lang w:val="en"/>
        </w:rPr>
        <w:t>)</w:t>
      </w:r>
    </w:p>
    <w:p w14:paraId="4D0DF055" w14:textId="1FD8738E" w:rsidR="00A2080B" w:rsidRPr="008C5A7B" w:rsidRDefault="00A2080B" w:rsidP="00086CF0">
      <w:pPr>
        <w:pStyle w:val="ListParagraph"/>
        <w:numPr>
          <w:ilvl w:val="0"/>
          <w:numId w:val="51"/>
        </w:numPr>
        <w:spacing w:after="240" w:line="240" w:lineRule="auto"/>
        <w:rPr>
          <w:rFonts w:eastAsia="Calibri"/>
          <w:lang w:val="en"/>
        </w:rPr>
      </w:pPr>
      <w:r w:rsidRPr="008C5A7B">
        <w:rPr>
          <w:rFonts w:eastAsia="Calibri"/>
          <w:lang w:val="en"/>
        </w:rPr>
        <w:t>De</w:t>
      </w:r>
      <w:r w:rsidR="006260A2">
        <w:rPr>
          <w:rFonts w:eastAsia="Calibri"/>
          <w:lang w:val="en"/>
        </w:rPr>
        <w:t>monstrate that the</w:t>
      </w:r>
      <w:r w:rsidR="008C5A7B" w:rsidRPr="008C5A7B">
        <w:rPr>
          <w:rFonts w:eastAsia="Calibri"/>
          <w:lang w:val="en"/>
        </w:rPr>
        <w:t xml:space="preserve"> proposed outcomes are specific, realistic, and measurable.</w:t>
      </w:r>
    </w:p>
    <w:p w14:paraId="3079A6B6" w14:textId="6865ABBC" w:rsidR="008C5A7B" w:rsidRPr="008C5A7B" w:rsidRDefault="008C5A7B" w:rsidP="00086CF0">
      <w:pPr>
        <w:pStyle w:val="ListParagraph"/>
        <w:numPr>
          <w:ilvl w:val="0"/>
          <w:numId w:val="51"/>
        </w:numPr>
        <w:spacing w:after="240" w:line="240" w:lineRule="auto"/>
        <w:rPr>
          <w:rFonts w:eastAsia="Calibri"/>
          <w:lang w:val="en"/>
        </w:rPr>
      </w:pPr>
      <w:r w:rsidRPr="008C5A7B">
        <w:rPr>
          <w:rFonts w:eastAsia="Calibri"/>
          <w:lang w:val="en"/>
        </w:rPr>
        <w:t>De</w:t>
      </w:r>
      <w:r w:rsidR="00DB7824">
        <w:rPr>
          <w:rFonts w:eastAsia="Calibri"/>
          <w:lang w:val="en"/>
        </w:rPr>
        <w:t>scribe</w:t>
      </w:r>
      <w:r w:rsidRPr="008C5A7B">
        <w:rPr>
          <w:rFonts w:eastAsia="Calibri"/>
          <w:lang w:val="en"/>
        </w:rPr>
        <w:t xml:space="preserve"> how they align with both purposes of the grant.</w:t>
      </w:r>
    </w:p>
    <w:p w14:paraId="7296F57B" w14:textId="237DCA22" w:rsidR="008C5A7B" w:rsidRPr="008C5A7B" w:rsidRDefault="008C5A7B" w:rsidP="00086CF0">
      <w:pPr>
        <w:pStyle w:val="ListParagraph"/>
        <w:numPr>
          <w:ilvl w:val="0"/>
          <w:numId w:val="51"/>
        </w:numPr>
        <w:spacing w:after="240" w:line="240" w:lineRule="auto"/>
        <w:rPr>
          <w:rFonts w:eastAsia="Calibri"/>
          <w:lang w:val="en"/>
        </w:rPr>
      </w:pPr>
      <w:r w:rsidRPr="008C5A7B">
        <w:rPr>
          <w:rFonts w:eastAsia="Calibri"/>
          <w:lang w:val="en"/>
        </w:rPr>
        <w:t>Include planned performance indicators and reporting strategies.</w:t>
      </w:r>
    </w:p>
    <w:p w14:paraId="3814A770" w14:textId="323D4CEE" w:rsidR="008544AA" w:rsidRPr="003F2C1C" w:rsidRDefault="003869E0" w:rsidP="001A4A1F">
      <w:pPr>
        <w:pStyle w:val="BodyText"/>
        <w:rPr>
          <w:b/>
          <w:bCs/>
        </w:rPr>
      </w:pPr>
      <w:r w:rsidRPr="003F2C1C">
        <w:rPr>
          <w:b/>
          <w:bCs/>
        </w:rPr>
        <w:t xml:space="preserve">Exhibit A – Project Narrative, Section </w:t>
      </w:r>
      <w:r w:rsidR="008253D6" w:rsidRPr="003F2C1C">
        <w:rPr>
          <w:b/>
          <w:bCs/>
        </w:rPr>
        <w:t>2</w:t>
      </w:r>
      <w:r w:rsidRPr="003F2C1C">
        <w:rPr>
          <w:b/>
          <w:bCs/>
        </w:rPr>
        <w:t xml:space="preserve">: </w:t>
      </w:r>
      <w:r w:rsidR="00C81F2B" w:rsidRPr="003F2C1C">
        <w:rPr>
          <w:b/>
          <w:bCs/>
        </w:rPr>
        <w:t>Community</w:t>
      </w:r>
      <w:r w:rsidRPr="003F2C1C">
        <w:rPr>
          <w:b/>
          <w:bCs/>
        </w:rPr>
        <w:t xml:space="preserve"> of</w:t>
      </w:r>
      <w:r w:rsidR="008253D6" w:rsidRPr="003F2C1C">
        <w:rPr>
          <w:b/>
          <w:bCs/>
        </w:rPr>
        <w:t xml:space="preserve"> </w:t>
      </w:r>
      <w:r w:rsidR="00C81F2B" w:rsidRPr="003F2C1C">
        <w:rPr>
          <w:b/>
          <w:bCs/>
        </w:rPr>
        <w:t>Practice Strategy</w:t>
      </w:r>
      <w:r w:rsidRPr="003F2C1C">
        <w:rPr>
          <w:b/>
          <w:bCs/>
        </w:rPr>
        <w:t xml:space="preserve"> </w:t>
      </w:r>
      <w:r w:rsidR="008544AA" w:rsidRPr="003F2C1C">
        <w:rPr>
          <w:b/>
          <w:bCs/>
        </w:rPr>
        <w:t xml:space="preserve">(Maximum </w:t>
      </w:r>
      <w:r w:rsidR="00C81F2B" w:rsidRPr="003F2C1C">
        <w:rPr>
          <w:b/>
          <w:bCs/>
        </w:rPr>
        <w:t>25</w:t>
      </w:r>
      <w:r w:rsidR="008544AA" w:rsidRPr="003F2C1C">
        <w:rPr>
          <w:b/>
          <w:bCs/>
        </w:rPr>
        <w:t xml:space="preserve"> points)</w:t>
      </w:r>
    </w:p>
    <w:p w14:paraId="0B6848E2" w14:textId="24EA12FB" w:rsidR="008544AA" w:rsidRPr="00DC1DE3" w:rsidRDefault="008253D6" w:rsidP="008F564F">
      <w:pPr>
        <w:pStyle w:val="BodyText"/>
        <w:rPr>
          <w:b/>
        </w:rPr>
      </w:pPr>
      <w:bookmarkStart w:id="170" w:name="_Hlk207193273"/>
      <w:r w:rsidRPr="003F2C1C">
        <w:rPr>
          <w:b/>
        </w:rPr>
        <w:t>2</w:t>
      </w:r>
      <w:r w:rsidR="008544AA" w:rsidRPr="003F2C1C">
        <w:rPr>
          <w:b/>
        </w:rPr>
        <w:t>.1. C</w:t>
      </w:r>
      <w:r w:rsidR="00054FF2">
        <w:rPr>
          <w:b/>
        </w:rPr>
        <w:t xml:space="preserve">ommunity of </w:t>
      </w:r>
      <w:r w:rsidR="003F2C1C" w:rsidRPr="003F2C1C">
        <w:rPr>
          <w:b/>
        </w:rPr>
        <w:t>P</w:t>
      </w:r>
      <w:r w:rsidR="00054FF2">
        <w:rPr>
          <w:b/>
        </w:rPr>
        <w:t>ractice</w:t>
      </w:r>
      <w:r w:rsidR="003F2C1C" w:rsidRPr="003F2C1C">
        <w:rPr>
          <w:b/>
        </w:rPr>
        <w:t xml:space="preserve"> Design and Facilitation</w:t>
      </w:r>
      <w:r w:rsidR="008544AA" w:rsidRPr="003F2C1C">
        <w:rPr>
          <w:b/>
        </w:rPr>
        <w:t xml:space="preserve"> </w:t>
      </w:r>
      <w:r w:rsidR="008544AA" w:rsidRPr="003F2C1C">
        <w:t>(Score range 0–</w:t>
      </w:r>
      <w:r w:rsidR="003F2C1C" w:rsidRPr="003F2C1C">
        <w:t>10</w:t>
      </w:r>
      <w:r w:rsidR="008544AA" w:rsidRPr="003F2C1C">
        <w:t xml:space="preserve"> points)</w:t>
      </w:r>
    </w:p>
    <w:bookmarkEnd w:id="170"/>
    <w:p w14:paraId="05C91711" w14:textId="23FD5CF6" w:rsidR="008544AA" w:rsidRPr="00056C38" w:rsidRDefault="00056C38" w:rsidP="00086CF0">
      <w:pPr>
        <w:pStyle w:val="ListParagraph"/>
        <w:numPr>
          <w:ilvl w:val="0"/>
          <w:numId w:val="52"/>
        </w:numPr>
        <w:spacing w:after="120" w:line="240" w:lineRule="auto"/>
      </w:pPr>
      <w:r w:rsidRPr="00056C38">
        <w:t>Provide a clear plan to convene and sustain a COP among TA providers.</w:t>
      </w:r>
    </w:p>
    <w:p w14:paraId="4B45122F" w14:textId="7F082156" w:rsidR="00056C38" w:rsidRPr="00056C38" w:rsidRDefault="00056C38" w:rsidP="00086CF0">
      <w:pPr>
        <w:pStyle w:val="ListParagraph"/>
        <w:numPr>
          <w:ilvl w:val="0"/>
          <w:numId w:val="52"/>
        </w:numPr>
        <w:spacing w:after="120" w:line="240" w:lineRule="auto"/>
      </w:pPr>
      <w:r w:rsidRPr="00056C38">
        <w:t>Describe the structure, frequency, and well-defined facilitation methods.</w:t>
      </w:r>
    </w:p>
    <w:p w14:paraId="0E86A97E" w14:textId="11880F05" w:rsidR="008544AA" w:rsidRPr="00DC1DE3" w:rsidRDefault="008253D6" w:rsidP="008F564F">
      <w:pPr>
        <w:pStyle w:val="BodyText"/>
      </w:pPr>
      <w:r w:rsidRPr="003F2C1C">
        <w:rPr>
          <w:b/>
          <w:bCs/>
        </w:rPr>
        <w:t>2</w:t>
      </w:r>
      <w:r w:rsidR="008544AA" w:rsidRPr="003F2C1C">
        <w:rPr>
          <w:b/>
          <w:bCs/>
        </w:rPr>
        <w:t xml:space="preserve">.2. </w:t>
      </w:r>
      <w:r w:rsidR="003F2C1C" w:rsidRPr="003F2C1C">
        <w:rPr>
          <w:b/>
          <w:bCs/>
        </w:rPr>
        <w:t>Cross-Program Learning</w:t>
      </w:r>
      <w:r w:rsidRPr="003F2C1C">
        <w:rPr>
          <w:b/>
          <w:bCs/>
        </w:rPr>
        <w:t xml:space="preserve"> and </w:t>
      </w:r>
      <w:r w:rsidR="003F2C1C" w:rsidRPr="003F2C1C">
        <w:rPr>
          <w:b/>
          <w:bCs/>
        </w:rPr>
        <w:t>Alignment</w:t>
      </w:r>
      <w:r w:rsidR="008544AA" w:rsidRPr="003F2C1C">
        <w:t xml:space="preserve"> (Score range 0–</w:t>
      </w:r>
      <w:r w:rsidR="003F2C1C" w:rsidRPr="003F2C1C">
        <w:t>10</w:t>
      </w:r>
      <w:r w:rsidR="008544AA" w:rsidRPr="003F2C1C">
        <w:t xml:space="preserve"> points)</w:t>
      </w:r>
    </w:p>
    <w:p w14:paraId="6DE2B611" w14:textId="1CE81BA2" w:rsidR="008253D6" w:rsidRPr="00056C38" w:rsidRDefault="00056C38" w:rsidP="00086CF0">
      <w:pPr>
        <w:pStyle w:val="ListParagraph"/>
        <w:numPr>
          <w:ilvl w:val="0"/>
          <w:numId w:val="53"/>
        </w:numPr>
        <w:spacing w:after="120" w:line="240" w:lineRule="auto"/>
      </w:pPr>
      <w:r w:rsidRPr="00056C38">
        <w:t>Describe the strategy for identifying shared challenges, aligning TA strategies, and producing shared tools or resources.</w:t>
      </w:r>
    </w:p>
    <w:p w14:paraId="66352CB2" w14:textId="50E6A3F8" w:rsidR="008253D6" w:rsidRPr="00DD66A6" w:rsidRDefault="008253D6" w:rsidP="008253D6">
      <w:pPr>
        <w:pStyle w:val="BodyText"/>
        <w:rPr>
          <w:b/>
          <w:highlight w:val="cyan"/>
        </w:rPr>
      </w:pPr>
      <w:r w:rsidRPr="009E2D30">
        <w:rPr>
          <w:b/>
        </w:rPr>
        <w:t xml:space="preserve">2.3. </w:t>
      </w:r>
      <w:r w:rsidR="003F2C1C" w:rsidRPr="009E2D30">
        <w:rPr>
          <w:b/>
        </w:rPr>
        <w:t>Learning</w:t>
      </w:r>
      <w:r w:rsidRPr="009E2D30">
        <w:rPr>
          <w:b/>
        </w:rPr>
        <w:t xml:space="preserve"> P</w:t>
      </w:r>
      <w:r w:rsidR="003F2C1C" w:rsidRPr="009E2D30">
        <w:rPr>
          <w:b/>
        </w:rPr>
        <w:t>roduct Development</w:t>
      </w:r>
      <w:r w:rsidRPr="009E2D30">
        <w:rPr>
          <w:b/>
        </w:rPr>
        <w:t xml:space="preserve"> </w:t>
      </w:r>
      <w:r w:rsidRPr="009E2D30">
        <w:t>(Score range 0–</w:t>
      </w:r>
      <w:r w:rsidR="003F2C1C" w:rsidRPr="009E2D30">
        <w:t>5</w:t>
      </w:r>
      <w:r w:rsidRPr="009E2D30">
        <w:t xml:space="preserve"> points)</w:t>
      </w:r>
    </w:p>
    <w:p w14:paraId="495E853B" w14:textId="34CD70AD" w:rsidR="008253D6" w:rsidRPr="00056C38" w:rsidRDefault="00056C38" w:rsidP="00086CF0">
      <w:pPr>
        <w:pStyle w:val="ListParagraph"/>
        <w:numPr>
          <w:ilvl w:val="0"/>
          <w:numId w:val="53"/>
        </w:numPr>
        <w:spacing w:after="240" w:line="240" w:lineRule="auto"/>
        <w:rPr>
          <w:rFonts w:eastAsia="Calibri"/>
          <w:lang w:val="en"/>
        </w:rPr>
      </w:pPr>
      <w:r w:rsidRPr="00056C38">
        <w:rPr>
          <w:rFonts w:eastAsia="Calibri"/>
          <w:lang w:val="en"/>
        </w:rPr>
        <w:t>Describe the organization’s plan to produce and disseminate briefs, case studies, or toolkits.</w:t>
      </w:r>
    </w:p>
    <w:p w14:paraId="4C06D7BB" w14:textId="6CEA55B0" w:rsidR="00056C38" w:rsidRPr="00056C38" w:rsidRDefault="00056C38" w:rsidP="00086CF0">
      <w:pPr>
        <w:pStyle w:val="ListParagraph"/>
        <w:numPr>
          <w:ilvl w:val="0"/>
          <w:numId w:val="53"/>
        </w:numPr>
        <w:spacing w:after="240" w:line="240" w:lineRule="auto"/>
        <w:rPr>
          <w:rFonts w:eastAsia="Calibri"/>
          <w:lang w:val="en"/>
        </w:rPr>
      </w:pPr>
      <w:r w:rsidRPr="00056C38">
        <w:rPr>
          <w:rFonts w:eastAsia="Calibri"/>
          <w:lang w:val="en"/>
        </w:rPr>
        <w:t>Provide examples of past learning products or publications.</w:t>
      </w:r>
    </w:p>
    <w:p w14:paraId="3F18265A" w14:textId="33C72B37" w:rsidR="008544AA" w:rsidRPr="00C33EAC" w:rsidRDefault="003869E0" w:rsidP="001A4A1F">
      <w:pPr>
        <w:pStyle w:val="BodyText"/>
        <w:rPr>
          <w:b/>
          <w:bCs/>
        </w:rPr>
      </w:pPr>
      <w:bookmarkStart w:id="171" w:name="_Hlk213922526"/>
      <w:r w:rsidRPr="00C33EAC">
        <w:rPr>
          <w:b/>
          <w:bCs/>
        </w:rPr>
        <w:t xml:space="preserve">Exhibit A – Project Narrative, Section </w:t>
      </w:r>
      <w:r w:rsidR="008253D6" w:rsidRPr="00C33EAC">
        <w:rPr>
          <w:b/>
          <w:bCs/>
        </w:rPr>
        <w:t>3</w:t>
      </w:r>
      <w:r w:rsidRPr="00C33EAC">
        <w:rPr>
          <w:b/>
          <w:bCs/>
        </w:rPr>
        <w:t xml:space="preserve">: </w:t>
      </w:r>
      <w:r w:rsidR="00BE7A10" w:rsidRPr="00C33EAC">
        <w:rPr>
          <w:b/>
          <w:bCs/>
        </w:rPr>
        <w:t>Organizational Capacity and Experience</w:t>
      </w:r>
      <w:r w:rsidRPr="00C33EAC">
        <w:rPr>
          <w:b/>
          <w:bCs/>
        </w:rPr>
        <w:t xml:space="preserve"> </w:t>
      </w:r>
      <w:r w:rsidR="008544AA" w:rsidRPr="00C33EAC">
        <w:rPr>
          <w:b/>
          <w:bCs/>
        </w:rPr>
        <w:t xml:space="preserve">(Maximum </w:t>
      </w:r>
      <w:r w:rsidR="00BE7A10" w:rsidRPr="00C33EAC">
        <w:rPr>
          <w:b/>
          <w:bCs/>
        </w:rPr>
        <w:t>25</w:t>
      </w:r>
      <w:r w:rsidR="008544AA" w:rsidRPr="00C33EAC">
        <w:rPr>
          <w:b/>
          <w:bCs/>
        </w:rPr>
        <w:t xml:space="preserve"> Points)</w:t>
      </w:r>
    </w:p>
    <w:bookmarkEnd w:id="171"/>
    <w:p w14:paraId="1C84158D" w14:textId="057143BD" w:rsidR="008544AA" w:rsidRPr="00DC1DE3" w:rsidRDefault="008253D6" w:rsidP="00530AD8">
      <w:pPr>
        <w:pStyle w:val="BodyText"/>
        <w:rPr>
          <w:b/>
        </w:rPr>
      </w:pPr>
      <w:r w:rsidRPr="00C33EAC">
        <w:rPr>
          <w:b/>
        </w:rPr>
        <w:t>3</w:t>
      </w:r>
      <w:r w:rsidR="008544AA" w:rsidRPr="00C33EAC">
        <w:rPr>
          <w:b/>
        </w:rPr>
        <w:t xml:space="preserve">.1. </w:t>
      </w:r>
      <w:r w:rsidR="00C33EAC" w:rsidRPr="00C33EAC">
        <w:rPr>
          <w:b/>
        </w:rPr>
        <w:t>Relevant Experience</w:t>
      </w:r>
      <w:r w:rsidR="008544AA" w:rsidRPr="00C33EAC">
        <w:rPr>
          <w:b/>
        </w:rPr>
        <w:t xml:space="preserve"> </w:t>
      </w:r>
      <w:r w:rsidR="008544AA" w:rsidRPr="00C33EAC">
        <w:t>(Score range 0–</w:t>
      </w:r>
      <w:r w:rsidR="00C33EAC" w:rsidRPr="00C33EAC">
        <w:t>10</w:t>
      </w:r>
      <w:r w:rsidR="008544AA" w:rsidRPr="00C33EAC">
        <w:t xml:space="preserve"> points)</w:t>
      </w:r>
    </w:p>
    <w:p w14:paraId="0640C47E" w14:textId="21776041" w:rsidR="008544AA" w:rsidRPr="008C03DD" w:rsidRDefault="008C03DD" w:rsidP="00086CF0">
      <w:pPr>
        <w:pStyle w:val="ListParagraph"/>
        <w:numPr>
          <w:ilvl w:val="0"/>
          <w:numId w:val="54"/>
        </w:numPr>
        <w:spacing w:after="120" w:line="240" w:lineRule="auto"/>
        <w:rPr>
          <w:lang w:val="en"/>
        </w:rPr>
      </w:pPr>
      <w:r w:rsidRPr="008C03DD">
        <w:rPr>
          <w:lang w:val="en"/>
        </w:rPr>
        <w:t>Describe the organization’s demonstrated success in delivering TA and evaluation in a similar context.</w:t>
      </w:r>
    </w:p>
    <w:p w14:paraId="3C4E54C8" w14:textId="77A40968" w:rsidR="008544AA" w:rsidRPr="00C63A1C" w:rsidRDefault="008C03DD" w:rsidP="00086CF0">
      <w:pPr>
        <w:pStyle w:val="ListParagraph"/>
        <w:numPr>
          <w:ilvl w:val="0"/>
          <w:numId w:val="54"/>
        </w:numPr>
        <w:spacing w:after="120" w:line="240" w:lineRule="auto"/>
        <w:rPr>
          <w:lang w:val="en"/>
        </w:rPr>
      </w:pPr>
      <w:r w:rsidRPr="008C03DD">
        <w:rPr>
          <w:lang w:val="en"/>
        </w:rPr>
        <w:t>Describe the organization’s experience with workforce development programs.</w:t>
      </w:r>
    </w:p>
    <w:p w14:paraId="2C4A4FBC" w14:textId="139B6F73" w:rsidR="008544AA" w:rsidRDefault="008253D6" w:rsidP="00530AD8">
      <w:pPr>
        <w:pStyle w:val="BodyText"/>
      </w:pPr>
      <w:bookmarkStart w:id="172" w:name="_Hlk214011482"/>
      <w:r w:rsidRPr="00DF5863">
        <w:rPr>
          <w:b/>
          <w:bCs/>
        </w:rPr>
        <w:t>3</w:t>
      </w:r>
      <w:r w:rsidR="008544AA" w:rsidRPr="00DF5863">
        <w:rPr>
          <w:b/>
          <w:bCs/>
        </w:rPr>
        <w:t xml:space="preserve">.2. </w:t>
      </w:r>
      <w:r w:rsidR="00DF5863" w:rsidRPr="00DF5863">
        <w:rPr>
          <w:b/>
          <w:bCs/>
        </w:rPr>
        <w:t>Staffing and</w:t>
      </w:r>
      <w:r w:rsidR="008544AA" w:rsidRPr="00DF5863">
        <w:rPr>
          <w:b/>
          <w:bCs/>
        </w:rPr>
        <w:t xml:space="preserve"> </w:t>
      </w:r>
      <w:r w:rsidR="00DF5863" w:rsidRPr="00DF5863">
        <w:rPr>
          <w:b/>
          <w:bCs/>
        </w:rPr>
        <w:t>Infrastructure</w:t>
      </w:r>
      <w:r w:rsidR="008544AA" w:rsidRPr="00DF5863">
        <w:t xml:space="preserve"> (Score range 0–</w:t>
      </w:r>
      <w:r w:rsidR="00054FF2">
        <w:t>10</w:t>
      </w:r>
      <w:r w:rsidR="008544AA" w:rsidRPr="00DF5863">
        <w:t xml:space="preserve"> points)</w:t>
      </w:r>
    </w:p>
    <w:bookmarkEnd w:id="172"/>
    <w:p w14:paraId="1CBD34BD" w14:textId="295FA7CE" w:rsidR="008544AA" w:rsidRDefault="00E37842" w:rsidP="00A64847">
      <w:pPr>
        <w:pStyle w:val="ListParagraph"/>
        <w:rPr>
          <w:lang w:val="en"/>
        </w:rPr>
      </w:pPr>
      <w:r w:rsidRPr="00E37842">
        <w:rPr>
          <w:lang w:val="en"/>
        </w:rPr>
        <w:t>D</w:t>
      </w:r>
      <w:r w:rsidR="00AE24D4">
        <w:rPr>
          <w:lang w:val="en"/>
        </w:rPr>
        <w:t>escribe the organizational infrastructure and d</w:t>
      </w:r>
      <w:r w:rsidRPr="00E37842">
        <w:rPr>
          <w:lang w:val="en"/>
        </w:rPr>
        <w:t>emonstrate that the organization has a qualified team with relevant expertise.</w:t>
      </w:r>
    </w:p>
    <w:p w14:paraId="7B9A8167" w14:textId="6ADBAC2F" w:rsidR="00E37842" w:rsidRDefault="00AE24D4" w:rsidP="00A64847">
      <w:pPr>
        <w:pStyle w:val="ListParagraph"/>
        <w:rPr>
          <w:lang w:val="en"/>
        </w:rPr>
      </w:pPr>
      <w:r>
        <w:rPr>
          <w:lang w:val="en"/>
        </w:rPr>
        <w:lastRenderedPageBreak/>
        <w:t>Include the proposed staffing plan for this project and detail</w:t>
      </w:r>
      <w:r w:rsidR="00E37842">
        <w:rPr>
          <w:lang w:val="en"/>
        </w:rPr>
        <w:t xml:space="preserve"> the staff’s clear roles and responsibilities</w:t>
      </w:r>
      <w:r>
        <w:rPr>
          <w:lang w:val="en"/>
        </w:rPr>
        <w:t>, detailing all key positions that will carry out the project</w:t>
      </w:r>
      <w:r w:rsidR="00E37842">
        <w:rPr>
          <w:lang w:val="en"/>
        </w:rPr>
        <w:t>.</w:t>
      </w:r>
    </w:p>
    <w:p w14:paraId="2B46589A" w14:textId="6D2144F4" w:rsidR="00E37842" w:rsidRDefault="00AE24D4" w:rsidP="00A64847">
      <w:pPr>
        <w:pStyle w:val="ListParagraph"/>
        <w:rPr>
          <w:lang w:val="en"/>
        </w:rPr>
      </w:pPr>
      <w:r>
        <w:rPr>
          <w:lang w:val="en"/>
        </w:rPr>
        <w:t>Provide an organizational structure to d</w:t>
      </w:r>
      <w:r w:rsidR="00E37842">
        <w:rPr>
          <w:lang w:val="en"/>
        </w:rPr>
        <w:t>emonstrate that the organization has adequate infrastructure to manage data and TA delivery.</w:t>
      </w:r>
    </w:p>
    <w:p w14:paraId="0B00FFAB" w14:textId="47A875D0" w:rsidR="007F4233" w:rsidRPr="007F4233" w:rsidRDefault="007F4233" w:rsidP="007F4233">
      <w:pPr>
        <w:pStyle w:val="ListParagraph"/>
        <w:rPr>
          <w:lang w:val="en"/>
        </w:rPr>
      </w:pPr>
      <w:r>
        <w:rPr>
          <w:lang w:val="en"/>
        </w:rPr>
        <w:t xml:space="preserve">Include an organizational chart. </w:t>
      </w:r>
    </w:p>
    <w:p w14:paraId="4D4C18FB" w14:textId="15E66A60" w:rsidR="00AE24D4" w:rsidRDefault="00AE24D4" w:rsidP="00A64847">
      <w:pPr>
        <w:pStyle w:val="ListParagraph"/>
        <w:rPr>
          <w:lang w:val="en"/>
        </w:rPr>
      </w:pPr>
      <w:r>
        <w:rPr>
          <w:lang w:val="en"/>
        </w:rPr>
        <w:t>If the staff is not currently identified, describe the process of identifying, hiring, or appointing key staff, the timeline, and the training provided during the project start-up period.</w:t>
      </w:r>
    </w:p>
    <w:p w14:paraId="6FF25F70" w14:textId="58D4DEA8" w:rsidR="001E76AD" w:rsidRDefault="001E76AD" w:rsidP="001E76AD">
      <w:pPr>
        <w:spacing w:after="120" w:line="240" w:lineRule="auto"/>
        <w:rPr>
          <w:rFonts w:ascii="Calibri" w:hAnsi="Calibri" w:cs="Calibri"/>
          <w:sz w:val="24"/>
          <w:szCs w:val="24"/>
        </w:rPr>
      </w:pPr>
      <w:r w:rsidRPr="001E76AD">
        <w:rPr>
          <w:rFonts w:ascii="Calibri" w:hAnsi="Calibri" w:cs="Calibri"/>
          <w:b/>
          <w:bCs/>
          <w:sz w:val="24"/>
          <w:szCs w:val="24"/>
        </w:rPr>
        <w:t>3.3.</w:t>
      </w:r>
      <w:r w:rsidRPr="001E76AD">
        <w:rPr>
          <w:rFonts w:ascii="Calibri" w:hAnsi="Calibri" w:cs="Calibri"/>
          <w:sz w:val="24"/>
          <w:szCs w:val="24"/>
        </w:rPr>
        <w:t xml:space="preserve"> </w:t>
      </w:r>
      <w:r w:rsidRPr="001E76AD">
        <w:rPr>
          <w:rFonts w:ascii="Calibri" w:hAnsi="Calibri" w:cs="Calibri"/>
          <w:b/>
          <w:bCs/>
          <w:sz w:val="24"/>
          <w:szCs w:val="24"/>
        </w:rPr>
        <w:t>Past Performance and References</w:t>
      </w:r>
      <w:r w:rsidRPr="001E76AD">
        <w:rPr>
          <w:rFonts w:ascii="Calibri" w:hAnsi="Calibri" w:cs="Calibri"/>
          <w:sz w:val="24"/>
          <w:szCs w:val="24"/>
        </w:rPr>
        <w:t xml:space="preserve"> (Score range 0–5 points)</w:t>
      </w:r>
    </w:p>
    <w:p w14:paraId="4EE57CED" w14:textId="624ED09E" w:rsidR="001E76AD" w:rsidRPr="00C63A1C" w:rsidRDefault="00C63A1C" w:rsidP="00086CF0">
      <w:pPr>
        <w:pStyle w:val="ListParagraph"/>
        <w:numPr>
          <w:ilvl w:val="0"/>
          <w:numId w:val="55"/>
        </w:numPr>
        <w:spacing w:after="120" w:line="240" w:lineRule="auto"/>
      </w:pPr>
      <w:r w:rsidRPr="00C63A1C">
        <w:t>Provide evidence of the organization’s impact from previous work.</w:t>
      </w:r>
    </w:p>
    <w:p w14:paraId="6F7EC3C1" w14:textId="46095078" w:rsidR="008544AA" w:rsidRDefault="00C63A1C" w:rsidP="00086CF0">
      <w:pPr>
        <w:pStyle w:val="ListParagraph"/>
        <w:numPr>
          <w:ilvl w:val="0"/>
          <w:numId w:val="55"/>
        </w:numPr>
        <w:spacing w:after="120" w:line="240" w:lineRule="auto"/>
      </w:pPr>
      <w:r w:rsidRPr="00C63A1C">
        <w:t>Provide strong references or documented outcomes.</w:t>
      </w:r>
    </w:p>
    <w:p w14:paraId="54D4CF53" w14:textId="19DF5871" w:rsidR="004934DD" w:rsidRPr="001E76AD" w:rsidRDefault="004934DD" w:rsidP="000E27FB">
      <w:pPr>
        <w:pStyle w:val="BodyText"/>
        <w:rPr>
          <w:b/>
          <w:bCs/>
        </w:rPr>
      </w:pPr>
      <w:r w:rsidRPr="001E76AD">
        <w:rPr>
          <w:b/>
          <w:bCs/>
        </w:rPr>
        <w:t xml:space="preserve">Exhibit A – Project Narrative, Section 4: Budget Summary Narrative and Plan (Maximum 10 Points) </w:t>
      </w:r>
    </w:p>
    <w:p w14:paraId="51E12DC6" w14:textId="19314219" w:rsidR="001E76AD" w:rsidRDefault="001E76AD" w:rsidP="001E76AD">
      <w:pPr>
        <w:spacing w:after="120" w:line="240" w:lineRule="auto"/>
        <w:rPr>
          <w:rFonts w:ascii="Calibri" w:hAnsi="Calibri" w:cs="Calibri"/>
          <w:sz w:val="24"/>
          <w:szCs w:val="24"/>
        </w:rPr>
      </w:pPr>
      <w:bookmarkStart w:id="173" w:name="_Hlk214011708"/>
      <w:r w:rsidRPr="001E76AD">
        <w:rPr>
          <w:rFonts w:ascii="Calibri" w:hAnsi="Calibri" w:cs="Calibri"/>
          <w:b/>
          <w:bCs/>
          <w:sz w:val="24"/>
          <w:szCs w:val="24"/>
        </w:rPr>
        <w:t>4.1. Budget Summary Plan</w:t>
      </w:r>
      <w:r w:rsidRPr="001E76AD">
        <w:rPr>
          <w:rFonts w:ascii="Calibri" w:hAnsi="Calibri" w:cs="Calibri"/>
          <w:sz w:val="24"/>
          <w:szCs w:val="24"/>
        </w:rPr>
        <w:t xml:space="preserve"> (Score range 0–5 points)</w:t>
      </w:r>
    </w:p>
    <w:bookmarkEnd w:id="173"/>
    <w:p w14:paraId="7D2AB232" w14:textId="39CDD4E3" w:rsidR="001E76AD" w:rsidRPr="00C63A1C" w:rsidRDefault="00C63A1C" w:rsidP="00086CF0">
      <w:pPr>
        <w:pStyle w:val="ListParagraph"/>
        <w:numPr>
          <w:ilvl w:val="0"/>
          <w:numId w:val="56"/>
        </w:numPr>
        <w:spacing w:after="120" w:line="240" w:lineRule="auto"/>
      </w:pPr>
      <w:r w:rsidRPr="00C63A1C">
        <w:t>Demonstrate that the budget aligns with proposed activities.</w:t>
      </w:r>
    </w:p>
    <w:p w14:paraId="5682890C" w14:textId="40B9AE93" w:rsidR="00C63A1C" w:rsidRPr="00C63A1C" w:rsidRDefault="00C63A1C" w:rsidP="00086CF0">
      <w:pPr>
        <w:pStyle w:val="ListParagraph"/>
        <w:numPr>
          <w:ilvl w:val="0"/>
          <w:numId w:val="56"/>
        </w:numPr>
        <w:spacing w:after="120" w:line="240" w:lineRule="auto"/>
      </w:pPr>
      <w:r w:rsidRPr="00C63A1C">
        <w:t>Provide a clear and reasonable cost breakdown.</w:t>
      </w:r>
    </w:p>
    <w:p w14:paraId="371FA066" w14:textId="38AA4387" w:rsidR="004934DD" w:rsidRPr="001E76AD" w:rsidRDefault="001E76AD" w:rsidP="001E76AD">
      <w:pPr>
        <w:spacing w:after="120" w:line="240" w:lineRule="auto"/>
        <w:rPr>
          <w:rFonts w:ascii="Calibri" w:hAnsi="Calibri" w:cs="Calibri"/>
          <w:sz w:val="24"/>
          <w:szCs w:val="24"/>
        </w:rPr>
      </w:pPr>
      <w:r w:rsidRPr="001E76AD">
        <w:rPr>
          <w:rFonts w:ascii="Calibri" w:hAnsi="Calibri" w:cs="Calibri"/>
          <w:b/>
          <w:bCs/>
          <w:sz w:val="24"/>
          <w:szCs w:val="24"/>
        </w:rPr>
        <w:t>4.</w:t>
      </w:r>
      <w:r>
        <w:rPr>
          <w:rFonts w:ascii="Calibri" w:hAnsi="Calibri" w:cs="Calibri"/>
          <w:b/>
          <w:bCs/>
          <w:sz w:val="24"/>
          <w:szCs w:val="24"/>
        </w:rPr>
        <w:t>2</w:t>
      </w:r>
      <w:r w:rsidRPr="001E76AD">
        <w:rPr>
          <w:rFonts w:ascii="Calibri" w:hAnsi="Calibri" w:cs="Calibri"/>
          <w:b/>
          <w:bCs/>
          <w:sz w:val="24"/>
          <w:szCs w:val="24"/>
        </w:rPr>
        <w:t xml:space="preserve">. </w:t>
      </w:r>
      <w:r>
        <w:rPr>
          <w:rFonts w:ascii="Calibri" w:hAnsi="Calibri" w:cs="Calibri"/>
          <w:b/>
          <w:bCs/>
          <w:sz w:val="24"/>
          <w:szCs w:val="24"/>
        </w:rPr>
        <w:t>Cost Effectiveness</w:t>
      </w:r>
      <w:r w:rsidRPr="001E76AD">
        <w:rPr>
          <w:rFonts w:ascii="Calibri" w:hAnsi="Calibri" w:cs="Calibri"/>
          <w:sz w:val="24"/>
          <w:szCs w:val="24"/>
        </w:rPr>
        <w:t xml:space="preserve"> (Score range 0–5 points)</w:t>
      </w:r>
    </w:p>
    <w:p w14:paraId="24125D45" w14:textId="71F7C7B4" w:rsidR="001E76AD" w:rsidRDefault="00C63A1C" w:rsidP="00086CF0">
      <w:pPr>
        <w:pStyle w:val="BodyText"/>
        <w:numPr>
          <w:ilvl w:val="0"/>
          <w:numId w:val="57"/>
        </w:numPr>
      </w:pPr>
      <w:r w:rsidRPr="00C63A1C">
        <w:t>Demonstrate</w:t>
      </w:r>
      <w:r w:rsidR="0052155C">
        <w:t xml:space="preserve"> the organization’s</w:t>
      </w:r>
      <w:r>
        <w:t xml:space="preserve"> efficient use of funds.</w:t>
      </w:r>
    </w:p>
    <w:p w14:paraId="4517E3AE" w14:textId="1646B3C1" w:rsidR="00C63A1C" w:rsidRPr="00C63A1C" w:rsidRDefault="00C63A1C" w:rsidP="00086CF0">
      <w:pPr>
        <w:pStyle w:val="BodyText"/>
        <w:numPr>
          <w:ilvl w:val="0"/>
          <w:numId w:val="57"/>
        </w:numPr>
      </w:pPr>
      <w:r>
        <w:t>If the organization leverages existing resources or partnerships, provide clear assurance</w:t>
      </w:r>
      <w:r w:rsidR="00A70156">
        <w:t>s</w:t>
      </w:r>
      <w:r>
        <w:t xml:space="preserve"> of no conflicts of interest.</w:t>
      </w:r>
    </w:p>
    <w:p w14:paraId="6D28B0E1" w14:textId="230D3F66" w:rsidR="008544AA" w:rsidRPr="001A4A1F" w:rsidRDefault="008544AA" w:rsidP="0081202A">
      <w:pPr>
        <w:pStyle w:val="Heading4"/>
      </w:pPr>
      <w:r w:rsidRPr="01476CFA">
        <w:rPr>
          <w:lang w:val="en-US"/>
        </w:rPr>
        <w:t xml:space="preserve">Exhibit F </w:t>
      </w:r>
      <w:r w:rsidR="001A4A1F" w:rsidRPr="01476CFA">
        <w:rPr>
          <w:lang w:val="en-US"/>
        </w:rPr>
        <w:t xml:space="preserve">– </w:t>
      </w:r>
      <w:r w:rsidRPr="01476CFA">
        <w:rPr>
          <w:lang w:val="en-US"/>
        </w:rPr>
        <w:t>Budget Summary</w:t>
      </w:r>
      <w:r w:rsidR="001A4A1F" w:rsidRPr="01476CFA">
        <w:rPr>
          <w:lang w:val="en-US"/>
        </w:rPr>
        <w:t xml:space="preserve"> (</w:t>
      </w:r>
      <w:proofErr w:type="spellStart"/>
      <w:r w:rsidRPr="01476CFA">
        <w:rPr>
          <w:lang w:val="en-US"/>
        </w:rPr>
        <w:t>ExF</w:t>
      </w:r>
      <w:proofErr w:type="spellEnd"/>
      <w:r w:rsidR="001A4A1F" w:rsidRPr="01476CFA">
        <w:rPr>
          <w:lang w:val="en-US"/>
        </w:rPr>
        <w:t>)</w:t>
      </w:r>
    </w:p>
    <w:p w14:paraId="4D16ABFC" w14:textId="58521DD5" w:rsidR="008544AA" w:rsidRPr="00DC1DE3" w:rsidRDefault="008544AA" w:rsidP="000E27FB">
      <w:pPr>
        <w:pStyle w:val="ListParagraph"/>
        <w:spacing w:after="120" w:line="240" w:lineRule="auto"/>
      </w:pPr>
      <w:r w:rsidRPr="00DC1DE3">
        <w:t>The Total Project Budget column includes calculated fields that must be populated. Once all data is entered, right-click inside each field and select "Update Field" to populate each line item</w:t>
      </w:r>
      <w:r w:rsidR="00FD7360">
        <w:t xml:space="preserve">; </w:t>
      </w:r>
      <w:r w:rsidRPr="00DC1DE3">
        <w:t>complete Total Funding using the same steps.</w:t>
      </w:r>
    </w:p>
    <w:p w14:paraId="79D0D350" w14:textId="1CA12CDE" w:rsidR="008544AA" w:rsidRPr="00DC1DE3" w:rsidRDefault="008544AA" w:rsidP="000E27FB">
      <w:pPr>
        <w:pStyle w:val="ListParagraph"/>
        <w:spacing w:after="120" w:line="240" w:lineRule="auto"/>
      </w:pPr>
      <w:r w:rsidRPr="00DC1DE3">
        <w:t>Program Costs and Administrative Costs must add up to the total award amount.</w:t>
      </w:r>
    </w:p>
    <w:p w14:paraId="5B478C10" w14:textId="1F90E02E" w:rsidR="008544AA" w:rsidRPr="00DC1DE3" w:rsidRDefault="008544AA" w:rsidP="000E27FB">
      <w:pPr>
        <w:pStyle w:val="ListParagraph"/>
        <w:spacing w:after="120" w:line="240" w:lineRule="auto"/>
      </w:pPr>
      <w:r w:rsidRPr="00DC1DE3">
        <w:t xml:space="preserve">Under Amount Leveraged, enter the amount identified in the </w:t>
      </w:r>
      <w:r w:rsidRPr="00DC1DE3">
        <w:rPr>
          <w:i/>
          <w:iCs/>
        </w:rPr>
        <w:t>Project Narrative (Exhibit A)</w:t>
      </w:r>
      <w:r w:rsidRPr="00DC1DE3">
        <w:t xml:space="preserve"> and documented in commitment letters.</w:t>
      </w:r>
    </w:p>
    <w:p w14:paraId="62D52025" w14:textId="4C2C8F65" w:rsidR="008544AA" w:rsidRPr="00DC1DE3" w:rsidRDefault="008544AA" w:rsidP="000E27FB">
      <w:pPr>
        <w:pStyle w:val="ListParagraph"/>
        <w:spacing w:after="120" w:line="240" w:lineRule="auto"/>
      </w:pPr>
      <w:r w:rsidRPr="00DC1DE3">
        <w:t xml:space="preserve">The amounts entered for Total Funding in the </w:t>
      </w:r>
      <w:r w:rsidRPr="00DC1DE3">
        <w:rPr>
          <w:i/>
          <w:iCs/>
        </w:rPr>
        <w:t>Budget Summary Plan (Exhibit F)</w:t>
      </w:r>
      <w:r w:rsidRPr="00DC1DE3">
        <w:t xml:space="preserve"> must match those listed on the Cover/ Signature page.</w:t>
      </w:r>
    </w:p>
    <w:p w14:paraId="253F1F95" w14:textId="3DDEE1A7" w:rsidR="008544AA" w:rsidRPr="00DC1DE3" w:rsidRDefault="008544AA" w:rsidP="000E27FB">
      <w:pPr>
        <w:pStyle w:val="ListParagraph"/>
        <w:spacing w:after="120" w:line="240" w:lineRule="auto"/>
      </w:pPr>
      <w:r w:rsidRPr="00DC1DE3">
        <w:t>If the applicant plans to purchase equipment with a unit cost of $</w:t>
      </w:r>
      <w:r w:rsidR="00023511">
        <w:t>10</w:t>
      </w:r>
      <w:r w:rsidRPr="00DC1DE3">
        <w:t xml:space="preserve">,000 or more and a useful life span of more than one year, the </w:t>
      </w:r>
      <w:r w:rsidRPr="00DC1DE3">
        <w:rPr>
          <w:i/>
          <w:iCs/>
        </w:rPr>
        <w:t>Supplemental Budget (Exhibit G), Section I</w:t>
      </w:r>
      <w:r w:rsidRPr="00413F0E">
        <w:rPr>
          <w:i/>
          <w:iCs/>
        </w:rPr>
        <w:t>.</w:t>
      </w:r>
      <w:r w:rsidRPr="000E27FB">
        <w:rPr>
          <w:i/>
          <w:iCs/>
        </w:rPr>
        <w:t xml:space="preserve"> Equipment</w:t>
      </w:r>
      <w:r w:rsidRPr="00DC1DE3">
        <w:t xml:space="preserve"> must be completed.</w:t>
      </w:r>
    </w:p>
    <w:p w14:paraId="01AB5F70" w14:textId="77777777" w:rsidR="008544AA" w:rsidRPr="00DC1DE3" w:rsidRDefault="008544AA" w:rsidP="000E27FB">
      <w:pPr>
        <w:pStyle w:val="ListParagraph"/>
        <w:spacing w:after="120" w:line="240" w:lineRule="auto"/>
      </w:pPr>
      <w:r w:rsidRPr="00DC1DE3">
        <w:lastRenderedPageBreak/>
        <w:t xml:space="preserve">If an applicant plans to sub-award funds to sub-recipients to carry out a portion of the grant services, Sections II (subrecipient) and III (Contractor) of the </w:t>
      </w:r>
      <w:r w:rsidRPr="00DC1DE3">
        <w:rPr>
          <w:i/>
          <w:iCs/>
        </w:rPr>
        <w:t xml:space="preserve">Supplemental Budget (Exhibit G) must </w:t>
      </w:r>
      <w:r w:rsidRPr="00DC1DE3">
        <w:t>be completed.</w:t>
      </w:r>
    </w:p>
    <w:p w14:paraId="26790A08" w14:textId="77777777" w:rsidR="008544AA" w:rsidRPr="00DC1DE3" w:rsidRDefault="008544AA" w:rsidP="000E27FB">
      <w:pPr>
        <w:pStyle w:val="ListParagraph"/>
        <w:spacing w:after="120" w:line="240" w:lineRule="auto"/>
      </w:pPr>
      <w:r w:rsidRPr="00DC1DE3">
        <w:t xml:space="preserve">If an applicant plans to contract a vendor, dealer, distributor, merchant, or other seller providing goods or services, the </w:t>
      </w:r>
      <w:r w:rsidRPr="00DC1DE3">
        <w:rPr>
          <w:i/>
          <w:iCs/>
        </w:rPr>
        <w:t>Supplemental Budget (Exhibit G)</w:t>
      </w:r>
      <w:r w:rsidRPr="00DC1DE3">
        <w:t xml:space="preserve"> must be completed.</w:t>
      </w:r>
    </w:p>
    <w:p w14:paraId="076EF801" w14:textId="079D46EA" w:rsidR="008544AA" w:rsidRPr="00DC1DE3" w:rsidRDefault="008544AA" w:rsidP="00530AD8">
      <w:pPr>
        <w:pStyle w:val="BodyText"/>
      </w:pPr>
      <w:bookmarkStart w:id="174" w:name="_Hlk158715910"/>
      <w:r w:rsidRPr="01476CFA">
        <w:rPr>
          <w:i/>
          <w:iCs/>
          <w:lang w:val="en-US"/>
        </w:rPr>
        <w:t>Exhibit F</w:t>
      </w:r>
      <w:r w:rsidR="00213092">
        <w:rPr>
          <w:i/>
          <w:iCs/>
          <w:lang w:val="en-US"/>
        </w:rPr>
        <w:t xml:space="preserve"> -</w:t>
      </w:r>
      <w:r w:rsidRPr="01476CFA">
        <w:rPr>
          <w:i/>
          <w:iCs/>
          <w:lang w:val="en-US"/>
        </w:rPr>
        <w:t xml:space="preserve"> Budget Summary</w:t>
      </w:r>
      <w:r w:rsidRPr="01476CFA">
        <w:rPr>
          <w:lang w:val="en-US"/>
        </w:rPr>
        <w:t xml:space="preserve"> must be submitted in MS Word format. Save this document according to the following naming convention: </w:t>
      </w:r>
      <w:r w:rsidRPr="00A14E68">
        <w:rPr>
          <w:lang w:val="en-US"/>
        </w:rPr>
        <w:t>“</w:t>
      </w:r>
      <w:r w:rsidR="00371A69" w:rsidRPr="00A14E68">
        <w:rPr>
          <w:lang w:val="en-US"/>
        </w:rPr>
        <w:t>ABC</w:t>
      </w:r>
      <w:r w:rsidRPr="00A14E68">
        <w:rPr>
          <w:lang w:val="en-US"/>
        </w:rPr>
        <w:t xml:space="preserve"> </w:t>
      </w:r>
      <w:r w:rsidR="008B52DD" w:rsidRPr="00A14E68">
        <w:rPr>
          <w:lang w:val="en-US"/>
        </w:rPr>
        <w:t>E</w:t>
      </w:r>
      <w:r w:rsidR="00D7447C" w:rsidRPr="00A14E68">
        <w:rPr>
          <w:lang w:val="en-US"/>
        </w:rPr>
        <w:t>P</w:t>
      </w:r>
      <w:r w:rsidR="008B52DD" w:rsidRPr="00A14E68">
        <w:rPr>
          <w:lang w:val="en-US"/>
        </w:rPr>
        <w:t>TA</w:t>
      </w:r>
      <w:r w:rsidRPr="00A14E68">
        <w:rPr>
          <w:lang w:val="en-US"/>
        </w:rPr>
        <w:t xml:space="preserve"> PY </w:t>
      </w:r>
      <w:r w:rsidR="008B52DD" w:rsidRPr="00A14E68">
        <w:rPr>
          <w:lang w:val="en-US"/>
        </w:rPr>
        <w:t>25</w:t>
      </w:r>
      <w:r w:rsidR="00E34D70" w:rsidRPr="00A14E68">
        <w:rPr>
          <w:lang w:val="en-US"/>
        </w:rPr>
        <w:t>-</w:t>
      </w:r>
      <w:r w:rsidR="008B52DD" w:rsidRPr="00A14E68">
        <w:rPr>
          <w:lang w:val="en-US"/>
        </w:rPr>
        <w:t>26</w:t>
      </w:r>
      <w:r w:rsidRPr="00A14E68">
        <w:rPr>
          <w:lang w:val="en-US"/>
        </w:rPr>
        <w:t xml:space="preserve"> </w:t>
      </w:r>
      <w:proofErr w:type="spellStart"/>
      <w:r w:rsidRPr="00A14E68">
        <w:rPr>
          <w:lang w:val="en-US"/>
        </w:rPr>
        <w:t>ExF</w:t>
      </w:r>
      <w:proofErr w:type="spellEnd"/>
      <w:r w:rsidRPr="01476CFA">
        <w:rPr>
          <w:lang w:val="en-US"/>
        </w:rPr>
        <w:t>.”</w:t>
      </w:r>
    </w:p>
    <w:bookmarkEnd w:id="174"/>
    <w:p w14:paraId="21917EED" w14:textId="1E30E2B4" w:rsidR="008544AA" w:rsidRPr="00DC1DE3" w:rsidRDefault="008544AA" w:rsidP="00F470F1">
      <w:pPr>
        <w:pStyle w:val="Heading4"/>
      </w:pPr>
      <w:r w:rsidRPr="00DC1DE3">
        <w:t xml:space="preserve">Exhibit F2 </w:t>
      </w:r>
      <w:r w:rsidR="001A4A1F" w:rsidRPr="003869E0">
        <w:t>–</w:t>
      </w:r>
      <w:r w:rsidR="001A4A1F">
        <w:t xml:space="preserve"> </w:t>
      </w:r>
      <w:r w:rsidRPr="00DC1DE3">
        <w:t>Budget Narrative</w:t>
      </w:r>
      <w:r w:rsidR="001A4A1F">
        <w:t xml:space="preserve"> (</w:t>
      </w:r>
      <w:r w:rsidRPr="00DC1DE3">
        <w:t>ExF2</w:t>
      </w:r>
      <w:r w:rsidR="001A4A1F">
        <w:t>)</w:t>
      </w:r>
    </w:p>
    <w:p w14:paraId="65BF1A92" w14:textId="349508F6" w:rsidR="008544AA" w:rsidRPr="001A4A1F" w:rsidRDefault="008544AA" w:rsidP="000E27FB">
      <w:pPr>
        <w:pStyle w:val="ListParagraph"/>
        <w:spacing w:after="120" w:line="240" w:lineRule="auto"/>
      </w:pPr>
      <w:r w:rsidRPr="001A4A1F">
        <w:t>Provide detailed justification in the Budget Narrative (Exhibit F2) for each line-item cost contained in the Budget Summary Plan (Exhibit F). For example, a thorough rationale for staff salaries should include each title or position, a narrative of the staff roles, responsibilities, activities, annual salary, the percentage of staff time devoted to the project, and the corresponding portion of their salary charged to the grant.</w:t>
      </w:r>
    </w:p>
    <w:p w14:paraId="6F6B3006" w14:textId="7CAA8F9F" w:rsidR="008544AA" w:rsidRPr="001A4A1F" w:rsidRDefault="008544AA" w:rsidP="000E27FB">
      <w:pPr>
        <w:pStyle w:val="ListParagraph"/>
        <w:spacing w:after="120" w:line="240" w:lineRule="auto"/>
      </w:pPr>
      <w:r w:rsidRPr="001A4A1F">
        <w:t>All explanations should include how the proposed costs are necessary and reasonable in terms of their benefit to participants.</w:t>
      </w:r>
    </w:p>
    <w:p w14:paraId="7E1E3FFA" w14:textId="4EE575B9" w:rsidR="008544AA" w:rsidRPr="001A4A1F" w:rsidRDefault="008544AA" w:rsidP="000E27FB">
      <w:pPr>
        <w:pStyle w:val="ListParagraph"/>
        <w:spacing w:after="120" w:line="240" w:lineRule="auto"/>
      </w:pPr>
      <w:r w:rsidRPr="001A4A1F">
        <w:rPr>
          <w:b/>
          <w:bCs/>
        </w:rPr>
        <w:t>In Sections A-D: Staff Salaries</w:t>
      </w:r>
      <w:r w:rsidRPr="001A4A1F">
        <w:t>, enter the total dollar amount of the Salaries Paid and Benefits Charged to the grant in the line provided.</w:t>
      </w:r>
    </w:p>
    <w:p w14:paraId="698945F1" w14:textId="62500260" w:rsidR="008544AA" w:rsidRPr="001A4A1F" w:rsidRDefault="008544AA" w:rsidP="000E27FB">
      <w:pPr>
        <w:pStyle w:val="ListParagraph"/>
        <w:spacing w:after="120" w:line="240" w:lineRule="auto"/>
      </w:pPr>
      <w:r w:rsidRPr="001A4A1F">
        <w:t>Utilize Line Items A-D from the Budget Summary Plan (Exhibit F) to complete the table in Section A of the Budget Narrative (Exhibit F2).</w:t>
      </w:r>
    </w:p>
    <w:p w14:paraId="524D0C96" w14:textId="772CE183" w:rsidR="008544AA" w:rsidRPr="001A4A1F" w:rsidRDefault="008544AA" w:rsidP="000E27FB">
      <w:pPr>
        <w:pStyle w:val="ListParagraph"/>
        <w:spacing w:after="120" w:line="240" w:lineRule="auto"/>
      </w:pPr>
      <w:r w:rsidRPr="001A4A1F">
        <w:t>In Column 1, list each staff position.</w:t>
      </w:r>
    </w:p>
    <w:p w14:paraId="70E8AEC1" w14:textId="0FD465EA" w:rsidR="008544AA" w:rsidRPr="001A4A1F" w:rsidRDefault="008544AA" w:rsidP="000E27FB">
      <w:pPr>
        <w:pStyle w:val="ListParagraph"/>
        <w:spacing w:after="120" w:line="240" w:lineRule="auto"/>
      </w:pPr>
      <w:r w:rsidRPr="001A4A1F">
        <w:t>In Column 2, multiply the number of full-time equivalents (FTE) by the monthly salary, then multiply the product by the amount of staff time devoted to the project (FTE x Monthly Salary x Time).</w:t>
      </w:r>
    </w:p>
    <w:p w14:paraId="29852145" w14:textId="6ADA7579" w:rsidR="008544AA" w:rsidRPr="001A4A1F" w:rsidRDefault="008544AA" w:rsidP="000E27FB">
      <w:pPr>
        <w:pStyle w:val="ListParagraph"/>
        <w:spacing w:after="120" w:line="240" w:lineRule="auto"/>
      </w:pPr>
      <w:r w:rsidRPr="001A4A1F">
        <w:t>In Column 3, enter the staff Fringe Benefit cost.</w:t>
      </w:r>
    </w:p>
    <w:p w14:paraId="735A10FB" w14:textId="59D983FD" w:rsidR="008544AA" w:rsidRPr="001A4A1F" w:rsidRDefault="008544AA" w:rsidP="000E27FB">
      <w:pPr>
        <w:pStyle w:val="ListParagraph"/>
        <w:spacing w:after="120" w:line="240" w:lineRule="auto"/>
      </w:pPr>
      <w:r w:rsidRPr="001A4A1F">
        <w:t>In Column 4, calculate the Total by adding the product listed in Column 2 (FTE x Monthly Salary x Time) to the Fringe Benefits. Provide details of Line Items A-D below the table.</w:t>
      </w:r>
    </w:p>
    <w:p w14:paraId="614A60DF" w14:textId="0196046A" w:rsidR="008544AA" w:rsidRPr="001A4A1F" w:rsidRDefault="008544AA" w:rsidP="000E27FB">
      <w:pPr>
        <w:pStyle w:val="ListParagraph"/>
        <w:spacing w:after="120" w:line="240" w:lineRule="auto"/>
      </w:pPr>
      <w:r w:rsidRPr="001A4A1F">
        <w:rPr>
          <w:b/>
          <w:bCs/>
        </w:rPr>
        <w:t>In Section E</w:t>
      </w:r>
      <w:r w:rsidRPr="001A4A1F">
        <w:t xml:space="preserve">, enter the estimated total Staff Travel expenses on the line provided. Provide details of staff travel expenses. </w:t>
      </w:r>
      <w:r w:rsidR="00FD7360">
        <w:t>The a</w:t>
      </w:r>
      <w:r w:rsidRPr="001A4A1F">
        <w:t>ward recipient and critical staff must attend quarterly meetings, C</w:t>
      </w:r>
      <w:r w:rsidR="00AD5827">
        <w:t>O</w:t>
      </w:r>
      <w:r w:rsidRPr="001A4A1F">
        <w:t>P, and other activities; all travel costs are included in the budget.</w:t>
      </w:r>
    </w:p>
    <w:p w14:paraId="7D73363B" w14:textId="77777777" w:rsidR="008544AA" w:rsidRPr="001A4A1F" w:rsidRDefault="008544AA" w:rsidP="000E27FB">
      <w:pPr>
        <w:pStyle w:val="ListParagraph"/>
        <w:spacing w:after="120" w:line="240" w:lineRule="auto"/>
      </w:pPr>
      <w:r w:rsidRPr="001A4A1F">
        <w:rPr>
          <w:b/>
          <w:bCs/>
        </w:rPr>
        <w:t>In Section F</w:t>
      </w:r>
      <w:r w:rsidRPr="001A4A1F">
        <w:t>, enter the Operating Expenses on the line provided. In the table, list the dollar amount under Cost in Column 2 of the items listed in Column 1 (the items in Column 1 marked with an asterisk are based on the FTE for program staff).</w:t>
      </w:r>
    </w:p>
    <w:p w14:paraId="47F472DD" w14:textId="648DA5C4" w:rsidR="008544AA" w:rsidRPr="001A4A1F" w:rsidRDefault="008544AA" w:rsidP="000E27FB">
      <w:pPr>
        <w:pStyle w:val="ListParagraph"/>
        <w:spacing w:after="120" w:line="240" w:lineRule="auto"/>
      </w:pPr>
      <w:r w:rsidRPr="001A4A1F">
        <w:rPr>
          <w:b/>
          <w:bCs/>
        </w:rPr>
        <w:t>In Section G</w:t>
      </w:r>
      <w:r w:rsidRPr="001A4A1F">
        <w:t xml:space="preserve">, enter the total cost of furniture and equipment on the provided line. </w:t>
      </w:r>
      <w:bookmarkStart w:id="175" w:name="_Hlk204344092"/>
      <w:r w:rsidRPr="001A4A1F">
        <w:t xml:space="preserve">Refer to EDD </w:t>
      </w:r>
      <w:r w:rsidRPr="00733A63">
        <w:t xml:space="preserve">Directives </w:t>
      </w:r>
      <w:hyperlink r:id="rId41">
        <w:r w:rsidRPr="008E0B47">
          <w:rPr>
            <w:rStyle w:val="Hyperlink"/>
            <w:u w:val="none"/>
          </w:rPr>
          <w:t>WSD16-16</w:t>
        </w:r>
      </w:hyperlink>
      <w:r w:rsidRPr="001A4A1F">
        <w:t xml:space="preserve">, Subject: Allowable Costs and Prior Written Approval (February 21, 2017), </w:t>
      </w:r>
      <w:hyperlink r:id="rId42">
        <w:r w:rsidRPr="008E0B47">
          <w:rPr>
            <w:rStyle w:val="Hyperlink"/>
            <w:u w:val="none"/>
          </w:rPr>
          <w:t>WSD16-10</w:t>
        </w:r>
      </w:hyperlink>
      <w:r w:rsidRPr="001A4A1F">
        <w:t xml:space="preserve">, Subject: Property – Purchasing, Inventory, and Disposal </w:t>
      </w:r>
      <w:r w:rsidRPr="001A4A1F">
        <w:lastRenderedPageBreak/>
        <w:t xml:space="preserve">(November 10, 2016), and </w:t>
      </w:r>
      <w:hyperlink r:id="rId43">
        <w:r w:rsidRPr="008E0B47">
          <w:rPr>
            <w:rStyle w:val="Hyperlink"/>
            <w:u w:val="none"/>
          </w:rPr>
          <w:t>WSD17-08</w:t>
        </w:r>
      </w:hyperlink>
      <w:r w:rsidRPr="008E0B47">
        <w:t>,</w:t>
      </w:r>
      <w:r w:rsidRPr="001A4A1F">
        <w:t xml:space="preserve"> Subject: Procurement of Equipment and Related Services (March 14, 2018) for Procurement Guidelines.</w:t>
      </w:r>
      <w:bookmarkEnd w:id="175"/>
    </w:p>
    <w:p w14:paraId="07E764D3" w14:textId="15AD251F" w:rsidR="008544AA" w:rsidRPr="001A4A1F" w:rsidRDefault="008544AA" w:rsidP="000E27FB">
      <w:pPr>
        <w:pStyle w:val="ListParagraph"/>
        <w:spacing w:after="120" w:line="240" w:lineRule="auto"/>
      </w:pPr>
      <w:r w:rsidRPr="001A4A1F">
        <w:t xml:space="preserve">In-Line Item </w:t>
      </w:r>
      <w:proofErr w:type="gramStart"/>
      <w:r w:rsidRPr="001A4A1F">
        <w:t>1,</w:t>
      </w:r>
      <w:proofErr w:type="gramEnd"/>
      <w:r w:rsidRPr="001A4A1F">
        <w:t xml:space="preserve"> </w:t>
      </w:r>
      <w:proofErr w:type="gramStart"/>
      <w:r w:rsidRPr="001A4A1F">
        <w:t>enter</w:t>
      </w:r>
      <w:proofErr w:type="gramEnd"/>
      <w:r w:rsidRPr="001A4A1F">
        <w:t xml:space="preserve"> the total expenditure </w:t>
      </w:r>
      <w:proofErr w:type="gramStart"/>
      <w:r w:rsidRPr="001A4A1F">
        <w:t>for</w:t>
      </w:r>
      <w:proofErr w:type="gramEnd"/>
      <w:r w:rsidRPr="001A4A1F">
        <w:t xml:space="preserve"> Equipment and Furniture items that cost less than $</w:t>
      </w:r>
      <w:r w:rsidR="00023511">
        <w:t>10</w:t>
      </w:r>
      <w:r w:rsidRPr="001A4A1F">
        <w:t>,000 per unit. Indicate whether the items will be leased or purchased and include a cost allocation. In the indicated space, include the name, cost, and quantity of the items to be purchased.</w:t>
      </w:r>
    </w:p>
    <w:p w14:paraId="5313B2A4" w14:textId="70C81E17" w:rsidR="008544AA" w:rsidRPr="001A4A1F" w:rsidRDefault="008544AA" w:rsidP="000E27FB">
      <w:pPr>
        <w:pStyle w:val="ListParagraph"/>
        <w:spacing w:after="120" w:line="240" w:lineRule="auto"/>
      </w:pPr>
      <w:r w:rsidRPr="001A4A1F">
        <w:t>In-Line Item 2, enter the total expenditure for Equipment and Furniture items that cost more than $</w:t>
      </w:r>
      <w:r w:rsidR="00023511">
        <w:t>10</w:t>
      </w:r>
      <w:r w:rsidRPr="001A4A1F">
        <w:t>,000. Include the item's name, cost, and quantity in the indicated space if any items are listed in Section G.2. Complete Exhibit G.</w:t>
      </w:r>
    </w:p>
    <w:p w14:paraId="35B91C10" w14:textId="5BDD313C" w:rsidR="008544AA" w:rsidRPr="001A4A1F" w:rsidRDefault="008544AA" w:rsidP="000E27FB">
      <w:pPr>
        <w:pStyle w:val="ListParagraph"/>
        <w:spacing w:after="120" w:line="240" w:lineRule="auto"/>
      </w:pPr>
      <w:r w:rsidRPr="001A4A1F">
        <w:t>In In-Line Item 3, provide the estimated Equipment Lease dollar amount. Explain the calculation below the line item.</w:t>
      </w:r>
    </w:p>
    <w:p w14:paraId="19766D87" w14:textId="4FB69FD7" w:rsidR="008544AA" w:rsidRPr="001A4A1F" w:rsidRDefault="008544AA" w:rsidP="000E27FB">
      <w:pPr>
        <w:pStyle w:val="ListParagraph"/>
        <w:spacing w:after="120" w:line="240" w:lineRule="auto"/>
      </w:pPr>
      <w:r w:rsidRPr="0081202A">
        <w:rPr>
          <w:b/>
          <w:bCs/>
        </w:rPr>
        <w:t>In Section H (if applicable)</w:t>
      </w:r>
      <w:r w:rsidRPr="001A4A1F">
        <w:t>, include the total cost of Contractual Services (Section III of Supplemental Budget, Exhibit G) on the line provided. Describe in detail.</w:t>
      </w:r>
    </w:p>
    <w:p w14:paraId="6F54941B" w14:textId="55F2FA8E" w:rsidR="008544AA" w:rsidRPr="001A4A1F" w:rsidRDefault="008544AA" w:rsidP="000E27FB">
      <w:pPr>
        <w:pStyle w:val="ListParagraph"/>
        <w:spacing w:after="120" w:line="240" w:lineRule="auto"/>
      </w:pPr>
      <w:r w:rsidRPr="0081202A">
        <w:rPr>
          <w:b/>
          <w:bCs/>
        </w:rPr>
        <w:t>In Section I (if applicable)</w:t>
      </w:r>
      <w:r w:rsidRPr="001A4A1F">
        <w:t>, enter the total Indirect Costs on the line provided. The Indirect Cost Rate must be negotiated and approved by a Cognizant Agency, per Appendices III through VII of Uniform Guidance</w:t>
      </w:r>
      <w:r w:rsidRPr="00733A63">
        <w:t xml:space="preserve">, </w:t>
      </w:r>
      <w:hyperlink r:id="rId44" w:anchor="Appendix-III-to-Part-200" w:history="1">
        <w:r w:rsidRPr="00F03C25">
          <w:rPr>
            <w:rStyle w:val="Hyperlink"/>
            <w:u w:val="none"/>
          </w:rPr>
          <w:t>2</w:t>
        </w:r>
        <w:r w:rsidR="003135C9" w:rsidRPr="00F03C25">
          <w:rPr>
            <w:rStyle w:val="Hyperlink"/>
            <w:u w:val="none"/>
          </w:rPr>
          <w:t xml:space="preserve"> </w:t>
        </w:r>
        <w:r w:rsidRPr="00F03C25">
          <w:rPr>
            <w:rStyle w:val="Hyperlink"/>
            <w:u w:val="none"/>
          </w:rPr>
          <w:t>CFR</w:t>
        </w:r>
        <w:r w:rsidR="003135C9" w:rsidRPr="00F03C25">
          <w:rPr>
            <w:rStyle w:val="Hyperlink"/>
            <w:u w:val="none"/>
          </w:rPr>
          <w:t xml:space="preserve"> </w:t>
        </w:r>
        <w:r w:rsidRPr="00F03C25">
          <w:rPr>
            <w:rStyle w:val="Hyperlink"/>
            <w:u w:val="none"/>
          </w:rPr>
          <w:t>200</w:t>
        </w:r>
      </w:hyperlink>
      <w:r w:rsidRPr="00F03C25">
        <w:t>.</w:t>
      </w:r>
    </w:p>
    <w:p w14:paraId="1AC2B544" w14:textId="77777777" w:rsidR="008544AA" w:rsidRPr="001A4A1F" w:rsidRDefault="008544AA" w:rsidP="000E27FB">
      <w:pPr>
        <w:pStyle w:val="ListParagraph"/>
        <w:spacing w:after="120" w:line="240" w:lineRule="auto"/>
      </w:pPr>
      <w:r w:rsidRPr="0081202A">
        <w:rPr>
          <w:b/>
          <w:bCs/>
        </w:rPr>
        <w:t>In Section J</w:t>
      </w:r>
      <w:r w:rsidRPr="001A4A1F">
        <w:t>, list other expenses. Describe in detail the additional costs that do not fit into the specific categories in the prior sections. Specify whether an expense is for an Administrative or Program. Enter the estimated total of Administrative and Program expenses on the line provided.</w:t>
      </w:r>
    </w:p>
    <w:p w14:paraId="75E406F5" w14:textId="75E027DD" w:rsidR="0081202A" w:rsidRDefault="008544AA" w:rsidP="000E27FB">
      <w:pPr>
        <w:pStyle w:val="BodyText"/>
      </w:pPr>
      <w:r w:rsidRPr="01476CFA">
        <w:rPr>
          <w:i/>
          <w:iCs/>
          <w:lang w:val="en-US"/>
        </w:rPr>
        <w:t>Exhibit F2</w:t>
      </w:r>
      <w:r w:rsidR="00213092">
        <w:rPr>
          <w:i/>
          <w:iCs/>
          <w:lang w:val="en-US"/>
        </w:rPr>
        <w:t xml:space="preserve"> -</w:t>
      </w:r>
      <w:r w:rsidRPr="01476CFA">
        <w:rPr>
          <w:i/>
          <w:iCs/>
          <w:lang w:val="en-US"/>
        </w:rPr>
        <w:t xml:space="preserve"> Budget Narrative</w:t>
      </w:r>
      <w:r w:rsidRPr="01476CFA">
        <w:rPr>
          <w:lang w:val="en-US"/>
        </w:rPr>
        <w:t xml:space="preserve"> must be submitted in MS Word format. Save this document according to the following naming convention: “</w:t>
      </w:r>
      <w:r w:rsidR="00371A69" w:rsidRPr="002F2481">
        <w:t>ABC</w:t>
      </w:r>
      <w:r w:rsidRPr="002F2481">
        <w:t xml:space="preserve"> </w:t>
      </w:r>
      <w:r w:rsidR="00733A63" w:rsidRPr="002F2481">
        <w:t>E</w:t>
      </w:r>
      <w:r w:rsidR="002F34E8" w:rsidRPr="002F2481">
        <w:t>P</w:t>
      </w:r>
      <w:r w:rsidR="00733A63" w:rsidRPr="002F2481">
        <w:t>TA</w:t>
      </w:r>
      <w:r w:rsidRPr="002F2481">
        <w:t xml:space="preserve"> PY </w:t>
      </w:r>
      <w:r w:rsidR="00733A63" w:rsidRPr="002F2481">
        <w:t>25</w:t>
      </w:r>
      <w:r w:rsidR="00E34D70" w:rsidRPr="002F2481">
        <w:t>-</w:t>
      </w:r>
      <w:r w:rsidR="00733A63" w:rsidRPr="002F2481">
        <w:t>26</w:t>
      </w:r>
      <w:r w:rsidRPr="002F2481">
        <w:t xml:space="preserve"> ExF2</w:t>
      </w:r>
      <w:r w:rsidRPr="002F2481">
        <w:rPr>
          <w:lang w:val="en-US"/>
        </w:rPr>
        <w:t>.”</w:t>
      </w:r>
      <w:bookmarkStart w:id="176" w:name="_Hlk158899986"/>
    </w:p>
    <w:p w14:paraId="559974AE" w14:textId="2D42CB03" w:rsidR="0081202A" w:rsidRDefault="008544AA" w:rsidP="0081202A">
      <w:pPr>
        <w:pStyle w:val="Heading4"/>
      </w:pPr>
      <w:r w:rsidRPr="01476CFA">
        <w:rPr>
          <w:lang w:val="en-US"/>
        </w:rPr>
        <w:t>Exhibit G</w:t>
      </w:r>
      <w:r w:rsidR="00882D8A" w:rsidRPr="01476CFA">
        <w:rPr>
          <w:lang w:val="en-US"/>
        </w:rPr>
        <w:t xml:space="preserve"> –</w:t>
      </w:r>
      <w:r w:rsidRPr="01476CFA">
        <w:rPr>
          <w:lang w:val="en-US"/>
        </w:rPr>
        <w:t xml:space="preserve"> Supplemental Budget</w:t>
      </w:r>
      <w:r w:rsidR="0081202A" w:rsidRPr="01476CFA">
        <w:rPr>
          <w:lang w:val="en-US"/>
        </w:rPr>
        <w:t xml:space="preserve"> (</w:t>
      </w:r>
      <w:proofErr w:type="spellStart"/>
      <w:r w:rsidRPr="01476CFA">
        <w:rPr>
          <w:lang w:val="en-US"/>
        </w:rPr>
        <w:t>ExG</w:t>
      </w:r>
      <w:proofErr w:type="spellEnd"/>
      <w:r w:rsidR="0081202A" w:rsidRPr="01476CFA">
        <w:rPr>
          <w:lang w:val="en-US"/>
        </w:rPr>
        <w:t>)</w:t>
      </w:r>
    </w:p>
    <w:p w14:paraId="6D3D9FD2" w14:textId="367C9643" w:rsidR="008544AA" w:rsidRPr="0081202A" w:rsidRDefault="0081202A" w:rsidP="000E27FB">
      <w:pPr>
        <w:pStyle w:val="BodyText"/>
        <w:spacing w:after="120"/>
        <w:rPr>
          <w:b/>
          <w:bCs/>
        </w:rPr>
      </w:pPr>
      <w:r w:rsidRPr="0081202A">
        <w:rPr>
          <w:b/>
          <w:bCs/>
        </w:rPr>
        <w:t xml:space="preserve">Exhibit G – Supplemental Budget, </w:t>
      </w:r>
      <w:r w:rsidR="008544AA" w:rsidRPr="0081202A">
        <w:rPr>
          <w:b/>
          <w:bCs/>
        </w:rPr>
        <w:t xml:space="preserve">Section </w:t>
      </w:r>
      <w:r w:rsidR="003749A1">
        <w:rPr>
          <w:b/>
          <w:bCs/>
        </w:rPr>
        <w:t>1</w:t>
      </w:r>
      <w:r w:rsidR="008544AA" w:rsidRPr="0081202A">
        <w:rPr>
          <w:b/>
          <w:bCs/>
        </w:rPr>
        <w:t>: Equipment</w:t>
      </w:r>
      <w:bookmarkEnd w:id="176"/>
    </w:p>
    <w:p w14:paraId="70291CEB" w14:textId="6119DE56" w:rsidR="008544AA" w:rsidRPr="00DC1DE3" w:rsidRDefault="008544AA" w:rsidP="000E27FB">
      <w:pPr>
        <w:pStyle w:val="ListParagraph"/>
        <w:spacing w:after="120" w:line="240" w:lineRule="auto"/>
      </w:pPr>
      <w:r w:rsidRPr="00DC1DE3">
        <w:t>If the applicant plans to purchase equipment with a unit cost of $</w:t>
      </w:r>
      <w:r w:rsidR="00023511">
        <w:t>10</w:t>
      </w:r>
      <w:r w:rsidRPr="00DC1DE3">
        <w:t xml:space="preserve">,000 or more and a useful life span of more than one year, </w:t>
      </w:r>
      <w:r w:rsidRPr="00DC1DE3">
        <w:rPr>
          <w:i/>
          <w:iCs/>
        </w:rPr>
        <w:t>Section I: Equipment</w:t>
      </w:r>
      <w:r w:rsidRPr="00DC1DE3">
        <w:t xml:space="preserve"> of the </w:t>
      </w:r>
      <w:r w:rsidRPr="00DC1DE3">
        <w:rPr>
          <w:i/>
          <w:iCs/>
        </w:rPr>
        <w:t xml:space="preserve">Supplemental Budget (Exhibit G) </w:t>
      </w:r>
      <w:r w:rsidRPr="00DC1DE3">
        <w:t>must be completed.</w:t>
      </w:r>
    </w:p>
    <w:p w14:paraId="74475748" w14:textId="7BF514BD" w:rsidR="008544AA" w:rsidRPr="00DC1DE3" w:rsidRDefault="008544AA" w:rsidP="000E27FB">
      <w:pPr>
        <w:pStyle w:val="ListParagraph"/>
        <w:spacing w:after="120" w:line="240" w:lineRule="auto"/>
      </w:pPr>
      <w:r w:rsidRPr="00DC1DE3">
        <w:t>Due to the short-term nature of these projects, the purchase of high-cost equipment is discouraged. Instead, rental or leasing options should be explored if high-cost equipment is essential to the project's operation. All equipment with a unit cost of $</w:t>
      </w:r>
      <w:r w:rsidR="00023511">
        <w:t>10</w:t>
      </w:r>
      <w:r w:rsidRPr="00DC1DE3">
        <w:t>,000 or more is subject to prior approval by the EDD and will be negotiated with contract completion.</w:t>
      </w:r>
    </w:p>
    <w:p w14:paraId="6FEC655B" w14:textId="0F2AE1A2" w:rsidR="008544AA" w:rsidRPr="00DC1DE3" w:rsidRDefault="008544AA" w:rsidP="000E27FB">
      <w:pPr>
        <w:pStyle w:val="ListParagraph"/>
        <w:spacing w:after="120" w:line="240" w:lineRule="auto"/>
      </w:pPr>
      <w:r w:rsidRPr="00DC1DE3">
        <w:t xml:space="preserve">A separate request to purchase equipment must be submitted to the EDD for approval. See Basic Considerations in OMB Uniform Guidance Section </w:t>
      </w:r>
      <w:hyperlink r:id="rId45" w:history="1">
        <w:r w:rsidRPr="00E46E70">
          <w:rPr>
            <w:rStyle w:val="Hyperlink"/>
            <w:u w:val="none"/>
          </w:rPr>
          <w:t>200.407</w:t>
        </w:r>
      </w:hyperlink>
      <w:r w:rsidRPr="00733A63">
        <w:t>.</w:t>
      </w:r>
      <w:r w:rsidRPr="00DC1DE3">
        <w:t xml:space="preserve"> Refer to EDD Directives </w:t>
      </w:r>
      <w:hyperlink r:id="rId46" w:history="1">
        <w:r w:rsidRPr="00E46E70">
          <w:rPr>
            <w:rStyle w:val="Hyperlink"/>
            <w:u w:val="none"/>
          </w:rPr>
          <w:t>WSD16-16</w:t>
        </w:r>
      </w:hyperlink>
      <w:r w:rsidRPr="00DC1DE3">
        <w:t>, Subject: Allowable Costs and Prior Written Approval (February 21, 2017</w:t>
      </w:r>
      <w:r w:rsidRPr="00733A63">
        <w:t xml:space="preserve">), </w:t>
      </w:r>
      <w:hyperlink r:id="rId47" w:history="1">
        <w:r w:rsidRPr="00E46E70">
          <w:rPr>
            <w:rStyle w:val="Hyperlink"/>
            <w:u w:val="none"/>
          </w:rPr>
          <w:t>WSD16-10</w:t>
        </w:r>
      </w:hyperlink>
      <w:r w:rsidRPr="00E46E70">
        <w:t>,</w:t>
      </w:r>
      <w:r w:rsidRPr="00DC1DE3">
        <w:t xml:space="preserve"> Subject: Property – Purchasing, Inventory, and Disposal (November </w:t>
      </w:r>
      <w:r w:rsidRPr="00DC1DE3">
        <w:lastRenderedPageBreak/>
        <w:t>10, 2016), and</w:t>
      </w:r>
      <w:r w:rsidRPr="00733A63">
        <w:t xml:space="preserve"> </w:t>
      </w:r>
      <w:hyperlink r:id="rId48" w:history="1">
        <w:r w:rsidRPr="00E46E70">
          <w:rPr>
            <w:rStyle w:val="Hyperlink"/>
            <w:u w:val="none"/>
          </w:rPr>
          <w:t>WSD17-08</w:t>
        </w:r>
      </w:hyperlink>
      <w:r w:rsidRPr="00DC1DE3">
        <w:t>, Subject: Procurement of Equipment and Related Services (March 14, 2018) for Procurement Guidelines.</w:t>
      </w:r>
    </w:p>
    <w:p w14:paraId="5AF94C2B" w14:textId="62C77645" w:rsidR="008544AA" w:rsidRPr="00DC1DE3" w:rsidRDefault="008544AA" w:rsidP="000E27FB">
      <w:pPr>
        <w:pStyle w:val="ListParagraph"/>
        <w:spacing w:after="120" w:line="240" w:lineRule="auto"/>
      </w:pPr>
      <w:r w:rsidRPr="00DC1DE3">
        <w:t>The Item Description Column must list all equipment costing $</w:t>
      </w:r>
      <w:r w:rsidR="00023511">
        <w:t>10</w:t>
      </w:r>
      <w:r w:rsidRPr="00DC1DE3">
        <w:t>,000 or more.</w:t>
      </w:r>
    </w:p>
    <w:p w14:paraId="28EBEE0E" w14:textId="0280D1D6" w:rsidR="008544AA" w:rsidRPr="00DC1DE3" w:rsidRDefault="008544AA" w:rsidP="000E27FB">
      <w:pPr>
        <w:pStyle w:val="ListParagraph"/>
        <w:spacing w:after="120" w:line="240" w:lineRule="auto"/>
        <w:rPr>
          <w:b/>
        </w:rPr>
      </w:pPr>
      <w:r w:rsidRPr="00DC1DE3">
        <w:t>The Quantity Column must contain the desired amount for each item in the Item Description Column.</w:t>
      </w:r>
    </w:p>
    <w:p w14:paraId="7E186028" w14:textId="389C4ED4" w:rsidR="008544AA" w:rsidRPr="00DC1DE3" w:rsidRDefault="008544AA" w:rsidP="000E27FB">
      <w:pPr>
        <w:pStyle w:val="ListParagraph"/>
        <w:spacing w:after="120" w:line="240" w:lineRule="auto"/>
      </w:pPr>
      <w:r w:rsidRPr="00DC1DE3">
        <w:t>The Cost Per Item Column must contain the cost for each item listed in the Item Description Column.</w:t>
      </w:r>
    </w:p>
    <w:p w14:paraId="082DCCE8" w14:textId="39D2FE39" w:rsidR="008544AA" w:rsidRPr="00DC1DE3" w:rsidRDefault="008544AA" w:rsidP="000E27FB">
      <w:pPr>
        <w:pStyle w:val="ListParagraph"/>
        <w:spacing w:after="120" w:line="240" w:lineRule="auto"/>
      </w:pPr>
      <w:r w:rsidRPr="00DC1DE3">
        <w:t>Right-click each cell in the Total Cost Column and select "Update Field" to populate the total cost for each item listed in the Item Description Column.</w:t>
      </w:r>
    </w:p>
    <w:p w14:paraId="601A82D2" w14:textId="77777777" w:rsidR="008544AA" w:rsidRPr="00DC1DE3" w:rsidRDefault="008544AA" w:rsidP="000E27FB">
      <w:pPr>
        <w:pStyle w:val="ListParagraph"/>
        <w:spacing w:after="120" w:line="240" w:lineRule="auto"/>
      </w:pPr>
      <w:r w:rsidRPr="00DC1DE3">
        <w:t>The Percent Charged to Project Column must be manually calculated. If the percentage sign is deleted, it must be re-entered manually to ensure an accurate calculation in the following column, the Total Cost Charged to Project Column.</w:t>
      </w:r>
    </w:p>
    <w:p w14:paraId="7419A860" w14:textId="77777777" w:rsidR="008544AA" w:rsidRPr="00DC1DE3" w:rsidRDefault="008544AA" w:rsidP="000E27FB">
      <w:pPr>
        <w:pStyle w:val="ListParagraph"/>
        <w:spacing w:after="120" w:line="240" w:lineRule="auto"/>
      </w:pPr>
      <w:r w:rsidRPr="00DC1DE3">
        <w:t>To populate the Total Cost Charged to Project Column, right-click each cell in the column and select "Update Field."</w:t>
      </w:r>
    </w:p>
    <w:p w14:paraId="71A8E0A3" w14:textId="568BF042" w:rsidR="008544AA" w:rsidRPr="00DE19D5" w:rsidRDefault="008544AA" w:rsidP="000E27FB">
      <w:pPr>
        <w:pStyle w:val="ListParagraph"/>
        <w:spacing w:after="240" w:line="240" w:lineRule="auto"/>
        <w:rPr>
          <w:rFonts w:cstheme="minorHAnsi"/>
        </w:rPr>
      </w:pPr>
      <w:r w:rsidRPr="00DC1DE3">
        <w:t>To populate the Total cells in the final row of Columns 3 and 5, right-click on each cell and select "Update Field."</w:t>
      </w:r>
    </w:p>
    <w:p w14:paraId="3604C999" w14:textId="386FC608" w:rsidR="0081202A" w:rsidRPr="0081202A" w:rsidRDefault="0081202A" w:rsidP="000E27FB">
      <w:pPr>
        <w:pStyle w:val="BodyText"/>
        <w:spacing w:after="120"/>
        <w:rPr>
          <w:b/>
          <w:bCs/>
        </w:rPr>
      </w:pPr>
      <w:r w:rsidRPr="0081202A">
        <w:rPr>
          <w:b/>
          <w:bCs/>
        </w:rPr>
        <w:t xml:space="preserve">Exhibit G – Supplemental Budget, Section </w:t>
      </w:r>
      <w:r>
        <w:rPr>
          <w:b/>
          <w:bCs/>
        </w:rPr>
        <w:t>2</w:t>
      </w:r>
      <w:r w:rsidRPr="0081202A">
        <w:rPr>
          <w:b/>
          <w:bCs/>
        </w:rPr>
        <w:t xml:space="preserve">: </w:t>
      </w:r>
      <w:r>
        <w:rPr>
          <w:b/>
          <w:bCs/>
        </w:rPr>
        <w:t>Subrecipient</w:t>
      </w:r>
    </w:p>
    <w:p w14:paraId="0E5490CB" w14:textId="77777777" w:rsidR="008544AA" w:rsidRPr="00DC1DE3" w:rsidRDefault="008544AA" w:rsidP="000E27FB">
      <w:pPr>
        <w:pStyle w:val="ListParagraph"/>
        <w:spacing w:after="120" w:line="240" w:lineRule="auto"/>
      </w:pPr>
      <w:r w:rsidRPr="00DC1DE3">
        <w:t xml:space="preserve">If an applicant plans to award and fund a subrecipient to carry out a portion of the grant services, Section II: Subrecipients of the </w:t>
      </w:r>
      <w:r w:rsidRPr="00DC1DE3">
        <w:rPr>
          <w:i/>
          <w:iCs/>
        </w:rPr>
        <w:t xml:space="preserve">Supplemental Budget (Exhibit G) </w:t>
      </w:r>
      <w:r w:rsidRPr="00DC1DE3">
        <w:t>must be completed.</w:t>
      </w:r>
    </w:p>
    <w:p w14:paraId="5D43834D" w14:textId="15803CAA" w:rsidR="008544AA" w:rsidRPr="00DC1DE3" w:rsidRDefault="008544AA" w:rsidP="000E27FB">
      <w:pPr>
        <w:pStyle w:val="ListParagraph"/>
        <w:spacing w:after="120" w:line="240" w:lineRule="auto"/>
      </w:pPr>
      <w:r w:rsidRPr="00DC1DE3">
        <w:t>The Service Provider Name Column must list the subrecipient's name.</w:t>
      </w:r>
    </w:p>
    <w:p w14:paraId="02110CB9" w14:textId="32079685" w:rsidR="008544AA" w:rsidRPr="00DC1DE3" w:rsidRDefault="008544AA" w:rsidP="000E27FB">
      <w:pPr>
        <w:pStyle w:val="ListParagraph"/>
        <w:spacing w:after="120" w:line="240" w:lineRule="auto"/>
      </w:pPr>
      <w:r w:rsidRPr="00DC1DE3">
        <w:t xml:space="preserve">The Sub </w:t>
      </w:r>
      <w:r w:rsidR="005323E4">
        <w:t>Awarded</w:t>
      </w:r>
      <w:r w:rsidRPr="00DC1DE3">
        <w:t xml:space="preserve"> Amount Column must contain the desired subaward amount of each service provider listed in the Service Provider Name Column.</w:t>
      </w:r>
    </w:p>
    <w:p w14:paraId="6321D053" w14:textId="6539B5C8" w:rsidR="008544AA" w:rsidRPr="00DC1DE3" w:rsidRDefault="008544AA" w:rsidP="000E27FB">
      <w:pPr>
        <w:pStyle w:val="ListParagraph"/>
        <w:spacing w:after="120" w:line="240" w:lineRule="auto"/>
      </w:pPr>
      <w:r w:rsidRPr="00DC1DE3">
        <w:t>The Deliverables Column must contain the deliverables contributing to the grant objectives for each provider listed in the Service Provider Column.</w:t>
      </w:r>
    </w:p>
    <w:p w14:paraId="3FC0A02B" w14:textId="6DF9A695" w:rsidR="0081202A" w:rsidRDefault="008544AA" w:rsidP="00E42B12">
      <w:pPr>
        <w:pStyle w:val="ListParagraph"/>
        <w:spacing w:after="240" w:line="240" w:lineRule="auto"/>
      </w:pPr>
      <w:r w:rsidRPr="00DC1DE3">
        <w:t>Right-click on the Total cell in the Sub awarded Amount Column and select "Update Field" to populate the total award for each amount listed in the Sub awarded Amount Column.</w:t>
      </w:r>
    </w:p>
    <w:p w14:paraId="17DFF150" w14:textId="618232F9" w:rsidR="0081202A" w:rsidRPr="0081202A" w:rsidRDefault="0081202A" w:rsidP="000E27FB">
      <w:pPr>
        <w:pStyle w:val="BodyText"/>
        <w:spacing w:after="120"/>
        <w:rPr>
          <w:b/>
          <w:bCs/>
        </w:rPr>
      </w:pPr>
      <w:r w:rsidRPr="0081202A">
        <w:rPr>
          <w:b/>
          <w:bCs/>
        </w:rPr>
        <w:t xml:space="preserve">Exhibit G – Supplemental Budget, Section </w:t>
      </w:r>
      <w:r>
        <w:rPr>
          <w:b/>
          <w:bCs/>
        </w:rPr>
        <w:t>3</w:t>
      </w:r>
      <w:r w:rsidRPr="0081202A">
        <w:rPr>
          <w:b/>
          <w:bCs/>
        </w:rPr>
        <w:t xml:space="preserve">: </w:t>
      </w:r>
      <w:r>
        <w:rPr>
          <w:b/>
          <w:bCs/>
        </w:rPr>
        <w:t>Contractor</w:t>
      </w:r>
    </w:p>
    <w:p w14:paraId="5E8E5AA3" w14:textId="7BB5EC3E" w:rsidR="008544AA" w:rsidRPr="00DC1DE3" w:rsidRDefault="008544AA" w:rsidP="000E27FB">
      <w:pPr>
        <w:pStyle w:val="ListParagraph"/>
        <w:spacing w:after="120" w:line="240" w:lineRule="auto"/>
      </w:pPr>
      <w:r w:rsidRPr="00DC1DE3">
        <w:t xml:space="preserve">Section </w:t>
      </w:r>
      <w:r w:rsidR="0081202A">
        <w:t xml:space="preserve">3 </w:t>
      </w:r>
      <w:r w:rsidRPr="00DC1DE3">
        <w:t xml:space="preserve">of the </w:t>
      </w:r>
      <w:r w:rsidR="0081202A">
        <w:t xml:space="preserve">Exhibit G - </w:t>
      </w:r>
      <w:r w:rsidRPr="00F470F1">
        <w:t>Supplemental Budget</w:t>
      </w:r>
      <w:r w:rsidRPr="00DC1DE3">
        <w:t xml:space="preserve"> is for contractual services. Contractual Services must be completed.</w:t>
      </w:r>
    </w:p>
    <w:p w14:paraId="163819BA" w14:textId="6316CFD6" w:rsidR="008544AA" w:rsidRPr="00DC1DE3" w:rsidRDefault="008544AA" w:rsidP="000E27FB">
      <w:pPr>
        <w:pStyle w:val="ListParagraph"/>
        <w:spacing w:after="120" w:line="240" w:lineRule="auto"/>
      </w:pPr>
      <w:r w:rsidRPr="00DC1DE3">
        <w:t>If an applicant plans to procure a contract with a contractor</w:t>
      </w:r>
      <w:r w:rsidR="000B3D8E">
        <w:t>,</w:t>
      </w:r>
      <w:r w:rsidRPr="00DC1DE3">
        <w:t xml:space="preserve"> such as a vendor, dealer, distributor, merchant, or other seller providing goods or services, the </w:t>
      </w:r>
      <w:r w:rsidRPr="00DC1DE3">
        <w:rPr>
          <w:i/>
          <w:iCs/>
        </w:rPr>
        <w:t>Supplemental Budget (Exhibit G), Section III:</w:t>
      </w:r>
      <w:r w:rsidRPr="00DC1DE3">
        <w:t xml:space="preserve"> Contractor must be completed.</w:t>
      </w:r>
    </w:p>
    <w:p w14:paraId="013FA760" w14:textId="28FED1F2" w:rsidR="008544AA" w:rsidRPr="00DC1DE3" w:rsidRDefault="008544AA" w:rsidP="000E27FB">
      <w:pPr>
        <w:pStyle w:val="ListParagraph"/>
        <w:spacing w:after="120" w:line="240" w:lineRule="auto"/>
      </w:pPr>
      <w:r w:rsidRPr="00DC1DE3">
        <w:lastRenderedPageBreak/>
        <w:t>The Description-Type of Service Column must list the type of services the contractor will provide through procurement.</w:t>
      </w:r>
    </w:p>
    <w:p w14:paraId="0204C733" w14:textId="0402A88F" w:rsidR="008544AA" w:rsidRPr="00DC1DE3" w:rsidRDefault="008544AA" w:rsidP="000E27FB">
      <w:pPr>
        <w:pStyle w:val="ListParagraph"/>
        <w:spacing w:after="120" w:line="240" w:lineRule="auto"/>
      </w:pPr>
      <w:r w:rsidRPr="00DC1DE3">
        <w:t>The Cost Column must contain the service cost for each service listed in the Description-Type of Service Column.</w:t>
      </w:r>
    </w:p>
    <w:p w14:paraId="0C5AA149" w14:textId="0FF020A5" w:rsidR="008544AA" w:rsidRPr="00DC1DE3" w:rsidRDefault="008544AA" w:rsidP="000E27FB">
      <w:pPr>
        <w:pStyle w:val="ListParagraph"/>
        <w:spacing w:after="120" w:line="240" w:lineRule="auto"/>
      </w:pPr>
      <w:r w:rsidRPr="00DC1DE3">
        <w:t>The Service Provider (</w:t>
      </w:r>
      <w:r w:rsidR="00FD7360">
        <w:t>i</w:t>
      </w:r>
      <w:r w:rsidRPr="00DC1DE3">
        <w:t xml:space="preserve">f </w:t>
      </w:r>
      <w:r w:rsidR="00FD7360">
        <w:t>k</w:t>
      </w:r>
      <w:r w:rsidRPr="00DC1DE3">
        <w:t>nown) Column must list the name of the contractor that will be competitively procured to provide the contractual services for each service listed in the Description-Type of Service Column.</w:t>
      </w:r>
    </w:p>
    <w:p w14:paraId="0BEA1D83" w14:textId="3D9A6AF0" w:rsidR="008544AA" w:rsidRPr="00DC1DE3" w:rsidRDefault="008544AA" w:rsidP="000E27FB">
      <w:pPr>
        <w:pStyle w:val="ListParagraph"/>
        <w:spacing w:after="120" w:line="240" w:lineRule="auto"/>
      </w:pPr>
      <w:r w:rsidRPr="00DC1DE3">
        <w:t>Right-click on the Total cell in the Cost Column and select "Update Field" to populate the total cost for each amount listed in the Cost Column.</w:t>
      </w:r>
    </w:p>
    <w:p w14:paraId="08182ED0" w14:textId="29C71169" w:rsidR="008544AA" w:rsidRPr="007C2300" w:rsidRDefault="008544AA" w:rsidP="00335924">
      <w:pPr>
        <w:pStyle w:val="BodyText"/>
      </w:pPr>
      <w:r w:rsidRPr="01476CFA">
        <w:rPr>
          <w:i/>
          <w:iCs/>
          <w:lang w:val="en-US"/>
        </w:rPr>
        <w:t xml:space="preserve">Exhibit G </w:t>
      </w:r>
      <w:r w:rsidR="00213092">
        <w:rPr>
          <w:i/>
          <w:iCs/>
          <w:lang w:val="en-US"/>
        </w:rPr>
        <w:t xml:space="preserve">- </w:t>
      </w:r>
      <w:r w:rsidRPr="01476CFA">
        <w:rPr>
          <w:i/>
          <w:iCs/>
          <w:lang w:val="en-US"/>
        </w:rPr>
        <w:t xml:space="preserve">Supplemental Budget </w:t>
      </w:r>
      <w:r w:rsidRPr="01476CFA">
        <w:rPr>
          <w:lang w:val="en-US"/>
        </w:rPr>
        <w:t>must be submitted in MS Word format. Save this document according to the following naming convention: “</w:t>
      </w:r>
      <w:r w:rsidR="00371A69" w:rsidRPr="000B3D8E">
        <w:rPr>
          <w:lang w:val="en-US"/>
        </w:rPr>
        <w:t>ABC</w:t>
      </w:r>
      <w:r w:rsidRPr="000B3D8E">
        <w:rPr>
          <w:lang w:val="en-US"/>
        </w:rPr>
        <w:t xml:space="preserve"> </w:t>
      </w:r>
      <w:r w:rsidR="00733A63" w:rsidRPr="000B3D8E">
        <w:rPr>
          <w:lang w:val="en-US"/>
        </w:rPr>
        <w:t>E</w:t>
      </w:r>
      <w:r w:rsidR="00655E16" w:rsidRPr="000B3D8E">
        <w:rPr>
          <w:lang w:val="en-US"/>
        </w:rPr>
        <w:t>P</w:t>
      </w:r>
      <w:r w:rsidR="00733A63" w:rsidRPr="000B3D8E">
        <w:rPr>
          <w:lang w:val="en-US"/>
        </w:rPr>
        <w:t>TA</w:t>
      </w:r>
      <w:r w:rsidRPr="000B3D8E">
        <w:rPr>
          <w:lang w:val="en-US"/>
        </w:rPr>
        <w:t xml:space="preserve"> PY </w:t>
      </w:r>
      <w:r w:rsidR="00733A63" w:rsidRPr="000B3D8E">
        <w:rPr>
          <w:lang w:val="en-US"/>
        </w:rPr>
        <w:t>25</w:t>
      </w:r>
      <w:r w:rsidR="0086490E" w:rsidRPr="000B3D8E">
        <w:rPr>
          <w:lang w:val="en-US"/>
        </w:rPr>
        <w:t>-</w:t>
      </w:r>
      <w:r w:rsidR="00733A63" w:rsidRPr="000B3D8E">
        <w:rPr>
          <w:lang w:val="en-US"/>
        </w:rPr>
        <w:t>26</w:t>
      </w:r>
      <w:r w:rsidRPr="000B3D8E">
        <w:rPr>
          <w:lang w:val="en-US"/>
        </w:rPr>
        <w:t xml:space="preserve"> </w:t>
      </w:r>
      <w:proofErr w:type="spellStart"/>
      <w:r w:rsidRPr="000B3D8E">
        <w:rPr>
          <w:lang w:val="en-US"/>
        </w:rPr>
        <w:t>ExG</w:t>
      </w:r>
      <w:proofErr w:type="spellEnd"/>
      <w:r w:rsidRPr="01476CFA">
        <w:rPr>
          <w:lang w:val="en-US"/>
        </w:rPr>
        <w:t>.”</w:t>
      </w:r>
    </w:p>
    <w:p w14:paraId="05D37DBF" w14:textId="10DF9274" w:rsidR="008544AA" w:rsidRPr="00DC1DE3" w:rsidRDefault="008544AA" w:rsidP="00F470F1">
      <w:pPr>
        <w:pStyle w:val="Heading4"/>
      </w:pPr>
      <w:r w:rsidRPr="01476CFA">
        <w:rPr>
          <w:lang w:val="en-US"/>
        </w:rPr>
        <w:t>Exhibit J</w:t>
      </w:r>
      <w:r w:rsidR="0081202A" w:rsidRPr="01476CFA">
        <w:rPr>
          <w:b/>
          <w:lang w:val="en-US"/>
        </w:rPr>
        <w:t xml:space="preserve"> </w:t>
      </w:r>
      <w:r w:rsidR="0081202A" w:rsidRPr="01476CFA">
        <w:rPr>
          <w:lang w:val="en-US"/>
        </w:rPr>
        <w:t>–</w:t>
      </w:r>
      <w:r w:rsidR="0081202A" w:rsidRPr="01476CFA">
        <w:rPr>
          <w:b/>
          <w:lang w:val="en-US"/>
        </w:rPr>
        <w:t xml:space="preserve"> </w:t>
      </w:r>
      <w:r w:rsidRPr="01476CFA">
        <w:rPr>
          <w:lang w:val="en-US"/>
        </w:rPr>
        <w:t>Partner Roles and Responsibilities</w:t>
      </w:r>
      <w:r w:rsidR="0081202A" w:rsidRPr="01476CFA">
        <w:rPr>
          <w:lang w:val="en-US"/>
        </w:rPr>
        <w:t xml:space="preserve"> (</w:t>
      </w:r>
      <w:proofErr w:type="spellStart"/>
      <w:r w:rsidRPr="01476CFA">
        <w:rPr>
          <w:lang w:val="en-US"/>
        </w:rPr>
        <w:t>ExJ</w:t>
      </w:r>
      <w:proofErr w:type="spellEnd"/>
      <w:r w:rsidR="0081202A" w:rsidRPr="01476CFA">
        <w:rPr>
          <w:lang w:val="en-US"/>
        </w:rPr>
        <w:t>)</w:t>
      </w:r>
    </w:p>
    <w:p w14:paraId="1D8BB858" w14:textId="77777777" w:rsidR="008544AA" w:rsidRPr="00DC1DE3" w:rsidRDefault="008544AA" w:rsidP="00E42B12">
      <w:pPr>
        <w:pStyle w:val="ListParagraph"/>
        <w:spacing w:after="120" w:line="240" w:lineRule="auto"/>
      </w:pPr>
      <w:r w:rsidRPr="00DC1DE3">
        <w:t>List all partners in the Organization Column under the appropriate heading.</w:t>
      </w:r>
    </w:p>
    <w:p w14:paraId="142BC50A" w14:textId="6B6AA50C" w:rsidR="008544AA" w:rsidRPr="00DC1DE3" w:rsidRDefault="008544AA" w:rsidP="00E42B12">
      <w:pPr>
        <w:pStyle w:val="ListParagraph"/>
        <w:spacing w:after="120" w:line="240" w:lineRule="auto"/>
      </w:pPr>
      <w:r w:rsidRPr="00DC1DE3">
        <w:t>To add a row for additional partners, hover over a row in the far-left column and select the plus sign symbol when it appears. Then, copy and paste the preformatted rows into the newly added rows using the paste option "Overwrite Cells."</w:t>
      </w:r>
    </w:p>
    <w:p w14:paraId="6E32C588" w14:textId="3AF2DB5C" w:rsidR="008544AA" w:rsidRPr="00DC1DE3" w:rsidRDefault="008544AA" w:rsidP="00E42B12">
      <w:pPr>
        <w:pStyle w:val="ListParagraph"/>
        <w:spacing w:after="120" w:line="240" w:lineRule="auto"/>
      </w:pPr>
      <w:r w:rsidRPr="00DC1DE3">
        <w:t>Enter the contribution amounts for the Cash/In-Kind Contribution Amount Column, if available.</w:t>
      </w:r>
    </w:p>
    <w:p w14:paraId="2CD0D563" w14:textId="77777777" w:rsidR="008544AA" w:rsidRPr="00DC1DE3" w:rsidRDefault="008544AA" w:rsidP="00E42B12">
      <w:pPr>
        <w:pStyle w:val="ListParagraph"/>
        <w:spacing w:after="120" w:line="240" w:lineRule="auto"/>
      </w:pPr>
      <w:r w:rsidRPr="00DC1DE3">
        <w:t>Right-click "Update Field" to populate the Total Cash/In-Kind Contribution Cell.</w:t>
      </w:r>
    </w:p>
    <w:p w14:paraId="62970EDB" w14:textId="48BA6CB5" w:rsidR="008544AA" w:rsidRPr="00DC1DE3" w:rsidRDefault="008544AA" w:rsidP="00E42B12">
      <w:pPr>
        <w:pStyle w:val="ListParagraph"/>
        <w:spacing w:after="120" w:line="240" w:lineRule="auto"/>
      </w:pPr>
      <w:r w:rsidRPr="00DC1DE3">
        <w:t>The Roles and Responsibilities column should include concise summaries of the specific tasks, services, or support partners provided for each organizational type. A more in-depth description of roles and responsibilities can be provided in the Project Narrative.</w:t>
      </w:r>
    </w:p>
    <w:p w14:paraId="5821C3DE" w14:textId="77777777" w:rsidR="008544AA" w:rsidRPr="00DC1DE3" w:rsidRDefault="008544AA" w:rsidP="00E42B12">
      <w:pPr>
        <w:pStyle w:val="ListParagraph"/>
        <w:spacing w:after="120" w:line="240" w:lineRule="auto"/>
      </w:pPr>
      <w:r w:rsidRPr="00DC1DE3">
        <w:t>List the funding source under the Fund Source Column for partners providing leveraged funds.</w:t>
      </w:r>
    </w:p>
    <w:p w14:paraId="22641376" w14:textId="3754418F" w:rsidR="008544AA" w:rsidRPr="00DC1DE3" w:rsidRDefault="008544AA" w:rsidP="00E42B12">
      <w:pPr>
        <w:pStyle w:val="ListParagraph"/>
        <w:spacing w:after="120" w:line="240" w:lineRule="auto"/>
      </w:pPr>
      <w:r w:rsidRPr="00DC1DE3">
        <w:t>Check "Yes" in the Partnership Agreement Letter Column if a partner provided a Partnership Agreement Letter.</w:t>
      </w:r>
    </w:p>
    <w:p w14:paraId="09D6094A" w14:textId="688A8E79" w:rsidR="008544AA" w:rsidRPr="00DC1DE3" w:rsidRDefault="008544AA" w:rsidP="00F470F1">
      <w:pPr>
        <w:pStyle w:val="BodyText"/>
      </w:pPr>
      <w:r w:rsidRPr="01476CFA">
        <w:rPr>
          <w:i/>
          <w:iCs/>
          <w:lang w:val="en-US"/>
        </w:rPr>
        <w:t xml:space="preserve">Exhibit J </w:t>
      </w:r>
      <w:r w:rsidR="00213092">
        <w:rPr>
          <w:i/>
          <w:iCs/>
          <w:lang w:val="en-US"/>
        </w:rPr>
        <w:t xml:space="preserve">- </w:t>
      </w:r>
      <w:r w:rsidRPr="01476CFA">
        <w:rPr>
          <w:i/>
          <w:iCs/>
          <w:lang w:val="en-US"/>
        </w:rPr>
        <w:t>Partner Roles and Responsibilities</w:t>
      </w:r>
      <w:r w:rsidRPr="01476CFA">
        <w:rPr>
          <w:lang w:val="en-US"/>
        </w:rPr>
        <w:t xml:space="preserve"> must be submitted in M</w:t>
      </w:r>
      <w:r w:rsidR="002A1C88">
        <w:rPr>
          <w:lang w:val="en-US"/>
        </w:rPr>
        <w:t>icrosoft</w:t>
      </w:r>
      <w:r w:rsidRPr="01476CFA">
        <w:rPr>
          <w:lang w:val="en-US"/>
        </w:rPr>
        <w:t xml:space="preserve"> Word format. Save this document according to the following naming convention: “</w:t>
      </w:r>
      <w:r w:rsidR="00371A69" w:rsidRPr="005364BE">
        <w:rPr>
          <w:lang w:val="en-US"/>
        </w:rPr>
        <w:t>ABC</w:t>
      </w:r>
      <w:r w:rsidRPr="005364BE">
        <w:rPr>
          <w:lang w:val="en-US"/>
        </w:rPr>
        <w:t xml:space="preserve"> </w:t>
      </w:r>
      <w:r w:rsidR="00733A63" w:rsidRPr="005364BE">
        <w:rPr>
          <w:lang w:val="en-US"/>
        </w:rPr>
        <w:t>E</w:t>
      </w:r>
      <w:r w:rsidR="00712F21" w:rsidRPr="005364BE">
        <w:rPr>
          <w:lang w:val="en-US"/>
        </w:rPr>
        <w:t>P</w:t>
      </w:r>
      <w:r w:rsidR="00733A63" w:rsidRPr="005364BE">
        <w:rPr>
          <w:lang w:val="en-US"/>
        </w:rPr>
        <w:t>TA</w:t>
      </w:r>
      <w:r w:rsidRPr="005364BE">
        <w:rPr>
          <w:lang w:val="en-US"/>
        </w:rPr>
        <w:t xml:space="preserve"> PY </w:t>
      </w:r>
      <w:r w:rsidR="00733A63" w:rsidRPr="005364BE">
        <w:rPr>
          <w:lang w:val="en-US"/>
        </w:rPr>
        <w:t>25</w:t>
      </w:r>
      <w:r w:rsidR="0086490E" w:rsidRPr="005364BE">
        <w:rPr>
          <w:lang w:val="en-US"/>
        </w:rPr>
        <w:t>-</w:t>
      </w:r>
      <w:r w:rsidR="00733A63" w:rsidRPr="005364BE">
        <w:rPr>
          <w:lang w:val="en-US"/>
        </w:rPr>
        <w:t>26</w:t>
      </w:r>
      <w:r w:rsidRPr="005364BE">
        <w:rPr>
          <w:lang w:val="en-US"/>
        </w:rPr>
        <w:t xml:space="preserve"> </w:t>
      </w:r>
      <w:proofErr w:type="spellStart"/>
      <w:r w:rsidRPr="005364BE">
        <w:rPr>
          <w:lang w:val="en-US"/>
        </w:rPr>
        <w:t>ExJ</w:t>
      </w:r>
      <w:proofErr w:type="spellEnd"/>
      <w:r w:rsidRPr="005364BE">
        <w:rPr>
          <w:lang w:val="en-US"/>
        </w:rPr>
        <w:t>.”</w:t>
      </w:r>
    </w:p>
    <w:p w14:paraId="6D286837" w14:textId="77777777" w:rsidR="008544AA" w:rsidRPr="00DC1DE3" w:rsidRDefault="008544AA" w:rsidP="00291014">
      <w:pPr>
        <w:pStyle w:val="Heading3"/>
      </w:pPr>
      <w:bookmarkStart w:id="177" w:name="_Toc167894632"/>
      <w:bookmarkStart w:id="178" w:name="_Toc167894690"/>
      <w:bookmarkStart w:id="179" w:name="_Toc167894691"/>
      <w:bookmarkEnd w:id="177"/>
      <w:bookmarkEnd w:id="178"/>
      <w:r w:rsidRPr="00DC1DE3">
        <w:t>Exhibit Attachment Instructions</w:t>
      </w:r>
      <w:bookmarkEnd w:id="179"/>
    </w:p>
    <w:p w14:paraId="4232FA32" w14:textId="751638DB" w:rsidR="008544AA" w:rsidRPr="00DC1DE3" w:rsidRDefault="008544AA" w:rsidP="00F470F1">
      <w:pPr>
        <w:pStyle w:val="BodyText"/>
      </w:pPr>
      <w:r w:rsidRPr="01476CFA">
        <w:rPr>
          <w:lang w:val="en-US"/>
        </w:rPr>
        <w:t xml:space="preserve">Complete only the required information in the exhibit’s attachments. Do not change or alter the exhibit attachments. Submit all exhibit attachments in the required format with the following title: </w:t>
      </w:r>
      <w:r w:rsidRPr="00381807">
        <w:rPr>
          <w:lang w:val="en-US"/>
        </w:rPr>
        <w:t xml:space="preserve">"[Applicant’s Three Digit Initialism] </w:t>
      </w:r>
      <w:r w:rsidR="00733A63" w:rsidRPr="005364BE">
        <w:rPr>
          <w:lang w:val="en-US"/>
        </w:rPr>
        <w:t>E</w:t>
      </w:r>
      <w:r w:rsidR="00712F21" w:rsidRPr="005364BE">
        <w:rPr>
          <w:lang w:val="en-US"/>
        </w:rPr>
        <w:t>P</w:t>
      </w:r>
      <w:r w:rsidR="00733A63" w:rsidRPr="005364BE">
        <w:rPr>
          <w:lang w:val="en-US"/>
        </w:rPr>
        <w:t xml:space="preserve">TA </w:t>
      </w:r>
      <w:r w:rsidRPr="005364BE">
        <w:rPr>
          <w:lang w:val="en-US"/>
        </w:rPr>
        <w:t xml:space="preserve">PY </w:t>
      </w:r>
      <w:r w:rsidR="00733A63" w:rsidRPr="005364BE">
        <w:rPr>
          <w:lang w:val="en-US"/>
        </w:rPr>
        <w:t>25</w:t>
      </w:r>
      <w:r w:rsidRPr="005364BE">
        <w:rPr>
          <w:lang w:val="en-US"/>
        </w:rPr>
        <w:t>-</w:t>
      </w:r>
      <w:r w:rsidR="00733A63" w:rsidRPr="005364BE">
        <w:rPr>
          <w:lang w:val="en-US"/>
        </w:rPr>
        <w:t>26</w:t>
      </w:r>
      <w:r w:rsidRPr="005364BE">
        <w:rPr>
          <w:lang w:val="en-US"/>
        </w:rPr>
        <w:t xml:space="preserve"> [</w:t>
      </w:r>
      <w:r w:rsidRPr="00381807">
        <w:rPr>
          <w:lang w:val="en-US"/>
        </w:rPr>
        <w:t>Attachment Abbreviated Title]."</w:t>
      </w:r>
      <w:r w:rsidRPr="01476CFA">
        <w:rPr>
          <w:lang w:val="en-US"/>
        </w:rPr>
        <w:t xml:space="preserve"> For example, "</w:t>
      </w:r>
      <w:r w:rsidR="00371A69" w:rsidRPr="005364BE">
        <w:rPr>
          <w:lang w:val="en-US"/>
        </w:rPr>
        <w:t>ABC</w:t>
      </w:r>
      <w:r w:rsidRPr="005364BE">
        <w:rPr>
          <w:lang w:val="en-US"/>
        </w:rPr>
        <w:t xml:space="preserve"> </w:t>
      </w:r>
      <w:r w:rsidR="00733A63" w:rsidRPr="005364BE">
        <w:rPr>
          <w:lang w:val="en-US"/>
        </w:rPr>
        <w:t>E</w:t>
      </w:r>
      <w:r w:rsidR="00712F21" w:rsidRPr="005364BE">
        <w:rPr>
          <w:lang w:val="en-US"/>
        </w:rPr>
        <w:t>P</w:t>
      </w:r>
      <w:r w:rsidR="00733A63" w:rsidRPr="005364BE">
        <w:rPr>
          <w:lang w:val="en-US"/>
        </w:rPr>
        <w:t>TA</w:t>
      </w:r>
      <w:r w:rsidRPr="005364BE">
        <w:rPr>
          <w:lang w:val="en-US"/>
        </w:rPr>
        <w:t xml:space="preserve"> PY </w:t>
      </w:r>
      <w:r w:rsidR="00733A63" w:rsidRPr="005364BE">
        <w:rPr>
          <w:lang w:val="en-US"/>
        </w:rPr>
        <w:t>25</w:t>
      </w:r>
      <w:r w:rsidR="0086490E" w:rsidRPr="005364BE">
        <w:rPr>
          <w:lang w:val="en-US"/>
        </w:rPr>
        <w:t>-</w:t>
      </w:r>
      <w:r w:rsidR="00733A63" w:rsidRPr="005364BE">
        <w:rPr>
          <w:lang w:val="en-US"/>
        </w:rPr>
        <w:t>26</w:t>
      </w:r>
      <w:r w:rsidRPr="005364BE">
        <w:rPr>
          <w:lang w:val="en-US"/>
        </w:rPr>
        <w:t xml:space="preserve"> </w:t>
      </w:r>
      <w:proofErr w:type="spellStart"/>
      <w:r w:rsidRPr="005364BE">
        <w:rPr>
          <w:lang w:val="en-US"/>
        </w:rPr>
        <w:t>CovSign</w:t>
      </w:r>
      <w:proofErr w:type="spellEnd"/>
      <w:r w:rsidRPr="005364BE">
        <w:rPr>
          <w:lang w:val="en-US"/>
        </w:rPr>
        <w:t>"</w:t>
      </w:r>
      <w:r w:rsidRPr="01476CFA">
        <w:rPr>
          <w:lang w:val="en-US"/>
        </w:rPr>
        <w:t xml:space="preserve"> for the Cover Signature Page. File names must not exceed 40 characters.</w:t>
      </w:r>
    </w:p>
    <w:p w14:paraId="1786CC25" w14:textId="47F7D826" w:rsidR="008544AA" w:rsidRPr="00DC1DE3" w:rsidRDefault="008544AA" w:rsidP="01476CFA">
      <w:pPr>
        <w:pStyle w:val="BodyText"/>
        <w:rPr>
          <w:lang w:val="en-US"/>
        </w:rPr>
      </w:pPr>
      <w:r w:rsidRPr="01476CFA">
        <w:rPr>
          <w:lang w:val="en-US"/>
        </w:rPr>
        <w:lastRenderedPageBreak/>
        <w:t>Disclaimer: All exhibit attachments must be completed accurately and submitted as part of the application package.</w:t>
      </w:r>
    </w:p>
    <w:p w14:paraId="579EF93B" w14:textId="5E933457" w:rsidR="008544AA" w:rsidRPr="0081202A" w:rsidRDefault="008544AA" w:rsidP="00F470F1">
      <w:pPr>
        <w:pStyle w:val="Heading4"/>
      </w:pPr>
      <w:bookmarkStart w:id="180" w:name="_Hlk158721564"/>
      <w:r w:rsidRPr="01476CFA">
        <w:rPr>
          <w:lang w:val="en-US"/>
        </w:rPr>
        <w:t>Cover Signature Page</w:t>
      </w:r>
      <w:r w:rsidR="0081202A" w:rsidRPr="01476CFA">
        <w:rPr>
          <w:lang w:val="en-US"/>
        </w:rPr>
        <w:t xml:space="preserve"> (</w:t>
      </w:r>
      <w:proofErr w:type="spellStart"/>
      <w:r w:rsidRPr="01476CFA">
        <w:rPr>
          <w:lang w:val="en-US"/>
        </w:rPr>
        <w:t>CovSign</w:t>
      </w:r>
      <w:proofErr w:type="spellEnd"/>
      <w:r w:rsidR="0081202A" w:rsidRPr="01476CFA">
        <w:rPr>
          <w:lang w:val="en-US"/>
        </w:rPr>
        <w:t>)</w:t>
      </w:r>
    </w:p>
    <w:p w14:paraId="08CC38DC" w14:textId="6EEB94C0" w:rsidR="008544AA" w:rsidRPr="00DC1DE3" w:rsidRDefault="008544AA" w:rsidP="00F470F1">
      <w:pPr>
        <w:pStyle w:val="BodyText"/>
      </w:pPr>
      <w:r w:rsidRPr="01476CFA">
        <w:rPr>
          <w:lang w:val="en-US"/>
        </w:rPr>
        <w:t xml:space="preserve">The Cover Signature page must be completed and submitted electronically as a PDF document with the electronic signature of the signatory authority designated by the organization applying. Ensure that contact information for both the designated contact person and the authorized signatory authority is correct. </w:t>
      </w:r>
      <w:r w:rsidRPr="00381807">
        <w:rPr>
          <w:lang w:val="en-US"/>
        </w:rPr>
        <w:t xml:space="preserve">Save this document according to the naming convention: </w:t>
      </w:r>
      <w:r w:rsidRPr="005364BE">
        <w:rPr>
          <w:lang w:val="en-US"/>
        </w:rPr>
        <w:t>“</w:t>
      </w:r>
      <w:r w:rsidR="00371A69" w:rsidRPr="005364BE">
        <w:rPr>
          <w:lang w:val="en-US"/>
        </w:rPr>
        <w:t>ABC</w:t>
      </w:r>
      <w:r w:rsidRPr="005364BE">
        <w:rPr>
          <w:lang w:val="en-US"/>
        </w:rPr>
        <w:t xml:space="preserve"> </w:t>
      </w:r>
      <w:r w:rsidR="00E573C5" w:rsidRPr="005364BE">
        <w:rPr>
          <w:lang w:val="en-US"/>
        </w:rPr>
        <w:t>E</w:t>
      </w:r>
      <w:r w:rsidR="00141E14" w:rsidRPr="005364BE">
        <w:rPr>
          <w:lang w:val="en-US"/>
        </w:rPr>
        <w:t>P</w:t>
      </w:r>
      <w:r w:rsidR="00E573C5" w:rsidRPr="005364BE">
        <w:rPr>
          <w:lang w:val="en-US"/>
        </w:rPr>
        <w:t>TA</w:t>
      </w:r>
      <w:r w:rsidRPr="005364BE">
        <w:rPr>
          <w:lang w:val="en-US"/>
        </w:rPr>
        <w:t xml:space="preserve"> PY </w:t>
      </w:r>
      <w:r w:rsidR="00E573C5" w:rsidRPr="005364BE">
        <w:rPr>
          <w:lang w:val="en-US"/>
        </w:rPr>
        <w:t>25</w:t>
      </w:r>
      <w:r w:rsidR="0086490E" w:rsidRPr="005364BE">
        <w:rPr>
          <w:lang w:val="en-US"/>
        </w:rPr>
        <w:t>-</w:t>
      </w:r>
      <w:r w:rsidR="00E573C5" w:rsidRPr="005364BE">
        <w:rPr>
          <w:lang w:val="en-US"/>
        </w:rPr>
        <w:t>26</w:t>
      </w:r>
      <w:r w:rsidRPr="005364BE">
        <w:rPr>
          <w:lang w:val="en-US"/>
        </w:rPr>
        <w:t xml:space="preserve"> </w:t>
      </w:r>
      <w:proofErr w:type="spellStart"/>
      <w:r w:rsidRPr="005364BE">
        <w:rPr>
          <w:lang w:val="en-US"/>
        </w:rPr>
        <w:t>CovSign</w:t>
      </w:r>
      <w:proofErr w:type="spellEnd"/>
      <w:r w:rsidR="000A1F52" w:rsidRPr="005364BE">
        <w:rPr>
          <w:lang w:val="en-US"/>
        </w:rPr>
        <w:t>.</w:t>
      </w:r>
      <w:r w:rsidRPr="005364BE">
        <w:rPr>
          <w:lang w:val="en-US"/>
        </w:rPr>
        <w:t>”</w:t>
      </w:r>
    </w:p>
    <w:p w14:paraId="1DADFD08" w14:textId="2AC974D2" w:rsidR="008544AA" w:rsidRPr="00DC1DE3" w:rsidRDefault="008544AA" w:rsidP="00F470F1">
      <w:pPr>
        <w:pStyle w:val="Heading4"/>
      </w:pPr>
      <w:bookmarkStart w:id="181" w:name="_Hlk141867487"/>
      <w:bookmarkEnd w:id="180"/>
      <w:r w:rsidRPr="01476CFA">
        <w:rPr>
          <w:lang w:val="en-US"/>
        </w:rPr>
        <w:t xml:space="preserve"> Executive Summary</w:t>
      </w:r>
      <w:bookmarkEnd w:id="181"/>
      <w:r w:rsidR="006D18DF" w:rsidRPr="01476CFA">
        <w:rPr>
          <w:lang w:val="en-US"/>
        </w:rPr>
        <w:t xml:space="preserve"> (</w:t>
      </w:r>
      <w:proofErr w:type="spellStart"/>
      <w:r w:rsidR="006D18DF" w:rsidRPr="01476CFA">
        <w:rPr>
          <w:lang w:val="en-US"/>
        </w:rPr>
        <w:t>E</w:t>
      </w:r>
      <w:r w:rsidRPr="01476CFA">
        <w:rPr>
          <w:lang w:val="en-US"/>
        </w:rPr>
        <w:t>xecSum</w:t>
      </w:r>
      <w:proofErr w:type="spellEnd"/>
      <w:r w:rsidR="006D18DF" w:rsidRPr="01476CFA">
        <w:rPr>
          <w:lang w:val="en-US"/>
        </w:rPr>
        <w:t>)</w:t>
      </w:r>
    </w:p>
    <w:p w14:paraId="05B05D42" w14:textId="4EC033C5" w:rsidR="008544AA" w:rsidRPr="00DC1DE3" w:rsidRDefault="008544AA" w:rsidP="00F470F1">
      <w:pPr>
        <w:pStyle w:val="BodyText"/>
      </w:pPr>
      <w:r w:rsidRPr="01476CFA">
        <w:rPr>
          <w:lang w:val="en-US"/>
        </w:rPr>
        <w:t>The Executive Summary is limited to t</w:t>
      </w:r>
      <w:r w:rsidR="00E10070">
        <w:rPr>
          <w:lang w:val="en-US"/>
        </w:rPr>
        <w:t>wo</w:t>
      </w:r>
      <w:r w:rsidRPr="01476CFA">
        <w:rPr>
          <w:lang w:val="en-US"/>
        </w:rPr>
        <w:t xml:space="preserve"> pages</w:t>
      </w:r>
      <w:r w:rsidR="00E10070">
        <w:rPr>
          <w:lang w:val="en-US"/>
        </w:rPr>
        <w:t xml:space="preserve"> </w:t>
      </w:r>
      <w:r w:rsidR="00E10070" w:rsidRPr="00E10070">
        <w:rPr>
          <w:lang w:val="en-US"/>
        </w:rPr>
        <w:t>using Aptos 12-point font</w:t>
      </w:r>
      <w:r w:rsidRPr="01476CFA">
        <w:rPr>
          <w:lang w:val="en-US"/>
        </w:rPr>
        <w:t xml:space="preserve">. All sections must be completed. The Executive Summary will be publicly posted online and must be written in complete sentences with proper grammar. Acronyms must be spelled out the first time they are used. </w:t>
      </w:r>
      <w:bookmarkStart w:id="182" w:name="_Hlk158720729"/>
      <w:bookmarkStart w:id="183" w:name="_Hlk146808801"/>
      <w:r w:rsidRPr="00381807">
        <w:rPr>
          <w:lang w:val="en-US"/>
        </w:rPr>
        <w:t xml:space="preserve">Save and submit this document according to the naming convention: </w:t>
      </w:r>
      <w:bookmarkEnd w:id="182"/>
      <w:r w:rsidRPr="00A141CE">
        <w:rPr>
          <w:lang w:val="en-US"/>
        </w:rPr>
        <w:t>“</w:t>
      </w:r>
      <w:r w:rsidR="00371A69" w:rsidRPr="00A141CE">
        <w:rPr>
          <w:lang w:val="en-US"/>
        </w:rPr>
        <w:t>ABC</w:t>
      </w:r>
      <w:r w:rsidRPr="00A141CE">
        <w:rPr>
          <w:lang w:val="en-US"/>
        </w:rPr>
        <w:t xml:space="preserve"> </w:t>
      </w:r>
      <w:r w:rsidR="00E573C5" w:rsidRPr="00A141CE">
        <w:rPr>
          <w:lang w:val="en-US"/>
        </w:rPr>
        <w:t>E</w:t>
      </w:r>
      <w:r w:rsidR="00141E14" w:rsidRPr="00A141CE">
        <w:rPr>
          <w:lang w:val="en-US"/>
        </w:rPr>
        <w:t>P</w:t>
      </w:r>
      <w:r w:rsidR="00E573C5" w:rsidRPr="00A141CE">
        <w:rPr>
          <w:lang w:val="en-US"/>
        </w:rPr>
        <w:t>TA</w:t>
      </w:r>
      <w:r w:rsidRPr="00A141CE">
        <w:rPr>
          <w:lang w:val="en-US"/>
        </w:rPr>
        <w:t xml:space="preserve"> PY </w:t>
      </w:r>
      <w:r w:rsidR="00E573C5" w:rsidRPr="00A141CE">
        <w:rPr>
          <w:lang w:val="en-US"/>
        </w:rPr>
        <w:t>25</w:t>
      </w:r>
      <w:r w:rsidR="0086490E" w:rsidRPr="00A141CE">
        <w:rPr>
          <w:lang w:val="en-US"/>
        </w:rPr>
        <w:t>-</w:t>
      </w:r>
      <w:r w:rsidR="00E573C5" w:rsidRPr="00A141CE">
        <w:rPr>
          <w:lang w:val="en-US"/>
        </w:rPr>
        <w:t>26</w:t>
      </w:r>
      <w:r w:rsidRPr="00A141CE">
        <w:rPr>
          <w:lang w:val="en-US"/>
        </w:rPr>
        <w:t xml:space="preserve"> </w:t>
      </w:r>
      <w:proofErr w:type="spellStart"/>
      <w:r w:rsidRPr="00A141CE">
        <w:rPr>
          <w:lang w:val="en-US"/>
        </w:rPr>
        <w:t>ExecSum</w:t>
      </w:r>
      <w:proofErr w:type="spellEnd"/>
      <w:r w:rsidR="000A1F52" w:rsidRPr="00A141CE">
        <w:rPr>
          <w:lang w:val="en-US"/>
        </w:rPr>
        <w:t>.</w:t>
      </w:r>
      <w:r w:rsidRPr="00A141CE">
        <w:rPr>
          <w:lang w:val="en-US"/>
        </w:rPr>
        <w:t>”</w:t>
      </w:r>
      <w:bookmarkEnd w:id="183"/>
    </w:p>
    <w:p w14:paraId="59F65B5B" w14:textId="0232B63B" w:rsidR="008544AA" w:rsidRPr="00E10070" w:rsidRDefault="00137533" w:rsidP="01476CFA">
      <w:pPr>
        <w:rPr>
          <w:rFonts w:ascii="Calibri" w:hAnsi="Calibri" w:cs="Calibri"/>
          <w:b/>
          <w:bCs/>
          <w:sz w:val="24"/>
          <w:szCs w:val="24"/>
        </w:rPr>
      </w:pPr>
      <w:r w:rsidRPr="00E10070">
        <w:rPr>
          <w:rFonts w:ascii="Calibri" w:hAnsi="Calibri" w:cs="Calibri"/>
          <w:b/>
          <w:bCs/>
          <w:sz w:val="24"/>
          <w:szCs w:val="24"/>
        </w:rPr>
        <w:t xml:space="preserve">Executive </w:t>
      </w:r>
      <w:r w:rsidR="00DE19D5" w:rsidRPr="00E10070">
        <w:rPr>
          <w:rFonts w:ascii="Calibri" w:hAnsi="Calibri" w:cs="Calibri"/>
          <w:b/>
          <w:bCs/>
          <w:sz w:val="24"/>
          <w:szCs w:val="24"/>
        </w:rPr>
        <w:t xml:space="preserve">Summary </w:t>
      </w:r>
      <w:r w:rsidRPr="00E10070">
        <w:rPr>
          <w:rFonts w:ascii="Calibri" w:hAnsi="Calibri" w:cs="Calibri"/>
          <w:b/>
          <w:bCs/>
          <w:sz w:val="24"/>
          <w:szCs w:val="24"/>
        </w:rPr>
        <w:t>Content</w:t>
      </w:r>
    </w:p>
    <w:p w14:paraId="5B1B9C9B" w14:textId="359C7153" w:rsidR="008544AA" w:rsidRPr="000F5868" w:rsidRDefault="00E10070" w:rsidP="000F5868">
      <w:pPr>
        <w:spacing w:after="120" w:line="240" w:lineRule="auto"/>
        <w:rPr>
          <w:rFonts w:ascii="Calibri" w:hAnsi="Calibri" w:cs="Calibri"/>
          <w:b/>
          <w:bCs/>
          <w:sz w:val="24"/>
          <w:szCs w:val="24"/>
        </w:rPr>
      </w:pPr>
      <w:r w:rsidRPr="00B33A81">
        <w:rPr>
          <w:rFonts w:ascii="Calibri" w:hAnsi="Calibri" w:cs="Calibri"/>
          <w:b/>
          <w:bCs/>
          <w:sz w:val="24"/>
          <w:szCs w:val="24"/>
        </w:rPr>
        <w:t>Technical Assistance and Developmental Evaluation Plan</w:t>
      </w:r>
    </w:p>
    <w:p w14:paraId="4D53CB63" w14:textId="6FACF3BF" w:rsidR="008544AA" w:rsidRPr="00DC1DE3" w:rsidRDefault="000F5868" w:rsidP="00E42B12">
      <w:pPr>
        <w:pStyle w:val="ListParagraph"/>
        <w:spacing w:after="120" w:line="240" w:lineRule="auto"/>
        <w:rPr>
          <w:rFonts w:eastAsia="Arial"/>
          <w:lang w:val="en"/>
        </w:rPr>
      </w:pPr>
      <w:r>
        <w:rPr>
          <w:rFonts w:eastAsia="Calibri"/>
          <w:color w:val="222222"/>
          <w:lang w:val="en"/>
        </w:rPr>
        <w:t>Summarize the Proposal</w:t>
      </w:r>
      <w:r w:rsidR="008544AA" w:rsidRPr="00DC1DE3">
        <w:rPr>
          <w:rFonts w:eastAsia="Calibri"/>
          <w:color w:val="222222"/>
          <w:lang w:val="en"/>
        </w:rPr>
        <w:t xml:space="preserve"> </w:t>
      </w:r>
      <w:r>
        <w:rPr>
          <w:rFonts w:eastAsia="Calibri"/>
          <w:color w:val="222222"/>
          <w:lang w:val="en"/>
        </w:rPr>
        <w:t>N</w:t>
      </w:r>
      <w:r w:rsidR="008544AA" w:rsidRPr="00DC1DE3">
        <w:rPr>
          <w:rFonts w:eastAsia="Calibri"/>
          <w:color w:val="222222"/>
          <w:lang w:val="en"/>
        </w:rPr>
        <w:t>arrative</w:t>
      </w:r>
      <w:r>
        <w:rPr>
          <w:rFonts w:eastAsia="Calibri"/>
          <w:color w:val="222222"/>
          <w:lang w:val="en"/>
        </w:rPr>
        <w:t xml:space="preserve"> using complete sentences and proper grammar</w:t>
      </w:r>
      <w:r w:rsidR="008544AA" w:rsidRPr="00DC1DE3">
        <w:rPr>
          <w:rFonts w:eastAsia="Calibri"/>
          <w:color w:val="222222"/>
          <w:lang w:val="en"/>
        </w:rPr>
        <w:t>.</w:t>
      </w:r>
    </w:p>
    <w:p w14:paraId="22AE7014" w14:textId="11ECB363" w:rsidR="008544AA" w:rsidRPr="00E10070" w:rsidRDefault="00E10070" w:rsidP="00E42B12">
      <w:pPr>
        <w:spacing w:after="120" w:line="240" w:lineRule="auto"/>
        <w:rPr>
          <w:rFonts w:ascii="Calibri" w:eastAsia="Arial" w:hAnsi="Calibri" w:cs="Calibri"/>
          <w:b/>
          <w:bCs/>
          <w:sz w:val="24"/>
          <w:szCs w:val="24"/>
          <w:lang w:val="en"/>
        </w:rPr>
      </w:pPr>
      <w:r w:rsidRPr="00B33A81">
        <w:rPr>
          <w:rFonts w:ascii="Calibri" w:eastAsia="Arial" w:hAnsi="Calibri" w:cs="Calibri"/>
          <w:b/>
          <w:bCs/>
          <w:sz w:val="24"/>
          <w:szCs w:val="24"/>
          <w:lang w:val="en"/>
        </w:rPr>
        <w:t>Expertise Providing Technical Assistance and Developmental Evaluation</w:t>
      </w:r>
    </w:p>
    <w:p w14:paraId="190E8450" w14:textId="256007D1" w:rsidR="008544AA" w:rsidRPr="00DC1DE3" w:rsidRDefault="000F5868" w:rsidP="00E42B12">
      <w:pPr>
        <w:pStyle w:val="ListParagraph"/>
        <w:spacing w:after="120" w:line="240" w:lineRule="auto"/>
        <w:rPr>
          <w:rFonts w:eastAsia="Arial"/>
          <w:lang w:val="en"/>
        </w:rPr>
      </w:pPr>
      <w:r w:rsidRPr="000F5868">
        <w:rPr>
          <w:rFonts w:eastAsia="Calibri"/>
          <w:color w:val="222222"/>
          <w:lang w:val="en"/>
        </w:rPr>
        <w:t xml:space="preserve">Demonstrates that the applicant and their partners (if applicable) can provide meaningful </w:t>
      </w:r>
      <w:r w:rsidR="00BE574C">
        <w:rPr>
          <w:rFonts w:eastAsia="Calibri"/>
          <w:color w:val="222222"/>
          <w:lang w:val="en"/>
        </w:rPr>
        <w:t>technical assistance and developmental evaluation</w:t>
      </w:r>
      <w:r w:rsidRPr="000F5868">
        <w:rPr>
          <w:rFonts w:eastAsia="Calibri"/>
          <w:color w:val="222222"/>
          <w:lang w:val="en"/>
        </w:rPr>
        <w:t xml:space="preserve"> to program awardees as they design, develop, and implement projects that accelerate employment strategies for populations facing significant barriers to employment.</w:t>
      </w:r>
    </w:p>
    <w:p w14:paraId="5CF6AAC1" w14:textId="04AC2BE0" w:rsidR="008544AA" w:rsidRPr="00E10070" w:rsidRDefault="00E10070" w:rsidP="00E42B12">
      <w:pPr>
        <w:spacing w:after="120" w:line="240" w:lineRule="auto"/>
        <w:rPr>
          <w:rFonts w:ascii="Calibri" w:eastAsia="Arial" w:hAnsi="Calibri" w:cs="Calibri"/>
          <w:b/>
          <w:bCs/>
          <w:sz w:val="24"/>
          <w:szCs w:val="24"/>
          <w:lang w:val="en"/>
        </w:rPr>
      </w:pPr>
      <w:r w:rsidRPr="000F5868">
        <w:rPr>
          <w:rFonts w:ascii="Calibri" w:eastAsia="Arial" w:hAnsi="Calibri" w:cs="Calibri"/>
          <w:b/>
          <w:bCs/>
          <w:sz w:val="24"/>
          <w:szCs w:val="24"/>
          <w:lang w:val="en"/>
        </w:rPr>
        <w:t>Service Model</w:t>
      </w:r>
    </w:p>
    <w:p w14:paraId="7E01A911" w14:textId="2AD0A147" w:rsidR="008544AA" w:rsidRPr="00DC1DE3" w:rsidRDefault="000F5868" w:rsidP="00E42B12">
      <w:pPr>
        <w:pStyle w:val="ListParagraph"/>
        <w:spacing w:after="120" w:line="240" w:lineRule="auto"/>
        <w:rPr>
          <w:rFonts w:eastAsia="Calibri"/>
          <w:color w:val="222222"/>
          <w:lang w:val="en"/>
        </w:rPr>
      </w:pPr>
      <w:bookmarkStart w:id="184" w:name="_Hlk217028623"/>
      <w:r>
        <w:rPr>
          <w:rFonts w:eastAsia="Calibri"/>
          <w:color w:val="222222"/>
          <w:lang w:val="en"/>
        </w:rPr>
        <w:t xml:space="preserve">Describe </w:t>
      </w:r>
      <w:r w:rsidRPr="000F5868">
        <w:rPr>
          <w:rFonts w:eastAsia="Calibri"/>
          <w:color w:val="222222"/>
          <w:lang w:val="en"/>
        </w:rPr>
        <w:t xml:space="preserve">how the applicant will provide individual and group employment-focused </w:t>
      </w:r>
      <w:r w:rsidR="00BE574C">
        <w:rPr>
          <w:rFonts w:eastAsia="Calibri"/>
          <w:color w:val="222222"/>
          <w:lang w:val="en"/>
        </w:rPr>
        <w:t>TA</w:t>
      </w:r>
      <w:r w:rsidRPr="000F5868">
        <w:rPr>
          <w:rFonts w:eastAsia="Calibri"/>
          <w:color w:val="222222"/>
          <w:lang w:val="en"/>
        </w:rPr>
        <w:t xml:space="preserve"> support</w:t>
      </w:r>
      <w:r w:rsidR="008544AA" w:rsidRPr="00DC1DE3">
        <w:rPr>
          <w:rFonts w:eastAsia="Calibri"/>
          <w:color w:val="222222"/>
          <w:lang w:val="en"/>
        </w:rPr>
        <w:t>.</w:t>
      </w:r>
    </w:p>
    <w:bookmarkEnd w:id="184"/>
    <w:p w14:paraId="5CCE135D" w14:textId="222CA6D4" w:rsidR="000F5868" w:rsidRPr="000F5868" w:rsidRDefault="000F5868" w:rsidP="000F5868">
      <w:pPr>
        <w:pStyle w:val="ListParagraph"/>
        <w:rPr>
          <w:rFonts w:eastAsia="Calibri"/>
          <w:color w:val="222222"/>
        </w:rPr>
      </w:pPr>
      <w:r>
        <w:t xml:space="preserve">Explain </w:t>
      </w:r>
      <w:r w:rsidRPr="000F5868">
        <w:t xml:space="preserve">how the applicant will customize interventions to match program awardees’ needs </w:t>
      </w:r>
      <w:r>
        <w:t>to meet</w:t>
      </w:r>
      <w:r w:rsidRPr="000F5868">
        <w:t xml:space="preserve"> outcomes</w:t>
      </w:r>
      <w:r>
        <w:t xml:space="preserve">. </w:t>
      </w:r>
    </w:p>
    <w:p w14:paraId="04C57AEC" w14:textId="4BCB79A8" w:rsidR="000F5868" w:rsidRPr="000F5868" w:rsidRDefault="000F5868" w:rsidP="000F5868">
      <w:pPr>
        <w:pStyle w:val="ListParagraph"/>
        <w:rPr>
          <w:rFonts w:eastAsia="Calibri"/>
          <w:color w:val="222222"/>
        </w:rPr>
      </w:pPr>
      <w:r>
        <w:t xml:space="preserve">Describe how the applicant will </w:t>
      </w:r>
      <w:r w:rsidRPr="000F5868">
        <w:rPr>
          <w:rFonts w:eastAsia="Calibri"/>
          <w:color w:val="222222"/>
        </w:rPr>
        <w:t xml:space="preserve">provide an accessible </w:t>
      </w:r>
      <w:r>
        <w:rPr>
          <w:rFonts w:eastAsia="Calibri"/>
          <w:color w:val="222222"/>
        </w:rPr>
        <w:t>platform for other TA providers</w:t>
      </w:r>
      <w:r w:rsidRPr="000F5868">
        <w:rPr>
          <w:rFonts w:eastAsia="Calibri"/>
          <w:color w:val="222222"/>
        </w:rPr>
        <w:t xml:space="preserve"> to facilitate </w:t>
      </w:r>
      <w:r>
        <w:rPr>
          <w:rFonts w:eastAsia="Calibri"/>
          <w:color w:val="222222"/>
        </w:rPr>
        <w:t>COP</w:t>
      </w:r>
      <w:r w:rsidRPr="000F5868">
        <w:rPr>
          <w:rFonts w:eastAsia="Calibri"/>
          <w:color w:val="222222"/>
        </w:rPr>
        <w:t xml:space="preserve"> engagement.</w:t>
      </w:r>
    </w:p>
    <w:p w14:paraId="677B5225" w14:textId="5776D490" w:rsidR="008544AA" w:rsidRPr="000F5868" w:rsidRDefault="00E10070" w:rsidP="000F5868">
      <w:pPr>
        <w:spacing w:after="120" w:line="240" w:lineRule="auto"/>
        <w:rPr>
          <w:rFonts w:eastAsia="Arial"/>
          <w:b/>
          <w:bCs/>
          <w:lang w:val="en"/>
        </w:rPr>
      </w:pPr>
      <w:r w:rsidRPr="000F5868">
        <w:rPr>
          <w:rFonts w:eastAsia="Arial"/>
          <w:b/>
          <w:bCs/>
          <w:lang w:val="en"/>
        </w:rPr>
        <w:t>Key Partners</w:t>
      </w:r>
    </w:p>
    <w:p w14:paraId="1D73C048" w14:textId="77777777" w:rsidR="00E10070" w:rsidRPr="00E10070" w:rsidRDefault="00E10070" w:rsidP="00E10070">
      <w:pPr>
        <w:pStyle w:val="ListParagraph"/>
        <w:rPr>
          <w:rFonts w:eastAsia="Arial"/>
          <w:lang w:val="en"/>
        </w:rPr>
      </w:pPr>
      <w:r w:rsidRPr="00E10070">
        <w:rPr>
          <w:rFonts w:eastAsia="Arial"/>
          <w:lang w:val="en"/>
        </w:rPr>
        <w:t>List key partners in a bullet list.</w:t>
      </w:r>
    </w:p>
    <w:p w14:paraId="1D6C1673" w14:textId="639C3457" w:rsidR="00E10070" w:rsidRPr="00E10070" w:rsidRDefault="00E10070" w:rsidP="00E10070">
      <w:pPr>
        <w:pStyle w:val="ListParagraph"/>
        <w:rPr>
          <w:rFonts w:eastAsia="Arial"/>
          <w:lang w:val="en"/>
        </w:rPr>
      </w:pPr>
      <w:r w:rsidRPr="00E10070">
        <w:rPr>
          <w:rFonts w:eastAsia="Arial"/>
          <w:lang w:val="en"/>
        </w:rPr>
        <w:t>Required partners, if any, should be listed first, followed by additional training, education, employer, and supportive services partners.</w:t>
      </w:r>
    </w:p>
    <w:p w14:paraId="010B464A" w14:textId="6AB1C28C" w:rsidR="008544AA" w:rsidRPr="00E10070" w:rsidRDefault="00E10070" w:rsidP="00E42B12">
      <w:pPr>
        <w:spacing w:after="120" w:line="240" w:lineRule="auto"/>
        <w:rPr>
          <w:rFonts w:ascii="Calibri" w:eastAsia="Arial" w:hAnsi="Calibri" w:cs="Calibri"/>
          <w:b/>
          <w:bCs/>
          <w:sz w:val="24"/>
          <w:szCs w:val="24"/>
          <w:lang w:val="en"/>
        </w:rPr>
      </w:pPr>
      <w:r w:rsidRPr="009D57E6">
        <w:rPr>
          <w:rFonts w:ascii="Calibri" w:eastAsia="Arial" w:hAnsi="Calibri" w:cs="Calibri"/>
          <w:b/>
          <w:bCs/>
          <w:sz w:val="24"/>
          <w:szCs w:val="24"/>
          <w:lang w:val="en"/>
        </w:rPr>
        <w:lastRenderedPageBreak/>
        <w:t>Key Goal Measurement Methodology</w:t>
      </w:r>
    </w:p>
    <w:p w14:paraId="28942720" w14:textId="5FE1FC7B" w:rsidR="008544AA" w:rsidRDefault="008544AA" w:rsidP="00E42B12">
      <w:pPr>
        <w:pStyle w:val="ListParagraph"/>
        <w:spacing w:after="120" w:line="240" w:lineRule="auto"/>
        <w:rPr>
          <w:rFonts w:eastAsia="Calibri"/>
          <w:color w:val="222222"/>
          <w:lang w:val="en"/>
        </w:rPr>
      </w:pPr>
      <w:r w:rsidRPr="00DC1DE3">
        <w:rPr>
          <w:rFonts w:eastAsia="Calibri"/>
          <w:color w:val="222222"/>
          <w:lang w:val="en"/>
        </w:rPr>
        <w:t xml:space="preserve">Provide an abstract of </w:t>
      </w:r>
      <w:r w:rsidR="006B7C12">
        <w:rPr>
          <w:rFonts w:eastAsia="Calibri"/>
          <w:color w:val="222222"/>
          <w:lang w:val="en"/>
        </w:rPr>
        <w:t>the strategic use of both quantitative and qualitative data to support continuous learning, program improvement, and cross-program insights</w:t>
      </w:r>
      <w:r w:rsidR="000A1F52">
        <w:rPr>
          <w:rFonts w:eastAsia="Calibri"/>
          <w:color w:val="222222"/>
          <w:lang w:val="en"/>
        </w:rPr>
        <w:t>.</w:t>
      </w:r>
    </w:p>
    <w:p w14:paraId="34A09956" w14:textId="0DF9C4C4" w:rsidR="000F5868" w:rsidRDefault="000F5868" w:rsidP="00E42B12">
      <w:pPr>
        <w:pStyle w:val="ListParagraph"/>
        <w:spacing w:after="120" w:line="240" w:lineRule="auto"/>
        <w:rPr>
          <w:rFonts w:eastAsia="Calibri"/>
          <w:color w:val="222222"/>
          <w:lang w:val="en"/>
        </w:rPr>
      </w:pPr>
      <w:r>
        <w:rPr>
          <w:rFonts w:eastAsia="Calibri"/>
          <w:color w:val="222222"/>
          <w:lang w:val="en"/>
        </w:rPr>
        <w:t xml:space="preserve">Explain </w:t>
      </w:r>
      <w:r w:rsidRPr="000F5868">
        <w:rPr>
          <w:rFonts w:eastAsia="Calibri"/>
          <w:color w:val="222222"/>
          <w:lang w:val="en"/>
        </w:rPr>
        <w:t>how TA activities will be documented</w:t>
      </w:r>
      <w:r>
        <w:rPr>
          <w:rFonts w:eastAsia="Calibri"/>
          <w:color w:val="222222"/>
          <w:lang w:val="en"/>
        </w:rPr>
        <w:t>.</w:t>
      </w:r>
    </w:p>
    <w:p w14:paraId="5F81FBD2" w14:textId="4737F38A" w:rsidR="000F5868" w:rsidRPr="00DC1DE3" w:rsidRDefault="000F5868" w:rsidP="00E42B12">
      <w:pPr>
        <w:pStyle w:val="ListParagraph"/>
        <w:spacing w:after="120" w:line="240" w:lineRule="auto"/>
        <w:rPr>
          <w:rFonts w:eastAsia="Calibri"/>
          <w:color w:val="222222"/>
          <w:lang w:val="en"/>
        </w:rPr>
      </w:pPr>
      <w:r>
        <w:rPr>
          <w:rFonts w:eastAsia="Calibri"/>
          <w:color w:val="222222"/>
          <w:lang w:val="en"/>
        </w:rPr>
        <w:t xml:space="preserve">Indicate </w:t>
      </w:r>
      <w:r w:rsidRPr="000F5868">
        <w:rPr>
          <w:rFonts w:eastAsia="Calibri"/>
          <w:color w:val="222222"/>
          <w:lang w:val="en"/>
        </w:rPr>
        <w:t>how the applicant will establish a baseline for each program awardee project</w:t>
      </w:r>
      <w:r>
        <w:rPr>
          <w:rFonts w:eastAsia="Calibri"/>
          <w:color w:val="222222"/>
          <w:lang w:val="en"/>
        </w:rPr>
        <w:t xml:space="preserve"> and describe </w:t>
      </w:r>
      <w:r w:rsidRPr="000F5868">
        <w:rPr>
          <w:rFonts w:eastAsia="Calibri"/>
          <w:color w:val="222222"/>
          <w:lang w:val="en"/>
        </w:rPr>
        <w:t>the specific measures the applicant will implement</w:t>
      </w:r>
      <w:r>
        <w:rPr>
          <w:rFonts w:eastAsia="Calibri"/>
          <w:color w:val="222222"/>
          <w:lang w:val="en"/>
        </w:rPr>
        <w:t>.</w:t>
      </w:r>
    </w:p>
    <w:p w14:paraId="56ADD0D7" w14:textId="31700A58" w:rsidR="008544AA" w:rsidRPr="00DC1DE3" w:rsidRDefault="000F5868" w:rsidP="00E42B12">
      <w:pPr>
        <w:pStyle w:val="ListParagraph"/>
        <w:spacing w:after="120" w:line="240" w:lineRule="auto"/>
        <w:rPr>
          <w:rFonts w:eastAsia="Arial"/>
          <w:lang w:val="en"/>
        </w:rPr>
      </w:pPr>
      <w:r>
        <w:rPr>
          <w:rFonts w:eastAsia="Calibri"/>
          <w:color w:val="222222"/>
          <w:lang w:val="en"/>
        </w:rPr>
        <w:t xml:space="preserve">Describe </w:t>
      </w:r>
      <w:r w:rsidRPr="000F5868">
        <w:rPr>
          <w:rFonts w:eastAsia="Calibri"/>
          <w:color w:val="222222"/>
          <w:lang w:val="en"/>
        </w:rPr>
        <w:t>how C</w:t>
      </w:r>
      <w:r>
        <w:rPr>
          <w:rFonts w:eastAsia="Calibri"/>
          <w:color w:val="222222"/>
          <w:lang w:val="en"/>
        </w:rPr>
        <w:t>O</w:t>
      </w:r>
      <w:r w:rsidRPr="000F5868">
        <w:rPr>
          <w:rFonts w:eastAsia="Calibri"/>
          <w:color w:val="222222"/>
          <w:lang w:val="en"/>
        </w:rPr>
        <w:t>P will be conducted and how Lessons Learned will be identified and addressed to tailor and adapt services</w:t>
      </w:r>
      <w:r w:rsidR="008544AA" w:rsidRPr="00DC1DE3">
        <w:rPr>
          <w:rFonts w:eastAsia="Calibri"/>
          <w:color w:val="222222"/>
          <w:lang w:val="en"/>
        </w:rPr>
        <w:t>.</w:t>
      </w:r>
    </w:p>
    <w:p w14:paraId="6531A1C1" w14:textId="77777777" w:rsidR="008544AA" w:rsidRPr="00E10070" w:rsidRDefault="008544AA" w:rsidP="00E42B12">
      <w:pPr>
        <w:spacing w:after="120" w:line="240" w:lineRule="auto"/>
        <w:rPr>
          <w:rFonts w:ascii="Calibri" w:eastAsia="Arial" w:hAnsi="Calibri" w:cs="Calibri"/>
          <w:b/>
          <w:bCs/>
          <w:sz w:val="24"/>
          <w:szCs w:val="24"/>
          <w:lang w:val="en"/>
        </w:rPr>
      </w:pPr>
      <w:r w:rsidRPr="00E10070">
        <w:rPr>
          <w:rFonts w:ascii="Calibri" w:eastAsia="Arial" w:hAnsi="Calibri" w:cs="Calibri"/>
          <w:b/>
          <w:bCs/>
          <w:sz w:val="24"/>
          <w:szCs w:val="24"/>
          <w:lang w:val="en"/>
        </w:rPr>
        <w:t>Proposed Outcomes</w:t>
      </w:r>
    </w:p>
    <w:p w14:paraId="3C1762F2" w14:textId="290788A9" w:rsidR="008544AA" w:rsidRPr="00DC1DE3" w:rsidRDefault="008544AA" w:rsidP="00E42B12">
      <w:pPr>
        <w:pStyle w:val="ListParagraph"/>
        <w:spacing w:after="120" w:line="240" w:lineRule="auto"/>
        <w:rPr>
          <w:rFonts w:eastAsia="Calibri"/>
          <w:color w:val="222222"/>
        </w:rPr>
      </w:pPr>
      <w:r w:rsidRPr="01476CFA">
        <w:rPr>
          <w:rFonts w:eastAsia="Calibri"/>
          <w:color w:val="222222"/>
        </w:rPr>
        <w:t xml:space="preserve">Proposed outcomes are </w:t>
      </w:r>
      <w:r w:rsidR="006B7C12">
        <w:rPr>
          <w:rFonts w:eastAsia="Calibri"/>
          <w:color w:val="222222"/>
        </w:rPr>
        <w:t xml:space="preserve">measurable </w:t>
      </w:r>
      <w:r w:rsidRPr="01476CFA">
        <w:rPr>
          <w:rFonts w:eastAsia="Calibri"/>
          <w:color w:val="222222"/>
        </w:rPr>
        <w:t>mid and long-term results demonstrating</w:t>
      </w:r>
      <w:r w:rsidR="006B7C12">
        <w:rPr>
          <w:rFonts w:eastAsia="Calibri"/>
          <w:color w:val="222222"/>
        </w:rPr>
        <w:t xml:space="preserve"> </w:t>
      </w:r>
      <w:r w:rsidRPr="01476CFA">
        <w:rPr>
          <w:rFonts w:eastAsia="Calibri"/>
          <w:color w:val="222222"/>
        </w:rPr>
        <w:t xml:space="preserve">individual </w:t>
      </w:r>
      <w:r w:rsidR="00973D55">
        <w:rPr>
          <w:rFonts w:eastAsia="Calibri"/>
          <w:color w:val="222222"/>
        </w:rPr>
        <w:t>awardee</w:t>
      </w:r>
      <w:r w:rsidRPr="01476CFA">
        <w:rPr>
          <w:rFonts w:eastAsia="Calibri"/>
          <w:color w:val="222222"/>
        </w:rPr>
        <w:t xml:space="preserve">s’ progress towards successful </w:t>
      </w:r>
      <w:r w:rsidR="00973D55">
        <w:rPr>
          <w:rFonts w:eastAsia="Calibri"/>
          <w:color w:val="222222"/>
        </w:rPr>
        <w:t xml:space="preserve">project outcomes </w:t>
      </w:r>
      <w:r w:rsidRPr="01476CFA">
        <w:rPr>
          <w:rFonts w:eastAsia="Calibri"/>
          <w:color w:val="222222"/>
        </w:rPr>
        <w:t xml:space="preserve">and </w:t>
      </w:r>
      <w:r w:rsidR="006B7C12">
        <w:rPr>
          <w:rFonts w:eastAsia="Calibri"/>
          <w:color w:val="222222"/>
        </w:rPr>
        <w:t>aligned with the two core purposes of this initiative</w:t>
      </w:r>
      <w:r w:rsidRPr="01476CFA">
        <w:rPr>
          <w:rFonts w:eastAsia="Calibri"/>
          <w:color w:val="222222"/>
        </w:rPr>
        <w:t>.</w:t>
      </w:r>
    </w:p>
    <w:p w14:paraId="5BC85F10" w14:textId="29A32004" w:rsidR="0006315C" w:rsidRPr="00DE19D5" w:rsidRDefault="008544AA" w:rsidP="00E42B12">
      <w:pPr>
        <w:pStyle w:val="ListParagraph"/>
        <w:spacing w:after="240" w:line="240" w:lineRule="auto"/>
        <w:rPr>
          <w:lang w:val="en"/>
        </w:rPr>
      </w:pPr>
      <w:r w:rsidRPr="00DC1DE3">
        <w:rPr>
          <w:rFonts w:eastAsia="Calibri"/>
          <w:color w:val="222222"/>
          <w:lang w:val="en"/>
        </w:rPr>
        <w:t>Include the proposed outcomes of your project in a short narrative.</w:t>
      </w:r>
    </w:p>
    <w:p w14:paraId="19A9AA86" w14:textId="2AD9E658" w:rsidR="008544AA" w:rsidRPr="00DC1DE3" w:rsidRDefault="008544AA" w:rsidP="0006315C">
      <w:pPr>
        <w:pStyle w:val="Heading4"/>
      </w:pPr>
      <w:bookmarkStart w:id="185" w:name="_9bh6ost0bf9g"/>
      <w:bookmarkStart w:id="186" w:name="_gjdgxs"/>
      <w:bookmarkStart w:id="187" w:name="_d2om83hmtqt4"/>
      <w:bookmarkStart w:id="188" w:name="_Toc117246191"/>
      <w:bookmarkStart w:id="189" w:name="_Toc130496200"/>
      <w:bookmarkEnd w:id="185"/>
      <w:bookmarkEnd w:id="186"/>
      <w:bookmarkEnd w:id="187"/>
      <w:r w:rsidRPr="01476CFA">
        <w:rPr>
          <w:lang w:val="en-US"/>
        </w:rPr>
        <w:t>Commitment Letters</w:t>
      </w:r>
      <w:r w:rsidR="006D18DF" w:rsidRPr="01476CFA">
        <w:rPr>
          <w:lang w:val="en-US"/>
        </w:rPr>
        <w:t xml:space="preserve"> (</w:t>
      </w:r>
      <w:proofErr w:type="spellStart"/>
      <w:r w:rsidRPr="01476CFA">
        <w:rPr>
          <w:lang w:val="en-US"/>
        </w:rPr>
        <w:t>ComLtr</w:t>
      </w:r>
      <w:proofErr w:type="spellEnd"/>
      <w:r w:rsidR="006D18DF" w:rsidRPr="01476CFA">
        <w:rPr>
          <w:lang w:val="en-US"/>
        </w:rPr>
        <w:t>)</w:t>
      </w:r>
    </w:p>
    <w:p w14:paraId="504C74DF" w14:textId="5F528A6E" w:rsidR="00AD5827" w:rsidRPr="00AD5827" w:rsidRDefault="00AD5827" w:rsidP="0006315C">
      <w:pPr>
        <w:pStyle w:val="BodyText"/>
        <w:rPr>
          <w:b/>
          <w:bCs/>
        </w:rPr>
      </w:pPr>
      <w:r w:rsidRPr="00AD5827">
        <w:rPr>
          <w:b/>
          <w:bCs/>
        </w:rPr>
        <w:t>Leveraged Resources Details</w:t>
      </w:r>
    </w:p>
    <w:p w14:paraId="0DDFAA59" w14:textId="3A00EB37" w:rsidR="006E6A21" w:rsidRDefault="006E6A21" w:rsidP="0006315C">
      <w:pPr>
        <w:pStyle w:val="BodyText"/>
      </w:pPr>
      <w:r>
        <w:t>There is no leverage resource requirement</w:t>
      </w:r>
      <w:r w:rsidR="00F05E3F">
        <w:t xml:space="preserve"> for this grant</w:t>
      </w:r>
      <w:r>
        <w:t>.</w:t>
      </w:r>
    </w:p>
    <w:p w14:paraId="7878FE88" w14:textId="406D0244" w:rsidR="0006315C" w:rsidRPr="00DC1DE3" w:rsidRDefault="0006315C" w:rsidP="0006315C">
      <w:pPr>
        <w:pStyle w:val="BodyText"/>
      </w:pPr>
      <w:r w:rsidRPr="00DC1DE3">
        <w:t xml:space="preserve">The definition of “cash contribution” is a contribution of </w:t>
      </w:r>
      <w:r w:rsidR="006E6A21">
        <w:t>cash</w:t>
      </w:r>
      <w:r w:rsidRPr="00DC1DE3">
        <w:t xml:space="preserve"> made available to the subrecipient to be explicitly used for project activities and must be consistent with the allowable activities of the funding source. The awarded subrecipient has control over and disburses these funds. Examples include but are not limited to funding received from employers, foundations, private entities, or local governments.</w:t>
      </w:r>
    </w:p>
    <w:p w14:paraId="4D611E2B" w14:textId="67147360" w:rsidR="0006315C" w:rsidRDefault="0006315C" w:rsidP="00F470F1">
      <w:pPr>
        <w:pStyle w:val="BodyText"/>
      </w:pPr>
      <w:r w:rsidRPr="00DC1DE3">
        <w:t>“In-kind contribution” is a contribution of non-cash resources explicitly used for project activities. This type of contribution includes, but is not limited to, donated personnel or staff, services, and use of equipment or space. If an education provider provides classroom instruction, for example, the classroom space and instructor(s) are considered a leveraged resource, and the value of the space and instruction qualifies as an “in-kind” contribution.</w:t>
      </w:r>
    </w:p>
    <w:p w14:paraId="1CFF95EC" w14:textId="58077D8C" w:rsidR="008544AA" w:rsidRPr="00DC1DE3" w:rsidRDefault="008544AA" w:rsidP="00F470F1">
      <w:pPr>
        <w:pStyle w:val="BodyText"/>
      </w:pPr>
      <w:r w:rsidRPr="00DC1DE3">
        <w:t>Applicants are to provide a</w:t>
      </w:r>
      <w:r w:rsidR="005D6E12">
        <w:t xml:space="preserve"> commitment</w:t>
      </w:r>
      <w:r w:rsidRPr="00DC1DE3">
        <w:t xml:space="preserve"> letter t</w:t>
      </w:r>
      <w:r w:rsidR="005D6E12">
        <w:t>o verify</w:t>
      </w:r>
      <w:r w:rsidRPr="00DC1DE3">
        <w:t xml:space="preserve"> the dollar amount and the source of contributions from each entity that pledges cash or in-kind resources to the project. The letters should clearly define the contribution parameters and include the exact cash amount or an estimate of the in-kind dollar amount of the contribution. If provided, the individual amounts and totals in these letters should match those listed in </w:t>
      </w:r>
      <w:r w:rsidRPr="00DC1DE3">
        <w:rPr>
          <w:i/>
          <w:iCs/>
        </w:rPr>
        <w:t>Exhibit J: Partner Roles and Responsibilities</w:t>
      </w:r>
      <w:r w:rsidRPr="00DC1DE3">
        <w:t xml:space="preserve">. In the case of a discrepancy, the dollar amount pledged in the letter will be used in all calculations. If a partner or </w:t>
      </w:r>
      <w:r w:rsidR="00097021">
        <w:t>the applicant</w:t>
      </w:r>
      <w:r w:rsidRPr="00DC1DE3">
        <w:t xml:space="preserve"> contribute</w:t>
      </w:r>
      <w:r w:rsidR="005D6E12">
        <w:t>s</w:t>
      </w:r>
      <w:r w:rsidRPr="00DC1DE3">
        <w:t xml:space="preserve">, the applicant must provide a </w:t>
      </w:r>
      <w:r w:rsidR="005D6E12">
        <w:t xml:space="preserve">commitment </w:t>
      </w:r>
      <w:r w:rsidRPr="00DC1DE3">
        <w:t>letter conforming to the stated guidelines.</w:t>
      </w:r>
    </w:p>
    <w:p w14:paraId="407E7F1D" w14:textId="63918BA7" w:rsidR="008544AA" w:rsidRPr="00DC1DE3" w:rsidRDefault="008544AA" w:rsidP="00F470F1">
      <w:pPr>
        <w:pStyle w:val="BodyText"/>
      </w:pPr>
      <w:r w:rsidRPr="00DC1DE3">
        <w:t xml:space="preserve">Commitment Letters </w:t>
      </w:r>
      <w:r w:rsidR="00AD7BB1">
        <w:t>must</w:t>
      </w:r>
      <w:r w:rsidRPr="00DC1DE3">
        <w:t xml:space="preserve"> meet the following criteria:</w:t>
      </w:r>
    </w:p>
    <w:p w14:paraId="4FDF5E37" w14:textId="77777777" w:rsidR="008544AA" w:rsidRPr="00DC1DE3" w:rsidRDefault="008544AA" w:rsidP="00E42B12">
      <w:pPr>
        <w:pStyle w:val="ListParagraph"/>
        <w:spacing w:after="120" w:line="240" w:lineRule="auto"/>
      </w:pPr>
      <w:r w:rsidRPr="00DC1DE3">
        <w:lastRenderedPageBreak/>
        <w:t>Each letter must describe in detail each partner's specific roles and responsibilities.</w:t>
      </w:r>
    </w:p>
    <w:p w14:paraId="472E4649" w14:textId="77777777" w:rsidR="008544AA" w:rsidRPr="00DC1DE3" w:rsidRDefault="008544AA" w:rsidP="00E42B12">
      <w:pPr>
        <w:pStyle w:val="ListParagraph"/>
        <w:spacing w:after="120" w:line="240" w:lineRule="auto"/>
      </w:pPr>
      <w:r w:rsidRPr="00DC1DE3">
        <w:t>Each letter must describe how the services proposed will differ from or enhance what already exists locally.</w:t>
      </w:r>
    </w:p>
    <w:p w14:paraId="554B4459" w14:textId="77777777" w:rsidR="008544AA" w:rsidRPr="00DC1DE3" w:rsidRDefault="008544AA" w:rsidP="00E42B12">
      <w:pPr>
        <w:pStyle w:val="ListParagraph"/>
        <w:spacing w:after="120" w:line="240" w:lineRule="auto"/>
      </w:pPr>
      <w:r w:rsidRPr="00DC1DE3">
        <w:t>Each letter must be signed by an authorized signatory representative of the partner agency, complete with the contact’s name, title, and telephone number.</w:t>
      </w:r>
    </w:p>
    <w:p w14:paraId="4389DE67" w14:textId="455648BD" w:rsidR="008544AA" w:rsidRPr="005B220D" w:rsidRDefault="008544AA" w:rsidP="005B220D">
      <w:pPr>
        <w:pStyle w:val="ListParagraph"/>
      </w:pPr>
      <w:r w:rsidRPr="005B220D">
        <w:t xml:space="preserve">Each letter must be dated within the grant competition period between </w:t>
      </w:r>
      <w:bookmarkStart w:id="190" w:name="_Hlk157435527"/>
      <w:r w:rsidR="003E66B0">
        <w:t xml:space="preserve">January </w:t>
      </w:r>
      <w:r w:rsidR="003E66B0" w:rsidRPr="003E66B0">
        <w:t>5</w:t>
      </w:r>
      <w:r w:rsidR="002A76BF" w:rsidRPr="003E66B0">
        <w:t>, 202</w:t>
      </w:r>
      <w:r w:rsidR="003E66B0" w:rsidRPr="003E66B0">
        <w:t>6</w:t>
      </w:r>
      <w:r w:rsidR="002A76BF" w:rsidRPr="003E66B0">
        <w:t xml:space="preserve">, and </w:t>
      </w:r>
      <w:r w:rsidR="003E66B0" w:rsidRPr="003E66B0">
        <w:t>Febr</w:t>
      </w:r>
      <w:r w:rsidR="005B220D" w:rsidRPr="003E66B0">
        <w:t xml:space="preserve">uary </w:t>
      </w:r>
      <w:r w:rsidR="003E66B0" w:rsidRPr="003E66B0">
        <w:t>3</w:t>
      </w:r>
      <w:r w:rsidR="002A76BF" w:rsidRPr="003E66B0">
        <w:t>, 202</w:t>
      </w:r>
      <w:r w:rsidR="005B220D" w:rsidRPr="003E66B0">
        <w:t>6</w:t>
      </w:r>
      <w:r w:rsidRPr="007D4702">
        <w:t xml:space="preserve"> </w:t>
      </w:r>
      <w:r w:rsidRPr="005B220D">
        <w:t>(SFP Release Date-Proposal Due Date).</w:t>
      </w:r>
    </w:p>
    <w:bookmarkEnd w:id="190"/>
    <w:p w14:paraId="183355D8" w14:textId="13B07D15" w:rsidR="008544AA" w:rsidRPr="00BC2D56" w:rsidRDefault="008544AA" w:rsidP="00BC2D56">
      <w:pPr>
        <w:pStyle w:val="ListParagraph"/>
      </w:pPr>
      <w:r w:rsidRPr="00BC2D56">
        <w:t>A</w:t>
      </w:r>
      <w:r w:rsidRPr="00DC1DE3">
        <w:t>ll Optional Commitment Letters must be submitted in one continuous Portal Data</w:t>
      </w:r>
      <w:r w:rsidR="005B220D">
        <w:t xml:space="preserve"> Format (PDF). Save</w:t>
      </w:r>
      <w:r w:rsidRPr="00DC1DE3">
        <w:t xml:space="preserve"> and submit this document according to the naming convention: </w:t>
      </w:r>
      <w:r w:rsidRPr="005B220D">
        <w:t>“</w:t>
      </w:r>
      <w:r w:rsidRPr="00BC2D56">
        <w:t xml:space="preserve">ABC </w:t>
      </w:r>
      <w:r w:rsidR="00944205" w:rsidRPr="00BC2D56">
        <w:t>E</w:t>
      </w:r>
      <w:r w:rsidR="00A15F37" w:rsidRPr="00BC2D56">
        <w:t>P</w:t>
      </w:r>
      <w:r w:rsidR="00944205" w:rsidRPr="00BC2D56">
        <w:t>TA</w:t>
      </w:r>
      <w:r w:rsidRPr="00BC2D56">
        <w:t xml:space="preserve"> PY </w:t>
      </w:r>
      <w:r w:rsidR="00944205" w:rsidRPr="00BC2D56">
        <w:t>25</w:t>
      </w:r>
      <w:r w:rsidR="006C33D7" w:rsidRPr="00BC2D56">
        <w:t>-</w:t>
      </w:r>
      <w:r w:rsidR="00944205" w:rsidRPr="00BC2D56">
        <w:t>26</w:t>
      </w:r>
      <w:r w:rsidRPr="00BC2D56">
        <w:t xml:space="preserve"> </w:t>
      </w:r>
      <w:proofErr w:type="spellStart"/>
      <w:r w:rsidRPr="00BC2D56">
        <w:t>ComLtr</w:t>
      </w:r>
      <w:proofErr w:type="spellEnd"/>
      <w:r w:rsidRPr="00BC2D56">
        <w:t>.”</w:t>
      </w:r>
    </w:p>
    <w:p w14:paraId="0470F0DA" w14:textId="6AA3BEA0" w:rsidR="008544AA" w:rsidRPr="00DC1DE3" w:rsidRDefault="008544AA" w:rsidP="00F470F1">
      <w:pPr>
        <w:pStyle w:val="Heading4"/>
      </w:pPr>
      <w:r w:rsidRPr="01476CFA">
        <w:rPr>
          <w:lang w:val="en-US"/>
        </w:rPr>
        <w:t>Partnership Agreement Letters</w:t>
      </w:r>
      <w:r w:rsidR="00882D8A" w:rsidRPr="01476CFA">
        <w:rPr>
          <w:lang w:val="en-US"/>
        </w:rPr>
        <w:t xml:space="preserve"> (</w:t>
      </w:r>
      <w:proofErr w:type="spellStart"/>
      <w:r w:rsidRPr="01476CFA">
        <w:rPr>
          <w:lang w:val="en-US"/>
        </w:rPr>
        <w:t>PartLtr</w:t>
      </w:r>
      <w:proofErr w:type="spellEnd"/>
      <w:r w:rsidR="00882D8A" w:rsidRPr="01476CFA">
        <w:rPr>
          <w:lang w:val="en-US"/>
        </w:rPr>
        <w:t>)</w:t>
      </w:r>
    </w:p>
    <w:p w14:paraId="7BD48334" w14:textId="245DF3E9" w:rsidR="008544AA" w:rsidRPr="00DC1DE3" w:rsidRDefault="008544AA" w:rsidP="00F470F1">
      <w:pPr>
        <w:pStyle w:val="BodyText"/>
      </w:pPr>
      <w:r w:rsidRPr="01476CFA">
        <w:rPr>
          <w:lang w:val="en-US"/>
        </w:rPr>
        <w:t xml:space="preserve">Applicants must submit Partnership Agreement Letters from partner(s) outlined in the proposal that clearly </w:t>
      </w:r>
      <w:r w:rsidR="00107205">
        <w:rPr>
          <w:lang w:val="en-US"/>
        </w:rPr>
        <w:t>identify</w:t>
      </w:r>
      <w:r w:rsidR="00107205" w:rsidRPr="01476CFA">
        <w:rPr>
          <w:lang w:val="en-US"/>
        </w:rPr>
        <w:t xml:space="preserve"> </w:t>
      </w:r>
      <w:r w:rsidRPr="01476CFA">
        <w:rPr>
          <w:lang w:val="en-US"/>
        </w:rPr>
        <w:t>the partner’s organization type. All letters must be submitted in one continuous PDF</w:t>
      </w:r>
      <w:r w:rsidR="00D112F0">
        <w:rPr>
          <w:lang w:val="en-US"/>
        </w:rPr>
        <w:t xml:space="preserve"> document</w:t>
      </w:r>
      <w:r w:rsidRPr="01476CFA">
        <w:rPr>
          <w:lang w:val="en-US"/>
        </w:rPr>
        <w:t xml:space="preserve">. </w:t>
      </w:r>
      <w:bookmarkStart w:id="191" w:name="_Hlk159109421"/>
      <w:r w:rsidRPr="01476CFA">
        <w:rPr>
          <w:lang w:val="en-US"/>
        </w:rPr>
        <w:t xml:space="preserve">Save and submit this document according to the naming convention: </w:t>
      </w:r>
      <w:r w:rsidRPr="00D112F0">
        <w:rPr>
          <w:lang w:val="en-US"/>
        </w:rPr>
        <w:t>“</w:t>
      </w:r>
      <w:r w:rsidR="00371A69" w:rsidRPr="00D112F0">
        <w:rPr>
          <w:lang w:val="en-US"/>
        </w:rPr>
        <w:t>ABC</w:t>
      </w:r>
      <w:r w:rsidRPr="00D112F0">
        <w:rPr>
          <w:lang w:val="en-US"/>
        </w:rPr>
        <w:t xml:space="preserve"> </w:t>
      </w:r>
      <w:r w:rsidR="00944205" w:rsidRPr="00D112F0">
        <w:rPr>
          <w:lang w:val="en-US"/>
        </w:rPr>
        <w:t>E</w:t>
      </w:r>
      <w:r w:rsidR="00A15F37" w:rsidRPr="00D112F0">
        <w:rPr>
          <w:lang w:val="en-US"/>
        </w:rPr>
        <w:t>P</w:t>
      </w:r>
      <w:r w:rsidR="00944205" w:rsidRPr="00D112F0">
        <w:rPr>
          <w:lang w:val="en-US"/>
        </w:rPr>
        <w:t>TA</w:t>
      </w:r>
      <w:r w:rsidRPr="00D112F0">
        <w:rPr>
          <w:lang w:val="en-US"/>
        </w:rPr>
        <w:t xml:space="preserve"> PY </w:t>
      </w:r>
      <w:r w:rsidR="00944205" w:rsidRPr="00D112F0">
        <w:rPr>
          <w:lang w:val="en-US"/>
        </w:rPr>
        <w:t>25</w:t>
      </w:r>
      <w:r w:rsidR="006C33D7" w:rsidRPr="00D112F0">
        <w:rPr>
          <w:lang w:val="en-US"/>
        </w:rPr>
        <w:t>-</w:t>
      </w:r>
      <w:r w:rsidR="00944205" w:rsidRPr="00D112F0">
        <w:rPr>
          <w:lang w:val="en-US"/>
        </w:rPr>
        <w:t>26</w:t>
      </w:r>
      <w:r w:rsidRPr="00D112F0">
        <w:rPr>
          <w:lang w:val="en-US"/>
        </w:rPr>
        <w:t xml:space="preserve"> </w:t>
      </w:r>
      <w:proofErr w:type="spellStart"/>
      <w:r w:rsidRPr="00D112F0">
        <w:rPr>
          <w:lang w:val="en-US"/>
        </w:rPr>
        <w:t>PartLtr</w:t>
      </w:r>
      <w:proofErr w:type="spellEnd"/>
      <w:r w:rsidR="000A1F52" w:rsidRPr="00D112F0">
        <w:rPr>
          <w:lang w:val="en-US"/>
        </w:rPr>
        <w:t>.</w:t>
      </w:r>
      <w:r w:rsidRPr="00D112F0">
        <w:rPr>
          <w:lang w:val="en-US"/>
        </w:rPr>
        <w:t>”</w:t>
      </w:r>
    </w:p>
    <w:bookmarkEnd w:id="191"/>
    <w:p w14:paraId="634C44B9" w14:textId="0260B8AD" w:rsidR="008544AA" w:rsidRPr="00DC1DE3" w:rsidRDefault="008544AA" w:rsidP="00F470F1">
      <w:pPr>
        <w:pStyle w:val="BodyText"/>
      </w:pPr>
      <w:r w:rsidRPr="00DC1DE3">
        <w:t>Ensure that each Partnership Agreement Letter meets the following criteria:</w:t>
      </w:r>
    </w:p>
    <w:p w14:paraId="7FF555CE" w14:textId="77777777" w:rsidR="008544AA" w:rsidRPr="00DC1DE3" w:rsidRDefault="008544AA" w:rsidP="00E42B12">
      <w:pPr>
        <w:pStyle w:val="ListParagraph"/>
        <w:spacing w:after="120" w:line="240" w:lineRule="auto"/>
      </w:pPr>
      <w:r w:rsidRPr="00DC1DE3">
        <w:t>Each letter must identify each partner’s organization type.</w:t>
      </w:r>
    </w:p>
    <w:p w14:paraId="01E9AF8F" w14:textId="77777777" w:rsidR="008544AA" w:rsidRPr="00DC1DE3" w:rsidRDefault="008544AA" w:rsidP="00E42B12">
      <w:pPr>
        <w:pStyle w:val="ListParagraph"/>
        <w:spacing w:after="120" w:line="240" w:lineRule="auto"/>
      </w:pPr>
      <w:r w:rsidRPr="00DC1DE3">
        <w:t>Each letter must describe in detail each partner's specific roles and responsibilities.</w:t>
      </w:r>
    </w:p>
    <w:p w14:paraId="7D00ADD4" w14:textId="77777777" w:rsidR="008544AA" w:rsidRPr="00DC1DE3" w:rsidRDefault="008544AA" w:rsidP="00E42B12">
      <w:pPr>
        <w:pStyle w:val="ListParagraph"/>
        <w:spacing w:after="120" w:line="240" w:lineRule="auto"/>
      </w:pPr>
      <w:r w:rsidRPr="00DC1DE3">
        <w:t>Each letter must explain how the proposed services will differ from what already exists locally.</w:t>
      </w:r>
    </w:p>
    <w:p w14:paraId="1E1996A8" w14:textId="77777777" w:rsidR="008544AA" w:rsidRPr="00DC1DE3" w:rsidRDefault="008544AA" w:rsidP="00E42B12">
      <w:pPr>
        <w:pStyle w:val="ListParagraph"/>
        <w:spacing w:after="120" w:line="240" w:lineRule="auto"/>
      </w:pPr>
      <w:r w:rsidRPr="00DC1DE3">
        <w:t>Each letter must describe the extent of the partnership and its anticipated outcomes.</w:t>
      </w:r>
    </w:p>
    <w:p w14:paraId="56B56028" w14:textId="77777777" w:rsidR="008544AA" w:rsidRPr="00DC1DE3" w:rsidRDefault="008544AA" w:rsidP="00E42B12">
      <w:pPr>
        <w:pStyle w:val="ListParagraph"/>
        <w:spacing w:after="120" w:line="240" w:lineRule="auto"/>
        <w:rPr>
          <w:rFonts w:eastAsia="Calibri" w:cstheme="minorHAnsi"/>
        </w:rPr>
      </w:pPr>
      <w:r w:rsidRPr="00DC1DE3">
        <w:rPr>
          <w:rFonts w:eastAsia="Calibri" w:cstheme="minorHAnsi"/>
        </w:rPr>
        <w:t>Each letter must provide an agency contact person and telephone number.</w:t>
      </w:r>
    </w:p>
    <w:p w14:paraId="0736B00F" w14:textId="787D4CC4" w:rsidR="008544AA" w:rsidRPr="00952FC8" w:rsidRDefault="008544AA" w:rsidP="00952FC8">
      <w:pPr>
        <w:pStyle w:val="ListParagraph"/>
      </w:pPr>
      <w:r w:rsidRPr="00952FC8">
        <w:t xml:space="preserve">Each letter must be dated within the grant competition period between </w:t>
      </w:r>
      <w:bookmarkStart w:id="192" w:name="_Hlk207970161"/>
      <w:r w:rsidR="003E66B0">
        <w:t>January 5</w:t>
      </w:r>
      <w:r w:rsidR="002A76BF" w:rsidRPr="007D4702">
        <w:t>, 202</w:t>
      </w:r>
      <w:r w:rsidR="003E66B0">
        <w:t>6</w:t>
      </w:r>
      <w:r w:rsidR="002A76BF" w:rsidRPr="007D4702">
        <w:t xml:space="preserve">, and </w:t>
      </w:r>
      <w:r w:rsidR="003E66B0">
        <w:t>Febr</w:t>
      </w:r>
      <w:r w:rsidR="00952FC8" w:rsidRPr="007D4702">
        <w:t xml:space="preserve">uary </w:t>
      </w:r>
      <w:r w:rsidR="003E66B0">
        <w:t>3</w:t>
      </w:r>
      <w:r w:rsidR="002A76BF" w:rsidRPr="007D4702">
        <w:t>, 202</w:t>
      </w:r>
      <w:bookmarkEnd w:id="192"/>
      <w:r w:rsidR="00952FC8" w:rsidRPr="007D4702">
        <w:t>6</w:t>
      </w:r>
      <w:r w:rsidR="000A1F52" w:rsidRPr="007D4702">
        <w:t>.</w:t>
      </w:r>
      <w:r w:rsidRPr="00952FC8">
        <w:t xml:space="preserve"> </w:t>
      </w:r>
      <w:r w:rsidRPr="00952FC8">
        <w:rPr>
          <w:i/>
          <w:iCs/>
        </w:rPr>
        <w:t>(</w:t>
      </w:r>
      <w:r w:rsidRPr="003E66B0">
        <w:t>SFP Release Date-Proposal Due Date</w:t>
      </w:r>
      <w:r w:rsidRPr="00952FC8">
        <w:rPr>
          <w:i/>
          <w:iCs/>
        </w:rPr>
        <w:t>)</w:t>
      </w:r>
    </w:p>
    <w:p w14:paraId="580CD48A" w14:textId="77777777" w:rsidR="008544AA" w:rsidRPr="00DC1DE3" w:rsidRDefault="008544AA" w:rsidP="00086CF0">
      <w:pPr>
        <w:pStyle w:val="ListParagraph"/>
        <w:numPr>
          <w:ilvl w:val="0"/>
          <w:numId w:val="2"/>
        </w:numPr>
        <w:spacing w:after="240" w:line="240" w:lineRule="auto"/>
      </w:pPr>
      <w:r w:rsidRPr="00DC1DE3">
        <w:t>Each letter must be signed by an authorized signatory representative of the partner agency, complete with their contact’s name, title, and telephone number.</w:t>
      </w:r>
    </w:p>
    <w:p w14:paraId="367F46F3" w14:textId="30742413" w:rsidR="008544AA" w:rsidRPr="00DC1DE3" w:rsidRDefault="008544AA" w:rsidP="00F470F1">
      <w:pPr>
        <w:pStyle w:val="BodyText"/>
      </w:pPr>
      <w:r w:rsidRPr="01476CFA">
        <w:rPr>
          <w:lang w:val="en-US"/>
        </w:rPr>
        <w:t xml:space="preserve">Applications that do not </w:t>
      </w:r>
      <w:r w:rsidR="00952FC8">
        <w:rPr>
          <w:lang w:val="en-US"/>
        </w:rPr>
        <w:t xml:space="preserve">include an </w:t>
      </w:r>
      <w:r w:rsidRPr="01476CFA">
        <w:rPr>
          <w:lang w:val="en-US"/>
        </w:rPr>
        <w:t>attach</w:t>
      </w:r>
      <w:r w:rsidR="00952FC8">
        <w:rPr>
          <w:lang w:val="en-US"/>
        </w:rPr>
        <w:t>ed</w:t>
      </w:r>
      <w:r w:rsidRPr="01476CFA">
        <w:rPr>
          <w:lang w:val="en-US"/>
        </w:rPr>
        <w:t xml:space="preserve"> Partnership Agreement Letter from each partner outlined in the proposal will be deemed non-responsive. The applicant must provide their Partnership Agreement Letter and follow the format indicated in the instructions above.</w:t>
      </w:r>
    </w:p>
    <w:p w14:paraId="45A84636" w14:textId="44D1B988" w:rsidR="008544AA" w:rsidRPr="00DC1DE3" w:rsidRDefault="008544AA" w:rsidP="00F470F1">
      <w:pPr>
        <w:pStyle w:val="Heading4"/>
      </w:pPr>
      <w:r w:rsidRPr="00DC1DE3">
        <w:t>Indirect Cost Declaration</w:t>
      </w:r>
      <w:r w:rsidR="00882D8A">
        <w:t xml:space="preserve"> (</w:t>
      </w:r>
      <w:r w:rsidRPr="00DC1DE3">
        <w:t>ICD</w:t>
      </w:r>
      <w:r w:rsidR="00882D8A">
        <w:t>)</w:t>
      </w:r>
    </w:p>
    <w:p w14:paraId="639A5244" w14:textId="22D03979" w:rsidR="008544AA" w:rsidRPr="00DC1DE3" w:rsidRDefault="008544AA" w:rsidP="00F470F1">
      <w:pPr>
        <w:pStyle w:val="BodyText"/>
      </w:pPr>
      <w:bookmarkStart w:id="193" w:name="_Hlk159102206"/>
      <w:r w:rsidRPr="01476CFA">
        <w:rPr>
          <w:lang w:val="en-US"/>
        </w:rPr>
        <w:t xml:space="preserve">The Indirect Cost Declaration must be completed to indicate if an organization is going to claim indirect costs </w:t>
      </w:r>
      <w:r w:rsidR="004E020B" w:rsidRPr="01476CFA">
        <w:rPr>
          <w:lang w:val="en-US"/>
        </w:rPr>
        <w:t>for</w:t>
      </w:r>
      <w:r w:rsidRPr="01476CFA">
        <w:rPr>
          <w:lang w:val="en-US"/>
        </w:rPr>
        <w:t xml:space="preserve"> this WIOA Title I program and, if so, which indirect cost method will be used:</w:t>
      </w:r>
    </w:p>
    <w:bookmarkEnd w:id="193"/>
    <w:p w14:paraId="3252F3F0" w14:textId="2F88A75E" w:rsidR="008544AA" w:rsidRPr="00882D8A" w:rsidRDefault="008544AA" w:rsidP="00F470F1">
      <w:pPr>
        <w:pStyle w:val="ListParagraph"/>
      </w:pPr>
      <w:r w:rsidRPr="00882D8A">
        <w:lastRenderedPageBreak/>
        <w:t>Indirect Cost Rate Agreement (ICRA) - Attach ICRA and indirect cost certification letter</w:t>
      </w:r>
      <w:r w:rsidR="000A1F52">
        <w:t>.</w:t>
      </w:r>
    </w:p>
    <w:p w14:paraId="336513FB" w14:textId="05EFA1EB" w:rsidR="008544AA" w:rsidRPr="00882D8A" w:rsidRDefault="008544AA" w:rsidP="00F470F1">
      <w:pPr>
        <w:pStyle w:val="ListParagraph"/>
      </w:pPr>
      <w:r w:rsidRPr="00882D8A">
        <w:t>Cost Allocation Plan (CAP) - Attach CAP and certification letter</w:t>
      </w:r>
      <w:r w:rsidR="000A1F52">
        <w:t>.</w:t>
      </w:r>
    </w:p>
    <w:p w14:paraId="47BC5D33" w14:textId="5202E23A" w:rsidR="008544AA" w:rsidRPr="00882D8A" w:rsidRDefault="008544AA" w:rsidP="00882D8A">
      <w:pPr>
        <w:pStyle w:val="ListParagraph"/>
      </w:pPr>
      <w:r w:rsidRPr="00882D8A">
        <w:t>De Minimis Rate (check only if you do not receive more than $35 million annually in direct federal funds, and you do not have a currently approved ICRA)</w:t>
      </w:r>
      <w:r w:rsidR="000A1F52">
        <w:t>.</w:t>
      </w:r>
    </w:p>
    <w:p w14:paraId="20503F47" w14:textId="682632E6" w:rsidR="008544AA" w:rsidRPr="00882D8A" w:rsidRDefault="008544AA" w:rsidP="00F470F1">
      <w:pPr>
        <w:pStyle w:val="ListParagraph"/>
      </w:pPr>
      <w:r w:rsidRPr="00882D8A">
        <w:t xml:space="preserve">An ICR approved by the Employment Development Department - Attach </w:t>
      </w:r>
      <w:r w:rsidR="005323E4">
        <w:t xml:space="preserve">the </w:t>
      </w:r>
      <w:r w:rsidRPr="00882D8A">
        <w:t>ICR proposal and indirect cost certification letter</w:t>
      </w:r>
      <w:r w:rsidR="000A1F52">
        <w:t>.</w:t>
      </w:r>
    </w:p>
    <w:p w14:paraId="419840CA" w14:textId="6D6327DA" w:rsidR="008544AA" w:rsidRPr="00DC1DE3" w:rsidRDefault="008544AA" w:rsidP="00F470F1">
      <w:pPr>
        <w:pStyle w:val="BodyText"/>
      </w:pPr>
      <w:r w:rsidRPr="01476CFA">
        <w:rPr>
          <w:lang w:val="en-US"/>
        </w:rPr>
        <w:t>The applicant must complete the Word version provided in the SFP</w:t>
      </w:r>
      <w:r w:rsidR="003F6810">
        <w:rPr>
          <w:lang w:val="en-US"/>
        </w:rPr>
        <w:t>,</w:t>
      </w:r>
      <w:r w:rsidRPr="01476CFA">
        <w:rPr>
          <w:lang w:val="en-US"/>
        </w:rPr>
        <w:t xml:space="preserve"> and </w:t>
      </w:r>
      <w:r w:rsidR="003F6810">
        <w:rPr>
          <w:lang w:val="en-US"/>
        </w:rPr>
        <w:t xml:space="preserve">it must be </w:t>
      </w:r>
      <w:r w:rsidRPr="01476CFA">
        <w:rPr>
          <w:lang w:val="en-US"/>
        </w:rPr>
        <w:t>sign</w:t>
      </w:r>
      <w:r w:rsidR="003F6810">
        <w:rPr>
          <w:lang w:val="en-US"/>
        </w:rPr>
        <w:t>ed</w:t>
      </w:r>
      <w:r w:rsidRPr="01476CFA">
        <w:rPr>
          <w:lang w:val="en-US"/>
        </w:rPr>
        <w:t xml:space="preserve"> by the authorized signatory. </w:t>
      </w:r>
      <w:r w:rsidRPr="003F6810">
        <w:rPr>
          <w:lang w:val="en-US"/>
        </w:rPr>
        <w:t xml:space="preserve">Save and submit this document according to the naming convention: </w:t>
      </w:r>
      <w:r w:rsidRPr="00544317">
        <w:rPr>
          <w:lang w:val="en-US"/>
        </w:rPr>
        <w:t>“</w:t>
      </w:r>
      <w:r w:rsidR="00371A69" w:rsidRPr="00544317">
        <w:rPr>
          <w:lang w:val="en-US"/>
        </w:rPr>
        <w:t>ABC</w:t>
      </w:r>
      <w:r w:rsidRPr="00544317">
        <w:rPr>
          <w:lang w:val="en-US"/>
        </w:rPr>
        <w:t xml:space="preserve"> </w:t>
      </w:r>
      <w:r w:rsidR="0007435F" w:rsidRPr="00544317">
        <w:rPr>
          <w:lang w:val="en-US"/>
        </w:rPr>
        <w:t>E</w:t>
      </w:r>
      <w:r w:rsidR="00986380" w:rsidRPr="00544317">
        <w:rPr>
          <w:lang w:val="en-US"/>
        </w:rPr>
        <w:t>P</w:t>
      </w:r>
      <w:r w:rsidR="0007435F" w:rsidRPr="00544317">
        <w:rPr>
          <w:lang w:val="en-US"/>
        </w:rPr>
        <w:t>TA</w:t>
      </w:r>
      <w:r w:rsidRPr="00544317">
        <w:rPr>
          <w:lang w:val="en-US"/>
        </w:rPr>
        <w:t xml:space="preserve"> PY </w:t>
      </w:r>
      <w:r w:rsidR="0007435F" w:rsidRPr="00544317">
        <w:rPr>
          <w:lang w:val="en-US"/>
        </w:rPr>
        <w:t>25</w:t>
      </w:r>
      <w:r w:rsidR="006C33D7" w:rsidRPr="00544317">
        <w:rPr>
          <w:lang w:val="en-US"/>
        </w:rPr>
        <w:t>-</w:t>
      </w:r>
      <w:r w:rsidR="0007435F" w:rsidRPr="00544317">
        <w:rPr>
          <w:lang w:val="en-US"/>
        </w:rPr>
        <w:t>26</w:t>
      </w:r>
      <w:r w:rsidRPr="00544317">
        <w:rPr>
          <w:lang w:val="en-US"/>
        </w:rPr>
        <w:t xml:space="preserve"> ICD</w:t>
      </w:r>
      <w:r w:rsidR="000A1F52" w:rsidRPr="00544317">
        <w:rPr>
          <w:lang w:val="en-US"/>
        </w:rPr>
        <w:t>.”</w:t>
      </w:r>
    </w:p>
    <w:p w14:paraId="08FA4F7E" w14:textId="4E5FE47E" w:rsidR="008544AA" w:rsidRPr="00DC1DE3" w:rsidRDefault="008544AA" w:rsidP="00F470F1">
      <w:pPr>
        <w:pStyle w:val="BodyText"/>
      </w:pPr>
      <w:r w:rsidRPr="01476CFA">
        <w:rPr>
          <w:b/>
          <w:bCs/>
          <w:lang w:val="en-US"/>
        </w:rPr>
        <w:t>Please note:</w:t>
      </w:r>
      <w:r w:rsidRPr="01476CFA">
        <w:rPr>
          <w:lang w:val="en-US"/>
        </w:rPr>
        <w:t xml:space="preserve"> If an applicant indicates that they are using an ICRA or CAP, they must include the ICRA approved by the Cognizant/Approving Agency</w:t>
      </w:r>
      <w:r w:rsidR="003F6810">
        <w:rPr>
          <w:lang w:val="en-US"/>
        </w:rPr>
        <w:t>,</w:t>
      </w:r>
      <w:r w:rsidRPr="01476CFA">
        <w:rPr>
          <w:lang w:val="en-US"/>
        </w:rPr>
        <w:t xml:space="preserve"> OR attach a Cost Allocation Plan with a certification letter. </w:t>
      </w:r>
      <w:r w:rsidRPr="003F6810">
        <w:rPr>
          <w:lang w:val="en-US"/>
        </w:rPr>
        <w:t xml:space="preserve">Save and submit this document according to the naming convention: </w:t>
      </w:r>
      <w:r w:rsidRPr="00DC4038">
        <w:rPr>
          <w:lang w:val="en-US"/>
        </w:rPr>
        <w:t>“</w:t>
      </w:r>
      <w:r w:rsidR="00371A69" w:rsidRPr="00DC4038">
        <w:rPr>
          <w:lang w:val="en-US"/>
        </w:rPr>
        <w:t>ABC</w:t>
      </w:r>
      <w:r w:rsidRPr="00DC4038">
        <w:rPr>
          <w:lang w:val="en-US"/>
        </w:rPr>
        <w:t xml:space="preserve"> </w:t>
      </w:r>
      <w:r w:rsidR="0007435F" w:rsidRPr="00DC4038">
        <w:rPr>
          <w:lang w:val="en-US"/>
        </w:rPr>
        <w:t>E</w:t>
      </w:r>
      <w:r w:rsidR="00986380" w:rsidRPr="00DC4038">
        <w:rPr>
          <w:lang w:val="en-US"/>
        </w:rPr>
        <w:t>P</w:t>
      </w:r>
      <w:r w:rsidR="0007435F" w:rsidRPr="00DC4038">
        <w:rPr>
          <w:lang w:val="en-US"/>
        </w:rPr>
        <w:t>TA</w:t>
      </w:r>
      <w:r w:rsidRPr="00DC4038">
        <w:rPr>
          <w:lang w:val="en-US"/>
        </w:rPr>
        <w:t xml:space="preserve"> PY </w:t>
      </w:r>
      <w:r w:rsidR="0007435F" w:rsidRPr="00DC4038">
        <w:rPr>
          <w:lang w:val="en-US"/>
        </w:rPr>
        <w:t>25</w:t>
      </w:r>
      <w:r w:rsidR="006C33D7" w:rsidRPr="00DC4038">
        <w:rPr>
          <w:lang w:val="en-US"/>
        </w:rPr>
        <w:t>-</w:t>
      </w:r>
      <w:r w:rsidR="0007435F" w:rsidRPr="00DC4038">
        <w:rPr>
          <w:lang w:val="en-US"/>
        </w:rPr>
        <w:t>26</w:t>
      </w:r>
      <w:r w:rsidRPr="00DC4038">
        <w:rPr>
          <w:lang w:val="en-US"/>
        </w:rPr>
        <w:t xml:space="preserve"> ICRA</w:t>
      </w:r>
      <w:r w:rsidR="00C019A9" w:rsidRPr="00DC4038">
        <w:rPr>
          <w:lang w:val="en-US"/>
        </w:rPr>
        <w:t xml:space="preserve"> or CAP</w:t>
      </w:r>
      <w:r w:rsidR="000A1F52" w:rsidRPr="00DC4038">
        <w:rPr>
          <w:lang w:val="en-US"/>
        </w:rPr>
        <w:t>.</w:t>
      </w:r>
      <w:r w:rsidRPr="00DC4038">
        <w:rPr>
          <w:lang w:val="en-US"/>
        </w:rPr>
        <w:t>”</w:t>
      </w:r>
    </w:p>
    <w:p w14:paraId="05C83A8B" w14:textId="77777777" w:rsidR="008544AA" w:rsidRPr="00DC1DE3" w:rsidRDefault="008544AA" w:rsidP="00F470F1">
      <w:pPr>
        <w:pStyle w:val="BodyText"/>
        <w:rPr>
          <w:b/>
        </w:rPr>
      </w:pPr>
      <w:bookmarkStart w:id="194" w:name="_Hlk160111396"/>
      <w:r w:rsidRPr="00DC1DE3">
        <w:rPr>
          <w:b/>
        </w:rPr>
        <w:t>Reminder of the Submission Guidelines</w:t>
      </w:r>
    </w:p>
    <w:p w14:paraId="6D7A8896" w14:textId="62A766D1" w:rsidR="008544AA" w:rsidRPr="00DC1DE3" w:rsidRDefault="008544AA" w:rsidP="00E42B12">
      <w:pPr>
        <w:pStyle w:val="BodyText"/>
      </w:pPr>
      <w:r w:rsidRPr="00DC1DE3">
        <w:t>Complete only the required information in the exhibits. Submit all exhibits and attachments with the following naming convention</w:t>
      </w:r>
      <w:r w:rsidR="005323E4" w:rsidRPr="00C019A9">
        <w:t>:</w:t>
      </w:r>
      <w:r w:rsidRPr="00C019A9">
        <w:t xml:space="preserve"> “[Applicant’s Three Digit Initialism</w:t>
      </w:r>
      <w:r w:rsidRPr="00DC4038">
        <w:t xml:space="preserve">] </w:t>
      </w:r>
      <w:r w:rsidR="0007435F" w:rsidRPr="00DC4038">
        <w:t>E</w:t>
      </w:r>
      <w:r w:rsidR="00D70AA6" w:rsidRPr="00DC4038">
        <w:t>P</w:t>
      </w:r>
      <w:r w:rsidR="0007435F" w:rsidRPr="00DC4038">
        <w:t xml:space="preserve">TA </w:t>
      </w:r>
      <w:r w:rsidRPr="00DC4038">
        <w:t xml:space="preserve">PY </w:t>
      </w:r>
      <w:r w:rsidR="0007435F" w:rsidRPr="00DC4038">
        <w:t>25</w:t>
      </w:r>
      <w:r w:rsidRPr="00DC4038">
        <w:t>-</w:t>
      </w:r>
      <w:r w:rsidR="0007435F" w:rsidRPr="00DC4038">
        <w:t>26</w:t>
      </w:r>
      <w:r w:rsidRPr="00DC4038">
        <w:t xml:space="preserve"> </w:t>
      </w:r>
      <w:r w:rsidRPr="00C019A9">
        <w:t xml:space="preserve">[Exhibit or Attachment Initialism].” For example, </w:t>
      </w:r>
      <w:r w:rsidRPr="004A10F0">
        <w:t>“</w:t>
      </w:r>
      <w:r w:rsidR="00371A69" w:rsidRPr="00DC4038">
        <w:t>ABC</w:t>
      </w:r>
      <w:r w:rsidRPr="00DC4038">
        <w:t xml:space="preserve"> </w:t>
      </w:r>
      <w:r w:rsidR="0007435F" w:rsidRPr="00DC4038">
        <w:t>E</w:t>
      </w:r>
      <w:r w:rsidR="00D70AA6" w:rsidRPr="00DC4038">
        <w:t>P</w:t>
      </w:r>
      <w:r w:rsidR="0007435F" w:rsidRPr="00DC4038">
        <w:t>TA</w:t>
      </w:r>
      <w:r w:rsidRPr="00DC4038">
        <w:t xml:space="preserve"> PY </w:t>
      </w:r>
      <w:r w:rsidR="0007435F" w:rsidRPr="00DC4038">
        <w:t>25</w:t>
      </w:r>
      <w:r w:rsidR="006C33D7" w:rsidRPr="00DC4038">
        <w:t>-</w:t>
      </w:r>
      <w:r w:rsidR="0007435F" w:rsidRPr="00DC4038">
        <w:t>26</w:t>
      </w:r>
      <w:r w:rsidRPr="00DC4038">
        <w:t xml:space="preserve"> </w:t>
      </w:r>
      <w:proofErr w:type="spellStart"/>
      <w:r w:rsidRPr="00DC4038">
        <w:t>ExF</w:t>
      </w:r>
      <w:proofErr w:type="spellEnd"/>
      <w:r w:rsidRPr="00DC4038">
        <w:t>” for Exhibit F.</w:t>
      </w:r>
      <w:r w:rsidRPr="00DC1DE3">
        <w:t xml:space="preserve"> File names must not exceed 40 Characters. Exhibits must be completed accurately. Applications that do not include all the required documents and/or</w:t>
      </w:r>
      <w:r w:rsidR="006C33D7">
        <w:t xml:space="preserve"> are</w:t>
      </w:r>
      <w:r w:rsidRPr="00DC1DE3">
        <w:t xml:space="preserve"> submitted </w:t>
      </w:r>
      <w:r w:rsidRPr="0031616A">
        <w:t xml:space="preserve">after </w:t>
      </w:r>
      <w:r w:rsidR="002A76BF" w:rsidRPr="0031616A">
        <w:t xml:space="preserve">3 </w:t>
      </w:r>
      <w:r w:rsidRPr="0031616A">
        <w:t>p.m. P</w:t>
      </w:r>
      <w:r w:rsidR="00F85615" w:rsidRPr="0031616A">
        <w:t>S</w:t>
      </w:r>
      <w:r w:rsidRPr="0031616A">
        <w:t xml:space="preserve">T on </w:t>
      </w:r>
      <w:r w:rsidR="0017638E">
        <w:t>Febr</w:t>
      </w:r>
      <w:r w:rsidR="00C019A9" w:rsidRPr="0031616A">
        <w:t xml:space="preserve">uary </w:t>
      </w:r>
      <w:r w:rsidR="0017638E">
        <w:t>3</w:t>
      </w:r>
      <w:r w:rsidR="002A76BF" w:rsidRPr="0031616A">
        <w:t>, 202</w:t>
      </w:r>
      <w:r w:rsidR="00C019A9" w:rsidRPr="0031616A">
        <w:t>6</w:t>
      </w:r>
      <w:r w:rsidRPr="0031616A">
        <w:t>,</w:t>
      </w:r>
      <w:r w:rsidRPr="00DC1DE3">
        <w:t xml:space="preserve"> will be deemed non-responsive and automatically disqualified from being considered for funding.</w:t>
      </w:r>
    </w:p>
    <w:p w14:paraId="1CBB4FE5" w14:textId="041FDD0B" w:rsidR="008544AA" w:rsidRPr="00DC1DE3" w:rsidRDefault="008544AA" w:rsidP="00E42B12">
      <w:pPr>
        <w:pStyle w:val="BodyText"/>
      </w:pPr>
      <w:r w:rsidRPr="00DC1DE3">
        <w:rPr>
          <w:b/>
          <w:bCs/>
        </w:rPr>
        <w:t>Disclaimer:</w:t>
      </w:r>
      <w:r w:rsidRPr="00DC1DE3">
        <w:t xml:space="preserve"> The </w:t>
      </w:r>
      <w:r w:rsidR="00001AF4">
        <w:t>E</w:t>
      </w:r>
      <w:r w:rsidRPr="00DC1DE3">
        <w:t>xhibits have been updated for accessibility in compliance with the Americans with Disabilities Act.</w:t>
      </w:r>
    </w:p>
    <w:p w14:paraId="43C8D828" w14:textId="27B0D78D" w:rsidR="008544AA" w:rsidRPr="00DC1DE3" w:rsidRDefault="008544AA" w:rsidP="00E42B12">
      <w:pPr>
        <w:pStyle w:val="BodyText"/>
        <w:rPr>
          <w:i/>
          <w:iCs/>
        </w:rPr>
      </w:pPr>
      <w:bookmarkStart w:id="195" w:name="_Hlk161132213"/>
      <w:r w:rsidRPr="0031616A">
        <w:t>Refer to</w:t>
      </w:r>
      <w:r w:rsidR="0031616A">
        <w:t xml:space="preserve"> section</w:t>
      </w:r>
      <w:r w:rsidRPr="0031616A">
        <w:t xml:space="preserve"> </w:t>
      </w:r>
      <w:r w:rsidR="0031616A" w:rsidRPr="0031616A">
        <w:t>5</w:t>
      </w:r>
      <w:r w:rsidR="5E1818CA" w:rsidRPr="0031616A">
        <w:t>.B</w:t>
      </w:r>
      <w:r w:rsidRPr="0031616A">
        <w:rPr>
          <w:i/>
          <w:iCs/>
        </w:rPr>
        <w:t>. Submission Guidelines</w:t>
      </w:r>
      <w:r w:rsidRPr="0031616A">
        <w:t xml:space="preserve">, Figure </w:t>
      </w:r>
      <w:r w:rsidR="0031616A" w:rsidRPr="0031616A">
        <w:t>5</w:t>
      </w:r>
      <w:r w:rsidR="00CD76FB">
        <w:t>.</w:t>
      </w:r>
      <w:r w:rsidRPr="0031616A">
        <w:t xml:space="preserve">1: Document Submission Guidelines </w:t>
      </w:r>
      <w:r w:rsidR="00107205" w:rsidRPr="0031616A">
        <w:t xml:space="preserve">for </w:t>
      </w:r>
      <w:r w:rsidRPr="0031616A">
        <w:t xml:space="preserve">instructions on </w:t>
      </w:r>
      <w:r w:rsidR="00107205" w:rsidRPr="0031616A">
        <w:t>file</w:t>
      </w:r>
      <w:r w:rsidRPr="0031616A">
        <w:t xml:space="preserve"> submission.</w:t>
      </w:r>
    </w:p>
    <w:p w14:paraId="0B195AA4" w14:textId="77777777" w:rsidR="008544AA" w:rsidRPr="00DC1DE3" w:rsidRDefault="008544AA" w:rsidP="00F470F1">
      <w:pPr>
        <w:pStyle w:val="BodyText"/>
        <w:rPr>
          <w:rFonts w:eastAsia="Arial"/>
        </w:rPr>
      </w:pPr>
      <w:r w:rsidRPr="00DC1DE3">
        <w:br w:type="page"/>
      </w:r>
    </w:p>
    <w:p w14:paraId="66B6EC77" w14:textId="77777777" w:rsidR="008544AA" w:rsidRPr="00DC1DE3" w:rsidRDefault="008544AA" w:rsidP="00F470F1">
      <w:pPr>
        <w:pStyle w:val="Heading2"/>
        <w:numPr>
          <w:ilvl w:val="0"/>
          <w:numId w:val="0"/>
        </w:numPr>
        <w:rPr>
          <w:rFonts w:eastAsia="Arial"/>
          <w:lang w:val="en"/>
        </w:rPr>
      </w:pPr>
      <w:bookmarkStart w:id="196" w:name="_Toc167356449"/>
      <w:bookmarkStart w:id="197" w:name="_Toc167894692"/>
      <w:bookmarkEnd w:id="194"/>
      <w:bookmarkEnd w:id="195"/>
      <w:r w:rsidRPr="00DC1DE3">
        <w:rPr>
          <w:rFonts w:eastAsia="Arial"/>
          <w:lang w:val="en"/>
        </w:rPr>
        <w:lastRenderedPageBreak/>
        <w:t>Appendix B: WIOA Allowable Activities</w:t>
      </w:r>
      <w:bookmarkEnd w:id="188"/>
      <w:bookmarkEnd w:id="189"/>
      <w:bookmarkEnd w:id="196"/>
      <w:bookmarkEnd w:id="197"/>
    </w:p>
    <w:p w14:paraId="129A757D" w14:textId="0277FF4D" w:rsidR="008544AA" w:rsidRPr="00DC1DE3" w:rsidRDefault="008544AA" w:rsidP="00943164">
      <w:pPr>
        <w:pStyle w:val="BodyText"/>
      </w:pPr>
      <w:r w:rsidRPr="01476CFA">
        <w:rPr>
          <w:lang w:val="en-US"/>
        </w:rPr>
        <w:t xml:space="preserve">WIOA permits three career services: </w:t>
      </w:r>
      <w:r w:rsidR="00943164" w:rsidRPr="01476CFA">
        <w:rPr>
          <w:lang w:val="en-US"/>
        </w:rPr>
        <w:t>a</w:t>
      </w:r>
      <w:r w:rsidR="00882D8A" w:rsidRPr="01476CFA">
        <w:rPr>
          <w:lang w:val="en-US"/>
        </w:rPr>
        <w:t xml:space="preserve">) </w:t>
      </w:r>
      <w:r w:rsidRPr="01476CFA">
        <w:rPr>
          <w:lang w:val="en-US"/>
        </w:rPr>
        <w:t xml:space="preserve">basic career services, </w:t>
      </w:r>
      <w:r w:rsidR="00943164" w:rsidRPr="01476CFA">
        <w:rPr>
          <w:lang w:val="en-US"/>
        </w:rPr>
        <w:t>b</w:t>
      </w:r>
      <w:r w:rsidR="00882D8A" w:rsidRPr="01476CFA">
        <w:rPr>
          <w:lang w:val="en-US"/>
        </w:rPr>
        <w:t xml:space="preserve">) </w:t>
      </w:r>
      <w:r w:rsidRPr="01476CFA">
        <w:rPr>
          <w:lang w:val="en-US"/>
        </w:rPr>
        <w:t xml:space="preserve">individualized career services, and </w:t>
      </w:r>
      <w:r w:rsidR="00943164" w:rsidRPr="01476CFA">
        <w:rPr>
          <w:lang w:val="en-US"/>
        </w:rPr>
        <w:t>c</w:t>
      </w:r>
      <w:r w:rsidR="00882D8A" w:rsidRPr="01476CFA">
        <w:rPr>
          <w:lang w:val="en-US"/>
        </w:rPr>
        <w:t xml:space="preserve">) </w:t>
      </w:r>
      <w:r w:rsidRPr="01476CFA">
        <w:rPr>
          <w:lang w:val="en-US"/>
        </w:rPr>
        <w:t xml:space="preserve">follow-up services. </w:t>
      </w:r>
    </w:p>
    <w:p w14:paraId="0EC866D0" w14:textId="77777777" w:rsidR="008544AA" w:rsidRPr="00882D8A" w:rsidRDefault="008544AA" w:rsidP="00086CF0">
      <w:pPr>
        <w:pStyle w:val="Heading3"/>
        <w:numPr>
          <w:ilvl w:val="0"/>
          <w:numId w:val="14"/>
        </w:numPr>
      </w:pPr>
      <w:bookmarkStart w:id="198" w:name="_Toc167894693"/>
      <w:r w:rsidRPr="00882D8A">
        <w:t>Basic Career Services</w:t>
      </w:r>
      <w:bookmarkEnd w:id="198"/>
    </w:p>
    <w:p w14:paraId="391CEF23" w14:textId="64CA21AB" w:rsidR="008544AA" w:rsidRPr="00F470F1" w:rsidRDefault="008544AA" w:rsidP="00F470F1">
      <w:pPr>
        <w:pStyle w:val="ListParagraph"/>
      </w:pPr>
      <w:r w:rsidRPr="00F470F1">
        <w:t>Determinations of whether the individual is eligible to receive assistance from the adult, dislocated worker, or youth programs</w:t>
      </w:r>
      <w:r w:rsidR="00882D8A">
        <w:t>.</w:t>
      </w:r>
    </w:p>
    <w:p w14:paraId="24B4A0AA" w14:textId="1EBCF479" w:rsidR="008544AA" w:rsidRPr="00F470F1" w:rsidRDefault="008544AA" w:rsidP="00F470F1">
      <w:pPr>
        <w:pStyle w:val="ListParagraph"/>
      </w:pPr>
      <w:r w:rsidRPr="00F470F1">
        <w:t xml:space="preserve">Outreach, intake, and orientation to information and other services </w:t>
      </w:r>
      <w:r w:rsidR="004E020B" w:rsidRPr="00F470F1">
        <w:t>are available</w:t>
      </w:r>
      <w:r w:rsidRPr="00F470F1">
        <w:t xml:space="preserve"> through the one-stop delivery system</w:t>
      </w:r>
      <w:r w:rsidR="00882D8A">
        <w:t>.</w:t>
      </w:r>
    </w:p>
    <w:p w14:paraId="34286832" w14:textId="20B96B20" w:rsidR="008544AA" w:rsidRPr="00F470F1" w:rsidRDefault="008544AA" w:rsidP="00F470F1">
      <w:pPr>
        <w:pStyle w:val="ListParagraph"/>
      </w:pPr>
      <w:r w:rsidRPr="00F470F1">
        <w:t>Initial assessment of skill levels, including literacy, numeracy, and English language proficiency, as well as aptitudes, abilities (including skills gaps), and supportive service needs</w:t>
      </w:r>
      <w:r w:rsidR="00882D8A">
        <w:t>.</w:t>
      </w:r>
    </w:p>
    <w:p w14:paraId="54B5528C" w14:textId="77777777" w:rsidR="008544AA" w:rsidRPr="00F470F1" w:rsidRDefault="008544AA" w:rsidP="00F470F1">
      <w:pPr>
        <w:pStyle w:val="ListParagraph"/>
      </w:pPr>
      <w:r w:rsidRPr="00F470F1">
        <w:t>Job search, placement assistance, and career counseling, including the following:</w:t>
      </w:r>
    </w:p>
    <w:p w14:paraId="4B2C9F13"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09DF6A0E" w14:textId="106F2755" w:rsidR="008544AA" w:rsidRPr="00DC1DE3" w:rsidRDefault="008544AA" w:rsidP="00086CF0">
      <w:pPr>
        <w:pStyle w:val="ListParagraph"/>
        <w:numPr>
          <w:ilvl w:val="1"/>
          <w:numId w:val="4"/>
        </w:numPr>
        <w:rPr>
          <w:rFonts w:eastAsia="Arial"/>
          <w:lang w:val="en"/>
        </w:rPr>
      </w:pPr>
      <w:r w:rsidRPr="00DC1DE3">
        <w:rPr>
          <w:lang w:val="en"/>
        </w:rPr>
        <w:t>Information on in-demand industry sectors and occupations</w:t>
      </w:r>
      <w:r w:rsidR="00882D8A">
        <w:rPr>
          <w:lang w:val="en"/>
        </w:rPr>
        <w:t>.</w:t>
      </w:r>
    </w:p>
    <w:p w14:paraId="6C0EBE1C" w14:textId="7279C775" w:rsidR="008544AA" w:rsidRPr="00DC1DE3" w:rsidRDefault="008544AA" w:rsidP="00086CF0">
      <w:pPr>
        <w:pStyle w:val="ListParagraph"/>
        <w:numPr>
          <w:ilvl w:val="1"/>
          <w:numId w:val="4"/>
        </w:numPr>
        <w:rPr>
          <w:rFonts w:eastAsia="Arial"/>
          <w:lang w:val="en"/>
        </w:rPr>
      </w:pPr>
      <w:r w:rsidRPr="00DC1DE3">
        <w:rPr>
          <w:lang w:val="en"/>
        </w:rPr>
        <w:t>Information on nontraditional employment</w:t>
      </w:r>
      <w:r w:rsidR="00882D8A">
        <w:rPr>
          <w:lang w:val="en"/>
        </w:rPr>
        <w:t>.</w:t>
      </w:r>
    </w:p>
    <w:p w14:paraId="74DFA340" w14:textId="6A5EEEBB" w:rsidR="008544AA" w:rsidRPr="00DC1DE3" w:rsidRDefault="008544AA" w:rsidP="00086CF0">
      <w:pPr>
        <w:pStyle w:val="ListParagraph"/>
        <w:numPr>
          <w:ilvl w:val="1"/>
          <w:numId w:val="4"/>
        </w:numPr>
        <w:rPr>
          <w:rFonts w:eastAsia="Arial"/>
          <w:lang w:val="en"/>
        </w:rPr>
      </w:pPr>
      <w:r w:rsidRPr="00DC1DE3">
        <w:rPr>
          <w:lang w:val="en"/>
        </w:rPr>
        <w:t>Appropriate recruitment and other business services on behalf of employers, including information and referrals to specialized business services other than those traditionally offered through the one-stop delivery system</w:t>
      </w:r>
      <w:r w:rsidR="00882D8A">
        <w:rPr>
          <w:lang w:val="en"/>
        </w:rPr>
        <w:t>.</w:t>
      </w:r>
    </w:p>
    <w:p w14:paraId="4286B880"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4560CFDB" w14:textId="69323F20" w:rsidR="008544AA" w:rsidRPr="00DC1DE3" w:rsidRDefault="008544AA" w:rsidP="00F470F1">
      <w:pPr>
        <w:pStyle w:val="ListParagraph"/>
        <w:rPr>
          <w:lang w:val="en"/>
        </w:rPr>
      </w:pPr>
      <w:r w:rsidRPr="00DC1DE3">
        <w:rPr>
          <w:lang w:val="en"/>
        </w:rPr>
        <w:t>Provision of referrals to and coordination of activities with other programs and services, including programs and services within the one-stop delivery system and other workforce development programs</w:t>
      </w:r>
      <w:r w:rsidR="00882D8A">
        <w:rPr>
          <w:lang w:val="en"/>
        </w:rPr>
        <w:t>.</w:t>
      </w:r>
    </w:p>
    <w:p w14:paraId="23EAEC3D" w14:textId="77777777" w:rsidR="008544AA" w:rsidRPr="00DC1DE3" w:rsidRDefault="008544AA" w:rsidP="00F470F1">
      <w:pPr>
        <w:pStyle w:val="ListParagraph"/>
        <w:rPr>
          <w:lang w:val="en"/>
        </w:rPr>
      </w:pPr>
      <w:r w:rsidRPr="00DC1DE3">
        <w:rPr>
          <w:lang w:val="en"/>
        </w:rPr>
        <w:t>Provision of workforce and labor market employment data relating to local, regional, and national labor market areas, including the following:</w:t>
      </w:r>
    </w:p>
    <w:p w14:paraId="0675A8B2"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6AD5618B" w14:textId="5829D9C7" w:rsidR="008544AA" w:rsidRPr="00DC1DE3" w:rsidRDefault="00764B85" w:rsidP="00086CF0">
      <w:pPr>
        <w:pStyle w:val="ListParagraph"/>
        <w:numPr>
          <w:ilvl w:val="1"/>
          <w:numId w:val="4"/>
        </w:numPr>
        <w:rPr>
          <w:rFonts w:eastAsia="Arial"/>
          <w:lang w:val="en"/>
        </w:rPr>
      </w:pPr>
      <w:r>
        <w:rPr>
          <w:lang w:val="en"/>
        </w:rPr>
        <w:t>Vacant job</w:t>
      </w:r>
      <w:r w:rsidR="008544AA" w:rsidRPr="00DC1DE3">
        <w:rPr>
          <w:lang w:val="en"/>
        </w:rPr>
        <w:t xml:space="preserve"> listings in labor market areas</w:t>
      </w:r>
      <w:r w:rsidR="00882D8A">
        <w:rPr>
          <w:lang w:val="en"/>
        </w:rPr>
        <w:t>.</w:t>
      </w:r>
    </w:p>
    <w:p w14:paraId="43ED7EE9" w14:textId="376CE4C5" w:rsidR="008544AA" w:rsidRPr="00DC1DE3" w:rsidRDefault="008544AA" w:rsidP="00086CF0">
      <w:pPr>
        <w:pStyle w:val="ListParagraph"/>
        <w:numPr>
          <w:ilvl w:val="1"/>
          <w:numId w:val="4"/>
        </w:numPr>
        <w:rPr>
          <w:rFonts w:eastAsia="Arial"/>
          <w:lang w:val="en"/>
        </w:rPr>
      </w:pPr>
      <w:r w:rsidRPr="00DC1DE3">
        <w:rPr>
          <w:lang w:val="en"/>
        </w:rPr>
        <w:t xml:space="preserve">Information on </w:t>
      </w:r>
      <w:r w:rsidR="00764B85">
        <w:rPr>
          <w:lang w:val="en"/>
        </w:rPr>
        <w:t xml:space="preserve">the </w:t>
      </w:r>
      <w:r w:rsidRPr="00DC1DE3">
        <w:rPr>
          <w:lang w:val="en"/>
        </w:rPr>
        <w:t xml:space="preserve">job skills necessary to obtain the </w:t>
      </w:r>
      <w:r w:rsidR="00764B85" w:rsidRPr="00DC1DE3">
        <w:rPr>
          <w:lang w:val="en"/>
        </w:rPr>
        <w:t>listed vacant jobs</w:t>
      </w:r>
      <w:r w:rsidR="00882D8A">
        <w:rPr>
          <w:lang w:val="en"/>
        </w:rPr>
        <w:t>.</w:t>
      </w:r>
    </w:p>
    <w:p w14:paraId="41379B66" w14:textId="4BDFFEE9" w:rsidR="008544AA" w:rsidRPr="00DC1DE3" w:rsidRDefault="008544AA" w:rsidP="00086CF0">
      <w:pPr>
        <w:pStyle w:val="ListParagraph"/>
        <w:numPr>
          <w:ilvl w:val="1"/>
          <w:numId w:val="4"/>
        </w:numPr>
        <w:rPr>
          <w:rFonts w:eastAsia="Arial"/>
          <w:lang w:val="en"/>
        </w:rPr>
      </w:pPr>
      <w:r w:rsidRPr="00DC1DE3">
        <w:rPr>
          <w:lang w:val="en"/>
        </w:rPr>
        <w:t>Information relating to local, in-demand occupations, including earnings, skill requirements, and opportunities for advancement</w:t>
      </w:r>
      <w:r w:rsidR="00882D8A">
        <w:rPr>
          <w:lang w:val="en"/>
        </w:rPr>
        <w:t>.</w:t>
      </w:r>
    </w:p>
    <w:p w14:paraId="0D516EFA"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081B14E9" w14:textId="23CBADC3" w:rsidR="008544AA" w:rsidRPr="00DC1DE3" w:rsidRDefault="008544AA" w:rsidP="01476CFA">
      <w:pPr>
        <w:pStyle w:val="ListParagraph"/>
      </w:pPr>
      <w:r w:rsidRPr="01476CFA">
        <w:t xml:space="preserve">Provision of performance and program cost information </w:t>
      </w:r>
      <w:r w:rsidR="005323E4">
        <w:t>about</w:t>
      </w:r>
      <w:r w:rsidRPr="01476CFA">
        <w:t xml:space="preserve"> eligible providers of training services by program and type of providers</w:t>
      </w:r>
      <w:r w:rsidR="00882D8A" w:rsidRPr="01476CFA">
        <w:t>.</w:t>
      </w:r>
    </w:p>
    <w:p w14:paraId="54DE252A" w14:textId="5279D579" w:rsidR="008544AA" w:rsidRPr="00DC1DE3" w:rsidRDefault="008544AA" w:rsidP="01476CFA">
      <w:pPr>
        <w:pStyle w:val="ListParagraph"/>
      </w:pPr>
      <w:r w:rsidRPr="01476CFA">
        <w:lastRenderedPageBreak/>
        <w:t>Provision of information regarding the Local Area performance that specifies local performance accountability measures, as well as any additional performance information relating to the area’s one-stop delivery system</w:t>
      </w:r>
      <w:r w:rsidR="00882D8A" w:rsidRPr="01476CFA">
        <w:t>.</w:t>
      </w:r>
    </w:p>
    <w:p w14:paraId="087860A9" w14:textId="3FCF6EC9" w:rsidR="008544AA" w:rsidRPr="00DC1DE3" w:rsidRDefault="008544AA" w:rsidP="01476CFA">
      <w:pPr>
        <w:pStyle w:val="ListParagraph"/>
      </w:pPr>
      <w:r w:rsidRPr="01476CFA">
        <w:t xml:space="preserve">Provision of information relating to the availability of supportive services or assistance, including child care; child support; medical or child health assistance available through the State’s Medicaid program and Children’s Health Insurance Program; benefits under the </w:t>
      </w:r>
      <w:proofErr w:type="spellStart"/>
      <w:r w:rsidRPr="01476CFA">
        <w:t>CalFRESH</w:t>
      </w:r>
      <w:proofErr w:type="spellEnd"/>
      <w:r w:rsidRPr="01476CFA">
        <w:t xml:space="preserve"> Program— federally known as the Supplemental Nutrition Assistance Program (SNAP); assistance through the earned income tax credit; assistance, supportive services, and transportation through the Temporary Assistance for Needy Families (TANF) program</w:t>
      </w:r>
      <w:r w:rsidR="00882D8A" w:rsidRPr="01476CFA">
        <w:t>.</w:t>
      </w:r>
    </w:p>
    <w:p w14:paraId="43E0D831" w14:textId="3AAC8325" w:rsidR="008544AA" w:rsidRPr="00DC1DE3" w:rsidRDefault="008544AA" w:rsidP="01476CFA">
      <w:pPr>
        <w:pStyle w:val="ListParagraph"/>
      </w:pPr>
      <w:r w:rsidRPr="01476CFA">
        <w:t xml:space="preserve">Provision of information and assistance regarding filing claims for Unemployment Insurance (UI), by which the America’s Job Center of </w:t>
      </w:r>
      <w:proofErr w:type="spellStart"/>
      <w:r w:rsidRPr="01476CFA">
        <w:t>California</w:t>
      </w:r>
      <w:r w:rsidRPr="01476CFA">
        <w:rPr>
          <w:vertAlign w:val="superscript"/>
        </w:rPr>
        <w:t>SM</w:t>
      </w:r>
      <w:proofErr w:type="spellEnd"/>
      <w:r w:rsidRPr="01476CFA">
        <w:rPr>
          <w:vertAlign w:val="superscript"/>
        </w:rPr>
        <w:t xml:space="preserve"> </w:t>
      </w:r>
      <w:r w:rsidRPr="01476CFA">
        <w:t>(AJCC) must provide “meaningful assistance” to individuals seeking assistance in filing a UI claim. The term “meaningful assistance” means the following:</w:t>
      </w:r>
    </w:p>
    <w:p w14:paraId="23D29B55"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619DC2F3" w14:textId="7ACE5C11" w:rsidR="008544AA" w:rsidRPr="00DC1DE3" w:rsidRDefault="008544AA" w:rsidP="00086CF0">
      <w:pPr>
        <w:pStyle w:val="ListParagraph"/>
        <w:numPr>
          <w:ilvl w:val="1"/>
          <w:numId w:val="4"/>
        </w:numPr>
        <w:rPr>
          <w:rFonts w:eastAsia="Arial"/>
          <w:lang w:val="en"/>
        </w:rPr>
      </w:pPr>
      <w:r w:rsidRPr="00DC1DE3">
        <w:rPr>
          <w:lang w:val="en"/>
        </w:rPr>
        <w:t>Assisting on-site using staff who are well-trained in UI claim filing and the rights and responsibilities of claimants</w:t>
      </w:r>
      <w:r w:rsidR="00882D8A">
        <w:rPr>
          <w:lang w:val="en"/>
        </w:rPr>
        <w:t>.</w:t>
      </w:r>
    </w:p>
    <w:p w14:paraId="2A0ED514" w14:textId="60797C1F" w:rsidR="008544AA" w:rsidRPr="00DC1DE3" w:rsidRDefault="008544AA" w:rsidP="00086CF0">
      <w:pPr>
        <w:pStyle w:val="ListParagraph"/>
        <w:numPr>
          <w:ilvl w:val="1"/>
          <w:numId w:val="4"/>
        </w:numPr>
        <w:rPr>
          <w:rFonts w:eastAsia="Arial"/>
        </w:rPr>
      </w:pPr>
      <w:r w:rsidRPr="01476CFA">
        <w:t xml:space="preserve">Assisting by phone or via other technology, </w:t>
      </w:r>
      <w:proofErr w:type="gramStart"/>
      <w:r w:rsidRPr="01476CFA">
        <w:t>as long as</w:t>
      </w:r>
      <w:proofErr w:type="gramEnd"/>
      <w:r w:rsidRPr="01476CFA">
        <w:t xml:space="preserve"> the assistance is provided by trained and available staff and within a reasonable time</w:t>
      </w:r>
      <w:r w:rsidR="00882D8A" w:rsidRPr="01476CFA">
        <w:t>.</w:t>
      </w:r>
    </w:p>
    <w:p w14:paraId="29266693" w14:textId="4AC7F040" w:rsidR="008544AA" w:rsidRPr="00DC1DE3" w:rsidRDefault="008544AA" w:rsidP="00086CF0">
      <w:pPr>
        <w:pStyle w:val="ListParagraph"/>
        <w:numPr>
          <w:ilvl w:val="1"/>
          <w:numId w:val="4"/>
        </w:numPr>
        <w:rPr>
          <w:rFonts w:eastAsia="Arial"/>
        </w:rPr>
      </w:pPr>
      <w:r w:rsidRPr="01476CFA">
        <w:t>Assistance in establishing eligibility for financial aid assistance for training and education programs not provided under the WIOA</w:t>
      </w:r>
      <w:r w:rsidR="00882D8A" w:rsidRPr="01476CFA">
        <w:t>.</w:t>
      </w:r>
    </w:p>
    <w:p w14:paraId="652BFFBF" w14:textId="77777777" w:rsidR="008544AA" w:rsidRPr="00DC1DE3" w:rsidRDefault="008544AA" w:rsidP="00291014">
      <w:pPr>
        <w:pStyle w:val="Heading3"/>
        <w:rPr>
          <w:sz w:val="16"/>
          <w:szCs w:val="16"/>
        </w:rPr>
      </w:pPr>
      <w:bookmarkStart w:id="199" w:name="_Toc167894636"/>
      <w:bookmarkStart w:id="200" w:name="_Toc167894694"/>
      <w:bookmarkStart w:id="201" w:name="_Toc167894695"/>
      <w:bookmarkEnd w:id="199"/>
      <w:bookmarkEnd w:id="200"/>
      <w:r w:rsidRPr="00DC1DE3">
        <w:t>Individualized Career Services</w:t>
      </w:r>
      <w:bookmarkEnd w:id="201"/>
    </w:p>
    <w:p w14:paraId="63FF388C" w14:textId="77777777" w:rsidR="008544AA" w:rsidRPr="00DC1DE3" w:rsidRDefault="008544AA" w:rsidP="00F470F1">
      <w:pPr>
        <w:pStyle w:val="ListParagraph"/>
      </w:pPr>
      <w:r w:rsidRPr="00DC1DE3">
        <w:t>Comprehensive and specialized assessments of the skill levels and service needs of adults and dislocated workers, which may include the following:</w:t>
      </w:r>
    </w:p>
    <w:p w14:paraId="3636E316" w14:textId="4263C92B" w:rsidR="008544AA" w:rsidRPr="00943164" w:rsidRDefault="008544AA" w:rsidP="00086CF0">
      <w:pPr>
        <w:pStyle w:val="ListParagraph"/>
        <w:numPr>
          <w:ilvl w:val="1"/>
          <w:numId w:val="4"/>
        </w:numPr>
        <w:rPr>
          <w:lang w:val="en"/>
        </w:rPr>
      </w:pPr>
      <w:r w:rsidRPr="00943164">
        <w:rPr>
          <w:lang w:val="en"/>
        </w:rPr>
        <w:t>Diagnostic testing and use of other assessment tools</w:t>
      </w:r>
      <w:r w:rsidR="00943164">
        <w:rPr>
          <w:lang w:val="en"/>
        </w:rPr>
        <w:t>.</w:t>
      </w:r>
    </w:p>
    <w:p w14:paraId="45B3B188" w14:textId="73522DD2" w:rsidR="008544AA" w:rsidRPr="00943164" w:rsidRDefault="008544AA" w:rsidP="00086CF0">
      <w:pPr>
        <w:pStyle w:val="ListParagraph"/>
        <w:numPr>
          <w:ilvl w:val="1"/>
          <w:numId w:val="4"/>
        </w:numPr>
      </w:pPr>
      <w:r w:rsidRPr="01476CFA">
        <w:t>In-depth interviewing and evaluation to identify employment barriers and employment goals</w:t>
      </w:r>
      <w:r w:rsidR="00943164" w:rsidRPr="01476CFA">
        <w:t>.</w:t>
      </w:r>
    </w:p>
    <w:p w14:paraId="19AE796A"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5574842A" w14:textId="2F1C585D" w:rsidR="008544AA" w:rsidRPr="00DC1DE3" w:rsidRDefault="008544AA" w:rsidP="01476CFA">
      <w:pPr>
        <w:pStyle w:val="ListParagraph"/>
      </w:pPr>
      <w:r w:rsidRPr="01476CFA">
        <w:t>Development of an individual employment plan to identify employment goals, achievement objectives, and the appropriate combination of services for the participant to achieve their employment goals, including information about eligible training providers</w:t>
      </w:r>
      <w:r w:rsidR="00943164" w:rsidRPr="01476CFA">
        <w:t>.</w:t>
      </w:r>
    </w:p>
    <w:p w14:paraId="63EE14AE" w14:textId="44896E46" w:rsidR="008544AA" w:rsidRPr="00DC1DE3" w:rsidRDefault="008544AA" w:rsidP="00943164">
      <w:pPr>
        <w:pStyle w:val="ListParagraph"/>
        <w:rPr>
          <w:lang w:val="en"/>
        </w:rPr>
      </w:pPr>
      <w:r w:rsidRPr="00DC1DE3">
        <w:rPr>
          <w:lang w:val="en"/>
        </w:rPr>
        <w:t>Group counseling</w:t>
      </w:r>
      <w:r w:rsidR="00943164">
        <w:rPr>
          <w:lang w:val="en"/>
        </w:rPr>
        <w:t>.</w:t>
      </w:r>
    </w:p>
    <w:p w14:paraId="6ABE5B98" w14:textId="217FA26B" w:rsidR="008544AA" w:rsidRPr="00DC1DE3" w:rsidRDefault="008544AA" w:rsidP="00943164">
      <w:pPr>
        <w:pStyle w:val="ListParagraph"/>
        <w:rPr>
          <w:lang w:val="en"/>
        </w:rPr>
      </w:pPr>
      <w:r w:rsidRPr="00DC1DE3">
        <w:rPr>
          <w:lang w:val="en"/>
        </w:rPr>
        <w:t>Individual counseling</w:t>
      </w:r>
      <w:r w:rsidR="00943164">
        <w:rPr>
          <w:lang w:val="en"/>
        </w:rPr>
        <w:t>.</w:t>
      </w:r>
    </w:p>
    <w:p w14:paraId="0045AD36" w14:textId="3E53419B" w:rsidR="008544AA" w:rsidRPr="00DC1DE3" w:rsidRDefault="008544AA" w:rsidP="00943164">
      <w:pPr>
        <w:pStyle w:val="ListParagraph"/>
        <w:rPr>
          <w:lang w:val="en"/>
        </w:rPr>
      </w:pPr>
      <w:r w:rsidRPr="00DC1DE3">
        <w:rPr>
          <w:lang w:val="en"/>
        </w:rPr>
        <w:lastRenderedPageBreak/>
        <w:t>Career planning</w:t>
      </w:r>
      <w:r w:rsidR="00943164">
        <w:rPr>
          <w:lang w:val="en"/>
        </w:rPr>
        <w:t>.</w:t>
      </w:r>
    </w:p>
    <w:p w14:paraId="3EFDA31F" w14:textId="75EB5A95" w:rsidR="008544AA" w:rsidRPr="00DC1DE3" w:rsidRDefault="008544AA" w:rsidP="00943164">
      <w:pPr>
        <w:pStyle w:val="ListParagraph"/>
        <w:rPr>
          <w:lang w:val="en"/>
        </w:rPr>
      </w:pPr>
      <w:r w:rsidRPr="00DC1DE3">
        <w:rPr>
          <w:lang w:val="en"/>
        </w:rPr>
        <w:t>Short-term pre-vocational services include the development of learning skills, communication skills, interviewing skills, punctuality, personal maintenance skills, and professional conduct to prepare individuals for unsubsidized employment or training</w:t>
      </w:r>
      <w:r w:rsidR="00943164">
        <w:rPr>
          <w:lang w:val="en"/>
        </w:rPr>
        <w:t>.</w:t>
      </w:r>
    </w:p>
    <w:p w14:paraId="5C03C1A4" w14:textId="61948D56" w:rsidR="008544AA" w:rsidRPr="00DC1DE3" w:rsidRDefault="008544AA" w:rsidP="00943164">
      <w:pPr>
        <w:pStyle w:val="ListParagraph"/>
        <w:rPr>
          <w:lang w:val="en"/>
        </w:rPr>
      </w:pPr>
      <w:r w:rsidRPr="00DC1DE3">
        <w:rPr>
          <w:lang w:val="en"/>
        </w:rPr>
        <w:t>Internships and work experiences that are linked to careers</w:t>
      </w:r>
      <w:r w:rsidR="00943164">
        <w:rPr>
          <w:lang w:val="en"/>
        </w:rPr>
        <w:t>.</w:t>
      </w:r>
    </w:p>
    <w:p w14:paraId="09757AFF" w14:textId="2D130CAB" w:rsidR="008544AA" w:rsidRPr="00DC1DE3" w:rsidRDefault="008544AA" w:rsidP="00943164">
      <w:pPr>
        <w:pStyle w:val="ListParagraph"/>
        <w:rPr>
          <w:lang w:val="en"/>
        </w:rPr>
      </w:pPr>
      <w:r w:rsidRPr="00DC1DE3">
        <w:rPr>
          <w:lang w:val="en"/>
        </w:rPr>
        <w:t>Workforce preparation activities</w:t>
      </w:r>
      <w:r w:rsidR="00943164">
        <w:rPr>
          <w:lang w:val="en"/>
        </w:rPr>
        <w:t>.</w:t>
      </w:r>
    </w:p>
    <w:p w14:paraId="37E04A20" w14:textId="09D14F81" w:rsidR="008544AA" w:rsidRPr="00DC1DE3" w:rsidRDefault="008544AA" w:rsidP="00943164">
      <w:pPr>
        <w:pStyle w:val="ListParagraph"/>
        <w:rPr>
          <w:lang w:val="en"/>
        </w:rPr>
      </w:pPr>
      <w:r w:rsidRPr="00DC1DE3">
        <w:rPr>
          <w:lang w:val="en"/>
        </w:rPr>
        <w:t>Financial literacy services</w:t>
      </w:r>
      <w:r w:rsidR="00943164">
        <w:rPr>
          <w:lang w:val="en"/>
        </w:rPr>
        <w:t>.</w:t>
      </w:r>
    </w:p>
    <w:p w14:paraId="380FD0F1" w14:textId="0F7F6312" w:rsidR="008544AA" w:rsidRPr="00DC1DE3" w:rsidRDefault="008544AA" w:rsidP="01476CFA">
      <w:pPr>
        <w:pStyle w:val="ListParagraph"/>
      </w:pPr>
      <w:r w:rsidRPr="01476CFA">
        <w:t>Out-of-area job search assistance and relocation assistance</w:t>
      </w:r>
      <w:r w:rsidR="00943164" w:rsidRPr="01476CFA">
        <w:t>.</w:t>
      </w:r>
    </w:p>
    <w:p w14:paraId="2036A843" w14:textId="5007CFF8" w:rsidR="008544AA" w:rsidRPr="00DC1DE3" w:rsidRDefault="008544AA" w:rsidP="00943164">
      <w:pPr>
        <w:pStyle w:val="ListParagraph"/>
        <w:rPr>
          <w:lang w:val="en"/>
        </w:rPr>
      </w:pPr>
      <w:r w:rsidRPr="00DC1DE3">
        <w:rPr>
          <w:lang w:val="en"/>
        </w:rPr>
        <w:t>English language acquisition and integrated education and training programs</w:t>
      </w:r>
      <w:r w:rsidR="00943164">
        <w:rPr>
          <w:lang w:val="en"/>
        </w:rPr>
        <w:t>.</w:t>
      </w:r>
    </w:p>
    <w:p w14:paraId="534008A0" w14:textId="77777777" w:rsidR="008544AA" w:rsidRPr="00DC1DE3" w:rsidRDefault="008544AA" w:rsidP="00291014">
      <w:pPr>
        <w:pStyle w:val="Heading3"/>
        <w:rPr>
          <w:rFonts w:eastAsia="Calibri"/>
          <w:sz w:val="16"/>
          <w:szCs w:val="16"/>
        </w:rPr>
      </w:pPr>
      <w:bookmarkStart w:id="202" w:name="_Toc167894696"/>
      <w:r w:rsidRPr="00DC1DE3">
        <w:t>Follow-up Services</w:t>
      </w:r>
      <w:bookmarkEnd w:id="202"/>
    </w:p>
    <w:p w14:paraId="5A97CDF2" w14:textId="41698A4B" w:rsidR="008544AA" w:rsidRPr="00DC1DE3" w:rsidRDefault="008544AA" w:rsidP="00943164">
      <w:pPr>
        <w:pStyle w:val="BodyText"/>
      </w:pPr>
      <w:r w:rsidRPr="01476CFA">
        <w:rPr>
          <w:lang w:val="en-US"/>
        </w:rPr>
        <w:t xml:space="preserve">Follow-up services, such as counseling regarding the workplace, are provided for </w:t>
      </w:r>
      <w:r w:rsidR="005323E4">
        <w:rPr>
          <w:lang w:val="en-US"/>
        </w:rPr>
        <w:t>adult participants</w:t>
      </w:r>
      <w:r w:rsidRPr="01476CFA">
        <w:rPr>
          <w:lang w:val="en-US"/>
        </w:rPr>
        <w:t xml:space="preserve"> or dislocated worker workforce investment activities who are placed in unsubsidized employment. Participants may receive follow-up services for up to 12 months after the first day of employment.</w:t>
      </w:r>
    </w:p>
    <w:p w14:paraId="6F08C290" w14:textId="77777777" w:rsidR="008544AA" w:rsidRPr="00DC1DE3" w:rsidRDefault="008544AA" w:rsidP="00943164">
      <w:pPr>
        <w:pStyle w:val="BodyText"/>
      </w:pPr>
      <w:r w:rsidRPr="01476CFA">
        <w:rPr>
          <w:lang w:val="en-US"/>
        </w:rPr>
        <w:t>Each proposal should include follow-up services for participants after being placed in unsubsidized employment and after exiting the project. The follow-up is intended to support the client in retaining employment and improving their employment success after exit. The final follow-up design will be negotiated with each successful applicant during contract negotiations based on the length of the contract and the funding available to the applicant. While follow-up services must be available, not all registered participants placed into unsubsidized employment will need or want such services.</w:t>
      </w:r>
    </w:p>
    <w:p w14:paraId="3E1D1017" w14:textId="77777777" w:rsidR="008544AA" w:rsidRPr="00DC1DE3" w:rsidRDefault="008544AA" w:rsidP="008544AA">
      <w:pPr>
        <w:spacing w:after="0" w:line="240" w:lineRule="auto"/>
        <w:rPr>
          <w:rFonts w:eastAsia="Calibri" w:cstheme="minorHAnsi"/>
          <w:sz w:val="24"/>
          <w:szCs w:val="24"/>
          <w:lang w:val="en"/>
        </w:rPr>
      </w:pPr>
      <w:r w:rsidRPr="00DC1DE3">
        <w:rPr>
          <w:rFonts w:eastAsia="Arial" w:cstheme="minorHAnsi"/>
          <w:lang w:val="en"/>
        </w:rPr>
        <w:br w:type="page"/>
      </w:r>
    </w:p>
    <w:p w14:paraId="7BFF0CE8" w14:textId="77777777" w:rsidR="008544AA" w:rsidRPr="00DC1DE3" w:rsidRDefault="008544AA" w:rsidP="00943164">
      <w:pPr>
        <w:pStyle w:val="Heading2"/>
        <w:numPr>
          <w:ilvl w:val="0"/>
          <w:numId w:val="0"/>
        </w:numPr>
        <w:rPr>
          <w:rFonts w:eastAsia="Arial"/>
          <w:lang w:val="en"/>
        </w:rPr>
      </w:pPr>
      <w:bookmarkStart w:id="203" w:name="_2zbgiuw"/>
      <w:bookmarkStart w:id="204" w:name="_1egqt2p"/>
      <w:bookmarkStart w:id="205" w:name="_Toc117246192"/>
      <w:bookmarkStart w:id="206" w:name="_Toc130496201"/>
      <w:bookmarkStart w:id="207" w:name="_Toc167356450"/>
      <w:bookmarkStart w:id="208" w:name="_Toc167894697"/>
      <w:bookmarkEnd w:id="203"/>
      <w:bookmarkEnd w:id="204"/>
      <w:r w:rsidRPr="00DC1DE3">
        <w:rPr>
          <w:rFonts w:eastAsia="Arial"/>
          <w:lang w:val="en"/>
        </w:rPr>
        <w:lastRenderedPageBreak/>
        <w:t>Appendix C: Allowable Costs and Cost Items Matrix</w:t>
      </w:r>
      <w:bookmarkEnd w:id="205"/>
      <w:bookmarkEnd w:id="206"/>
      <w:bookmarkEnd w:id="207"/>
      <w:bookmarkEnd w:id="208"/>
    </w:p>
    <w:p w14:paraId="029F1639" w14:textId="7A11FC6F" w:rsidR="008544AA" w:rsidRPr="00DC1DE3" w:rsidRDefault="008544AA" w:rsidP="00943164">
      <w:pPr>
        <w:pStyle w:val="BodyText"/>
      </w:pPr>
      <w:r w:rsidRPr="01476CFA">
        <w:rPr>
          <w:lang w:val="en-US"/>
        </w:rPr>
        <w:t xml:space="preserve">An entity that receives funds under Title I of the WIOA must comply with the </w:t>
      </w:r>
      <w:r w:rsidRPr="001B7C32">
        <w:rPr>
          <w:lang w:val="en-US"/>
        </w:rPr>
        <w:t xml:space="preserve">OMB Uniform Guidance </w:t>
      </w:r>
      <w:r w:rsidR="009F1DB6" w:rsidRPr="001B7C32">
        <w:rPr>
          <w:lang w:val="en-US"/>
        </w:rPr>
        <w:t xml:space="preserve">2 CFR </w:t>
      </w:r>
      <w:hyperlink r:id="rId49" w:history="1">
        <w:r w:rsidR="009F1DB6" w:rsidRPr="001B7C32">
          <w:rPr>
            <w:rStyle w:val="Hyperlink"/>
            <w:u w:val="none"/>
            <w:lang w:val="en-US"/>
          </w:rPr>
          <w:t>Part 200</w:t>
        </w:r>
      </w:hyperlink>
      <w:r w:rsidRPr="001B7C32">
        <w:rPr>
          <w:lang w:val="en-US"/>
        </w:rPr>
        <w:t xml:space="preserve"> and U.S. DOL exceptions </w:t>
      </w:r>
      <w:r w:rsidR="009F1DB6" w:rsidRPr="001B7C32">
        <w:rPr>
          <w:lang w:val="en-US"/>
        </w:rPr>
        <w:t xml:space="preserve">2 CFR </w:t>
      </w:r>
      <w:hyperlink r:id="rId50" w:history="1">
        <w:r w:rsidR="009F1DB6" w:rsidRPr="001B7C32">
          <w:rPr>
            <w:rStyle w:val="Hyperlink"/>
            <w:u w:val="none"/>
            <w:lang w:val="en-US"/>
          </w:rPr>
          <w:t>Part 2900</w:t>
        </w:r>
      </w:hyperlink>
      <w:r w:rsidRPr="001B7C32">
        <w:rPr>
          <w:lang w:val="en-US"/>
        </w:rPr>
        <w:t>.</w:t>
      </w:r>
      <w:r w:rsidRPr="001F6C53">
        <w:rPr>
          <w:lang w:val="en-US"/>
        </w:rPr>
        <w:t xml:space="preserve"> </w:t>
      </w:r>
      <w:r w:rsidRPr="01476CFA">
        <w:rPr>
          <w:lang w:val="en-US"/>
        </w:rPr>
        <w:t>In general, to be an allowable charge under WIOA, a cost must meet the following criteria:</w:t>
      </w:r>
    </w:p>
    <w:p w14:paraId="049BAEF6" w14:textId="43FF90DE" w:rsidR="008544AA" w:rsidRPr="00DC1DE3" w:rsidRDefault="008544AA" w:rsidP="00943164">
      <w:pPr>
        <w:pStyle w:val="ListParagraph"/>
        <w:rPr>
          <w:rFonts w:eastAsia="Arial"/>
          <w:lang w:val="en"/>
        </w:rPr>
      </w:pPr>
      <w:r w:rsidRPr="00DC1DE3">
        <w:rPr>
          <w:lang w:val="en"/>
        </w:rPr>
        <w:t>Be necessary and reasonable for the performance of the award</w:t>
      </w:r>
      <w:r w:rsidR="00943164">
        <w:rPr>
          <w:lang w:val="en"/>
        </w:rPr>
        <w:t>.</w:t>
      </w:r>
    </w:p>
    <w:p w14:paraId="35C78F15" w14:textId="1E2F323E" w:rsidR="008544AA" w:rsidRPr="00DC1DE3" w:rsidRDefault="008544AA" w:rsidP="00943164">
      <w:pPr>
        <w:pStyle w:val="ListParagraph"/>
        <w:rPr>
          <w:rFonts w:eastAsia="Arial"/>
          <w:lang w:val="en"/>
        </w:rPr>
      </w:pPr>
      <w:r w:rsidRPr="00DC1DE3">
        <w:rPr>
          <w:lang w:val="en"/>
        </w:rPr>
        <w:t>Be allocable to the award</w:t>
      </w:r>
      <w:r w:rsidR="00943164">
        <w:rPr>
          <w:lang w:val="en"/>
        </w:rPr>
        <w:t>.</w:t>
      </w:r>
    </w:p>
    <w:p w14:paraId="0F63D343" w14:textId="425BB9C7" w:rsidR="008544AA" w:rsidRPr="00DC1DE3" w:rsidRDefault="008544AA" w:rsidP="01476CFA">
      <w:pPr>
        <w:pStyle w:val="ListParagraph"/>
        <w:rPr>
          <w:rFonts w:eastAsia="Arial"/>
        </w:rPr>
      </w:pPr>
      <w:r w:rsidRPr="01476CFA">
        <w:t xml:space="preserve">Conform to any limitations or exclusions </w:t>
      </w:r>
      <w:r w:rsidR="005323E4">
        <w:t>outlined in</w:t>
      </w:r>
      <w:r w:rsidRPr="01476CFA">
        <w:t xml:space="preserve"> the award</w:t>
      </w:r>
      <w:r w:rsidR="00943164" w:rsidRPr="01476CFA">
        <w:t>.</w:t>
      </w:r>
    </w:p>
    <w:p w14:paraId="05AD6E3C" w14:textId="2D59367B" w:rsidR="008544AA" w:rsidRPr="00DC1DE3" w:rsidRDefault="008544AA" w:rsidP="00943164">
      <w:pPr>
        <w:pStyle w:val="ListParagraph"/>
        <w:rPr>
          <w:rFonts w:eastAsia="Arial"/>
          <w:lang w:val="en"/>
        </w:rPr>
      </w:pPr>
      <w:r w:rsidRPr="00DC1DE3">
        <w:rPr>
          <w:lang w:val="en"/>
        </w:rPr>
        <w:t>Be consistent with policies and procedures that apply uniformly to both federally financed and other activities of the non-federal entity</w:t>
      </w:r>
      <w:r w:rsidR="00943164">
        <w:rPr>
          <w:lang w:val="en"/>
        </w:rPr>
        <w:t>.</w:t>
      </w:r>
    </w:p>
    <w:p w14:paraId="3A66A833" w14:textId="6DC4C956" w:rsidR="008544AA" w:rsidRPr="00DC1DE3" w:rsidRDefault="008544AA" w:rsidP="01476CFA">
      <w:pPr>
        <w:pStyle w:val="ListParagraph"/>
        <w:rPr>
          <w:rFonts w:eastAsia="Arial"/>
        </w:rPr>
      </w:pPr>
      <w:proofErr w:type="gramStart"/>
      <w:r w:rsidRPr="01476CFA">
        <w:t>Be accorded</w:t>
      </w:r>
      <w:proofErr w:type="gramEnd"/>
      <w:r w:rsidRPr="01476CFA">
        <w:t xml:space="preserve"> consistent treatment</w:t>
      </w:r>
      <w:r w:rsidR="00943164" w:rsidRPr="01476CFA">
        <w:t>.</w:t>
      </w:r>
    </w:p>
    <w:p w14:paraId="772509DD" w14:textId="6DCABF3C" w:rsidR="008544AA" w:rsidRPr="00DC1DE3" w:rsidRDefault="008544AA" w:rsidP="01476CFA">
      <w:pPr>
        <w:pStyle w:val="ListParagraph"/>
        <w:rPr>
          <w:rFonts w:eastAsia="Arial"/>
        </w:rPr>
      </w:pPr>
      <w:r w:rsidRPr="01476CFA">
        <w:t>Be determined in accordance with generally accepted accounting principles</w:t>
      </w:r>
      <w:r w:rsidR="00943164" w:rsidRPr="01476CFA">
        <w:t>.</w:t>
      </w:r>
    </w:p>
    <w:p w14:paraId="6BF9BC28" w14:textId="3A7F25B1" w:rsidR="008544AA" w:rsidRPr="00DC1DE3" w:rsidRDefault="008544AA" w:rsidP="01476CFA">
      <w:pPr>
        <w:pStyle w:val="ListParagraph"/>
        <w:rPr>
          <w:rFonts w:eastAsia="Arial"/>
        </w:rPr>
      </w:pPr>
      <w:r w:rsidRPr="01476CFA">
        <w:t xml:space="preserve">Not be used to meet cost-sharing or matching requirements of any other </w:t>
      </w:r>
      <w:r w:rsidR="004E020B" w:rsidRPr="01476CFA">
        <w:t>federally financed</w:t>
      </w:r>
      <w:r w:rsidRPr="01476CFA">
        <w:t xml:space="preserve"> program (without prior approval from the state)</w:t>
      </w:r>
      <w:r w:rsidR="00943164" w:rsidRPr="01476CFA">
        <w:t>.</w:t>
      </w:r>
    </w:p>
    <w:p w14:paraId="292EB376" w14:textId="32DA7D2D" w:rsidR="008544AA" w:rsidRPr="00DC1DE3" w:rsidRDefault="008544AA" w:rsidP="00943164">
      <w:pPr>
        <w:pStyle w:val="ListParagraph"/>
        <w:rPr>
          <w:rFonts w:eastAsia="Arial"/>
          <w:lang w:val="en"/>
        </w:rPr>
      </w:pPr>
      <w:r w:rsidRPr="00DC1DE3">
        <w:rPr>
          <w:lang w:val="en"/>
        </w:rPr>
        <w:t>Be adequately documented</w:t>
      </w:r>
      <w:r w:rsidR="00943164">
        <w:rPr>
          <w:lang w:val="en"/>
        </w:rPr>
        <w:t>.</w:t>
      </w:r>
    </w:p>
    <w:p w14:paraId="7FA78FA1" w14:textId="77777777" w:rsidR="008544AA" w:rsidRPr="00DC1DE3" w:rsidRDefault="008544AA" w:rsidP="008544AA">
      <w:pPr>
        <w:tabs>
          <w:tab w:val="left" w:pos="1440"/>
          <w:tab w:val="right" w:pos="10080"/>
        </w:tabs>
        <w:spacing w:after="0" w:line="240" w:lineRule="auto"/>
        <w:rPr>
          <w:rFonts w:eastAsia="Calibri" w:cstheme="minorHAnsi"/>
          <w:sz w:val="12"/>
          <w:szCs w:val="16"/>
          <w:lang w:val="en"/>
        </w:rPr>
      </w:pPr>
    </w:p>
    <w:p w14:paraId="5A3E048E" w14:textId="77777777" w:rsidR="008544AA" w:rsidRPr="00DC1DE3" w:rsidRDefault="008544AA" w:rsidP="00943164">
      <w:pPr>
        <w:pStyle w:val="BodyText"/>
      </w:pPr>
      <w:r w:rsidRPr="01476CFA">
        <w:rPr>
          <w:lang w:val="en-US"/>
        </w:rPr>
        <w:t>Below is a high-level cost items matrix with six columns. The first four columns identify cost items and various entity types. The remaining two columns are reserved for the specific Uniform Guidance sections and DOL exceptions (if applicable). It should be noted that the matrix is intended to be used as an initial tool or quick reference guide rather than a final authority for determining whether a cost would be considered allowable. The legend key below, along with the definitions, is intended to help the user understand whether a cost item is allowable or not.</w:t>
      </w:r>
    </w:p>
    <w:p w14:paraId="1841992D" w14:textId="79A4FB04" w:rsidR="008544AA" w:rsidRPr="00943164" w:rsidRDefault="008544AA" w:rsidP="00E42B12">
      <w:pPr>
        <w:pStyle w:val="BodyText"/>
        <w:spacing w:after="0"/>
        <w:rPr>
          <w:b/>
          <w:bCs/>
        </w:rPr>
      </w:pPr>
      <w:r w:rsidRPr="00943164">
        <w:rPr>
          <w:b/>
          <w:bCs/>
        </w:rPr>
        <w:t xml:space="preserve">Figure </w:t>
      </w:r>
      <w:r w:rsidR="00943164" w:rsidRPr="00943164">
        <w:rPr>
          <w:b/>
          <w:bCs/>
        </w:rPr>
        <w:t>C.</w:t>
      </w:r>
      <w:r w:rsidRPr="00943164">
        <w:rPr>
          <w:b/>
          <w:bCs/>
        </w:rPr>
        <w:t>1: Allowable Costs Legend</w:t>
      </w:r>
    </w:p>
    <w:tbl>
      <w:tblPr>
        <w:tblW w:w="6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Allowable Costs Legend"/>
      </w:tblPr>
      <w:tblGrid>
        <w:gridCol w:w="1530"/>
        <w:gridCol w:w="4680"/>
      </w:tblGrid>
      <w:tr w:rsidR="008544AA" w:rsidRPr="00DC1DE3" w14:paraId="75F0F8DD" w14:textId="77777777" w:rsidTr="00E42B12">
        <w:trPr>
          <w:trHeight w:val="255"/>
          <w:tblHeader/>
        </w:trPr>
        <w:tc>
          <w:tcPr>
            <w:tcW w:w="1530" w:type="dxa"/>
            <w:tcBorders>
              <w:top w:val="single" w:sz="4" w:space="0" w:color="000000"/>
              <w:left w:val="single" w:sz="4" w:space="0" w:color="000000"/>
              <w:bottom w:val="single" w:sz="4" w:space="0" w:color="000000"/>
              <w:right w:val="single" w:sz="4" w:space="0" w:color="000000"/>
            </w:tcBorders>
            <w:shd w:val="clear" w:color="auto" w:fill="D9D9D9"/>
            <w:hideMark/>
          </w:tcPr>
          <w:p w14:paraId="279E01CE" w14:textId="77777777" w:rsidR="008544AA" w:rsidRPr="00DC1DE3" w:rsidRDefault="008544AA" w:rsidP="00E42B12">
            <w:pPr>
              <w:pStyle w:val="BodyText"/>
              <w:spacing w:before="120" w:after="120"/>
            </w:pPr>
            <w:r w:rsidRPr="00DC1DE3">
              <w:t>Legend Key</w:t>
            </w:r>
          </w:p>
        </w:tc>
        <w:tc>
          <w:tcPr>
            <w:tcW w:w="4680" w:type="dxa"/>
            <w:tcBorders>
              <w:top w:val="single" w:sz="4" w:space="0" w:color="000000"/>
              <w:left w:val="single" w:sz="4" w:space="0" w:color="000000"/>
              <w:bottom w:val="single" w:sz="4" w:space="0" w:color="000000"/>
              <w:right w:val="single" w:sz="4" w:space="0" w:color="000000"/>
            </w:tcBorders>
            <w:shd w:val="clear" w:color="auto" w:fill="D9D9D9"/>
            <w:hideMark/>
          </w:tcPr>
          <w:p w14:paraId="73B806FC" w14:textId="77777777" w:rsidR="008544AA" w:rsidRPr="00DC1DE3" w:rsidRDefault="008544AA" w:rsidP="00E42B12">
            <w:pPr>
              <w:pStyle w:val="BodyText"/>
              <w:spacing w:before="120" w:after="120"/>
            </w:pPr>
            <w:r w:rsidRPr="00DC1DE3">
              <w:t>Legend Key Definition</w:t>
            </w:r>
          </w:p>
        </w:tc>
      </w:tr>
      <w:tr w:rsidR="008544AA" w:rsidRPr="00DC1DE3" w14:paraId="37E16B44" w14:textId="77777777" w:rsidTr="00E42B12">
        <w:trPr>
          <w:trHeight w:val="255"/>
        </w:trPr>
        <w:tc>
          <w:tcPr>
            <w:tcW w:w="1530" w:type="dxa"/>
            <w:tcBorders>
              <w:top w:val="single" w:sz="4" w:space="0" w:color="000000"/>
              <w:left w:val="single" w:sz="4" w:space="0" w:color="000000"/>
              <w:bottom w:val="single" w:sz="4" w:space="0" w:color="000000"/>
              <w:right w:val="single" w:sz="4" w:space="0" w:color="000000"/>
            </w:tcBorders>
            <w:hideMark/>
          </w:tcPr>
          <w:p w14:paraId="38883849" w14:textId="77777777" w:rsidR="008544AA" w:rsidRPr="00DC1DE3" w:rsidRDefault="008544AA" w:rsidP="00E42B12">
            <w:pPr>
              <w:pStyle w:val="BodyText"/>
              <w:spacing w:before="120" w:after="120"/>
            </w:pPr>
            <w:r w:rsidRPr="00DC1DE3">
              <w:t>A</w:t>
            </w:r>
          </w:p>
        </w:tc>
        <w:tc>
          <w:tcPr>
            <w:tcW w:w="4680" w:type="dxa"/>
            <w:tcBorders>
              <w:top w:val="single" w:sz="4" w:space="0" w:color="000000"/>
              <w:left w:val="single" w:sz="4" w:space="0" w:color="000000"/>
              <w:bottom w:val="single" w:sz="4" w:space="0" w:color="000000"/>
              <w:right w:val="single" w:sz="4" w:space="0" w:color="000000"/>
            </w:tcBorders>
            <w:hideMark/>
          </w:tcPr>
          <w:p w14:paraId="5CE4280D" w14:textId="77777777" w:rsidR="008544AA" w:rsidRPr="00DC1DE3" w:rsidRDefault="008544AA" w:rsidP="00E42B12">
            <w:pPr>
              <w:pStyle w:val="BodyText"/>
              <w:spacing w:before="120" w:after="120"/>
            </w:pPr>
            <w:r w:rsidRPr="00DC1DE3">
              <w:t>Allowable</w:t>
            </w:r>
          </w:p>
        </w:tc>
      </w:tr>
      <w:tr w:rsidR="008544AA" w:rsidRPr="00DC1DE3" w14:paraId="51A74FDA" w14:textId="77777777" w:rsidTr="00E42B12">
        <w:trPr>
          <w:trHeight w:val="255"/>
        </w:trPr>
        <w:tc>
          <w:tcPr>
            <w:tcW w:w="1530" w:type="dxa"/>
            <w:tcBorders>
              <w:top w:val="single" w:sz="4" w:space="0" w:color="000000"/>
              <w:left w:val="single" w:sz="4" w:space="0" w:color="000000"/>
              <w:bottom w:val="single" w:sz="4" w:space="0" w:color="000000"/>
              <w:right w:val="single" w:sz="4" w:space="0" w:color="000000"/>
            </w:tcBorders>
            <w:hideMark/>
          </w:tcPr>
          <w:p w14:paraId="5DDCE2CC" w14:textId="77777777" w:rsidR="008544AA" w:rsidRPr="00DC1DE3" w:rsidRDefault="008544AA" w:rsidP="00E42B12">
            <w:pPr>
              <w:pStyle w:val="BodyText"/>
              <w:spacing w:before="120" w:after="120"/>
            </w:pPr>
            <w:r w:rsidRPr="00DC1DE3">
              <w:t>AP</w:t>
            </w:r>
          </w:p>
        </w:tc>
        <w:tc>
          <w:tcPr>
            <w:tcW w:w="4680" w:type="dxa"/>
            <w:tcBorders>
              <w:top w:val="single" w:sz="4" w:space="0" w:color="000000"/>
              <w:left w:val="single" w:sz="4" w:space="0" w:color="000000"/>
              <w:bottom w:val="single" w:sz="4" w:space="0" w:color="000000"/>
              <w:right w:val="single" w:sz="4" w:space="0" w:color="000000"/>
            </w:tcBorders>
            <w:hideMark/>
          </w:tcPr>
          <w:p w14:paraId="7DF596CE" w14:textId="77777777" w:rsidR="008544AA" w:rsidRPr="00DC1DE3" w:rsidRDefault="008544AA" w:rsidP="00E42B12">
            <w:pPr>
              <w:pStyle w:val="BodyText"/>
              <w:spacing w:before="120" w:after="120"/>
            </w:pPr>
            <w:r w:rsidRPr="00DC1DE3">
              <w:t xml:space="preserve">Allowable with Prior Approval </w:t>
            </w:r>
          </w:p>
        </w:tc>
      </w:tr>
      <w:tr w:rsidR="008544AA" w:rsidRPr="00DC1DE3" w14:paraId="002F2301" w14:textId="77777777" w:rsidTr="00E42B12">
        <w:trPr>
          <w:trHeight w:val="255"/>
        </w:trPr>
        <w:tc>
          <w:tcPr>
            <w:tcW w:w="1530" w:type="dxa"/>
            <w:tcBorders>
              <w:top w:val="single" w:sz="4" w:space="0" w:color="000000"/>
              <w:left w:val="single" w:sz="4" w:space="0" w:color="000000"/>
              <w:bottom w:val="single" w:sz="4" w:space="0" w:color="000000"/>
              <w:right w:val="single" w:sz="4" w:space="0" w:color="000000"/>
            </w:tcBorders>
            <w:hideMark/>
          </w:tcPr>
          <w:p w14:paraId="1AAF3125" w14:textId="77777777" w:rsidR="008544AA" w:rsidRPr="00DC1DE3" w:rsidRDefault="008544AA" w:rsidP="00E42B12">
            <w:pPr>
              <w:pStyle w:val="BodyText"/>
              <w:spacing w:before="120" w:after="120"/>
            </w:pPr>
            <w:r w:rsidRPr="00DC1DE3">
              <w:t>AC</w:t>
            </w:r>
          </w:p>
        </w:tc>
        <w:tc>
          <w:tcPr>
            <w:tcW w:w="4680" w:type="dxa"/>
            <w:tcBorders>
              <w:top w:val="single" w:sz="4" w:space="0" w:color="000000"/>
              <w:left w:val="single" w:sz="4" w:space="0" w:color="000000"/>
              <w:bottom w:val="single" w:sz="4" w:space="0" w:color="000000"/>
              <w:right w:val="single" w:sz="4" w:space="0" w:color="000000"/>
            </w:tcBorders>
            <w:hideMark/>
          </w:tcPr>
          <w:p w14:paraId="4DFD0ED7" w14:textId="77777777" w:rsidR="008544AA" w:rsidRPr="00DC1DE3" w:rsidRDefault="008544AA" w:rsidP="00E42B12">
            <w:pPr>
              <w:pStyle w:val="BodyText"/>
              <w:spacing w:before="120" w:after="120"/>
            </w:pPr>
            <w:r w:rsidRPr="00DC1DE3">
              <w:t>Allowable with Conditions</w:t>
            </w:r>
          </w:p>
        </w:tc>
      </w:tr>
      <w:tr w:rsidR="008544AA" w:rsidRPr="00DC1DE3" w14:paraId="19177455" w14:textId="77777777" w:rsidTr="00E42B12">
        <w:trPr>
          <w:trHeight w:val="255"/>
        </w:trPr>
        <w:tc>
          <w:tcPr>
            <w:tcW w:w="1530" w:type="dxa"/>
            <w:tcBorders>
              <w:top w:val="single" w:sz="4" w:space="0" w:color="000000"/>
              <w:left w:val="single" w:sz="4" w:space="0" w:color="000000"/>
              <w:bottom w:val="single" w:sz="4" w:space="0" w:color="000000"/>
              <w:right w:val="single" w:sz="4" w:space="0" w:color="000000"/>
            </w:tcBorders>
            <w:hideMark/>
          </w:tcPr>
          <w:p w14:paraId="2B5E891F" w14:textId="77777777" w:rsidR="008544AA" w:rsidRPr="00DC1DE3" w:rsidRDefault="008544AA" w:rsidP="00E42B12">
            <w:pPr>
              <w:pStyle w:val="BodyText"/>
              <w:spacing w:before="120" w:after="120"/>
            </w:pPr>
            <w:r w:rsidRPr="00DC1DE3">
              <w:t>U</w:t>
            </w:r>
          </w:p>
        </w:tc>
        <w:tc>
          <w:tcPr>
            <w:tcW w:w="4680" w:type="dxa"/>
            <w:tcBorders>
              <w:top w:val="single" w:sz="4" w:space="0" w:color="000000"/>
              <w:left w:val="single" w:sz="4" w:space="0" w:color="000000"/>
              <w:bottom w:val="single" w:sz="4" w:space="0" w:color="000000"/>
              <w:right w:val="single" w:sz="4" w:space="0" w:color="000000"/>
            </w:tcBorders>
            <w:hideMark/>
          </w:tcPr>
          <w:p w14:paraId="64BF4719" w14:textId="77777777" w:rsidR="008544AA" w:rsidRPr="00DC1DE3" w:rsidRDefault="008544AA" w:rsidP="00E42B12">
            <w:pPr>
              <w:pStyle w:val="BodyText"/>
              <w:spacing w:before="120" w:after="120"/>
            </w:pPr>
            <w:r w:rsidRPr="00DC1DE3">
              <w:t>Unallowable</w:t>
            </w:r>
          </w:p>
        </w:tc>
      </w:tr>
      <w:tr w:rsidR="008544AA" w:rsidRPr="00DC1DE3" w14:paraId="577F2B9D" w14:textId="77777777" w:rsidTr="00E42B12">
        <w:trPr>
          <w:trHeight w:val="255"/>
        </w:trPr>
        <w:tc>
          <w:tcPr>
            <w:tcW w:w="1530" w:type="dxa"/>
            <w:tcBorders>
              <w:top w:val="single" w:sz="4" w:space="0" w:color="000000"/>
              <w:left w:val="single" w:sz="4" w:space="0" w:color="000000"/>
              <w:bottom w:val="single" w:sz="4" w:space="0" w:color="000000"/>
              <w:right w:val="single" w:sz="4" w:space="0" w:color="000000"/>
            </w:tcBorders>
            <w:hideMark/>
          </w:tcPr>
          <w:p w14:paraId="33D6AA16" w14:textId="77777777" w:rsidR="008544AA" w:rsidRPr="00DC1DE3" w:rsidRDefault="008544AA" w:rsidP="00E42B12">
            <w:pPr>
              <w:pStyle w:val="BodyText"/>
              <w:spacing w:before="120" w:after="120"/>
            </w:pPr>
            <w:r w:rsidRPr="00DC1DE3">
              <w:t>NS</w:t>
            </w:r>
          </w:p>
        </w:tc>
        <w:tc>
          <w:tcPr>
            <w:tcW w:w="4680" w:type="dxa"/>
            <w:tcBorders>
              <w:top w:val="single" w:sz="4" w:space="0" w:color="000000"/>
              <w:left w:val="single" w:sz="4" w:space="0" w:color="000000"/>
              <w:bottom w:val="single" w:sz="4" w:space="0" w:color="000000"/>
              <w:right w:val="single" w:sz="4" w:space="0" w:color="000000"/>
            </w:tcBorders>
            <w:hideMark/>
          </w:tcPr>
          <w:p w14:paraId="4D47D33A" w14:textId="77777777" w:rsidR="008544AA" w:rsidRPr="00DC1DE3" w:rsidRDefault="008544AA" w:rsidP="00E42B12">
            <w:pPr>
              <w:pStyle w:val="BodyText"/>
              <w:spacing w:before="120" w:after="120"/>
            </w:pPr>
            <w:r w:rsidRPr="00DC1DE3">
              <w:t>Not Specified in the Uniform Guidance</w:t>
            </w:r>
          </w:p>
        </w:tc>
      </w:tr>
    </w:tbl>
    <w:p w14:paraId="44B9142E" w14:textId="77777777" w:rsidR="008544AA" w:rsidRPr="00DC1DE3" w:rsidRDefault="008544AA" w:rsidP="00943164">
      <w:pPr>
        <w:pStyle w:val="BodyText"/>
        <w:rPr>
          <w:sz w:val="16"/>
          <w:szCs w:val="16"/>
        </w:rPr>
      </w:pPr>
    </w:p>
    <w:p w14:paraId="0B480301" w14:textId="797061FC" w:rsidR="008544AA" w:rsidRPr="00DC1DE3" w:rsidRDefault="008544AA" w:rsidP="01476CFA">
      <w:pPr>
        <w:pStyle w:val="BodyText"/>
        <w:rPr>
          <w:rFonts w:eastAsia="Arial"/>
          <w:lang w:val="en-US"/>
        </w:rPr>
      </w:pPr>
      <w:r w:rsidRPr="01476CFA">
        <w:rPr>
          <w:lang w:val="en-US"/>
        </w:rPr>
        <w:lastRenderedPageBreak/>
        <w:t xml:space="preserve">Users should delve further into the various information sources if a cost item is denoted with two or more legend keys, as they may provide the additional necessary clarity. If this effort does not provide the essential information, then the project manager or Regional Advisor should be contacted. The “NS” legend key means that information may not be readily available. In this event, other information sources should be sought before contacting the project manager or Regional Advisor. The “AP” legend key means that, in some instances, prior written approval will be required. In this event, the user should adhere to the Uniform Guidance </w:t>
      </w:r>
      <w:r w:rsidRPr="001F6C53">
        <w:rPr>
          <w:lang w:val="en-US"/>
        </w:rPr>
        <w:t xml:space="preserve">Section </w:t>
      </w:r>
      <w:hyperlink r:id="rId51" w:history="1">
        <w:r w:rsidRPr="00FF2D86">
          <w:rPr>
            <w:rStyle w:val="Hyperlink"/>
            <w:u w:val="none"/>
            <w:lang w:val="en-US"/>
          </w:rPr>
          <w:t>200.407</w:t>
        </w:r>
      </w:hyperlink>
      <w:r w:rsidRPr="00FF2D86">
        <w:rPr>
          <w:lang w:val="en-US"/>
        </w:rPr>
        <w:t>,</w:t>
      </w:r>
      <w:r w:rsidRPr="01476CFA">
        <w:rPr>
          <w:lang w:val="en-US"/>
        </w:rPr>
        <w:t xml:space="preserve"> DOL exceptions Section </w:t>
      </w:r>
      <w:hyperlink r:id="rId52" w:history="1">
        <w:r w:rsidRPr="00FF2D86">
          <w:rPr>
            <w:rStyle w:val="Hyperlink"/>
            <w:u w:val="none"/>
            <w:lang w:val="en-US"/>
          </w:rPr>
          <w:t>2900.16</w:t>
        </w:r>
      </w:hyperlink>
      <w:r w:rsidRPr="01476CFA">
        <w:rPr>
          <w:lang w:val="en-US"/>
        </w:rPr>
        <w:t>, and contact their project manager or Regional Advisor.</w:t>
      </w:r>
    </w:p>
    <w:p w14:paraId="64A7EC1E" w14:textId="237FC9C5" w:rsidR="008544AA" w:rsidRPr="00DC1DE3" w:rsidRDefault="008544AA" w:rsidP="00E42B12">
      <w:pPr>
        <w:pStyle w:val="BodyText"/>
        <w:spacing w:after="0"/>
        <w:rPr>
          <w:b/>
        </w:rPr>
      </w:pPr>
      <w:r w:rsidRPr="00DC1DE3">
        <w:rPr>
          <w:b/>
        </w:rPr>
        <w:t>Figure</w:t>
      </w:r>
      <w:r w:rsidR="00943164">
        <w:rPr>
          <w:b/>
        </w:rPr>
        <w:t xml:space="preserve"> C.</w:t>
      </w:r>
      <w:r w:rsidRPr="00DC1DE3">
        <w:rPr>
          <w:b/>
        </w:rPr>
        <w:t>2: Cost Items Matrix</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2: Cost Items Matrix"/>
      </w:tblPr>
      <w:tblGrid>
        <w:gridCol w:w="524"/>
        <w:gridCol w:w="2531"/>
        <w:gridCol w:w="1620"/>
        <w:gridCol w:w="1620"/>
        <w:gridCol w:w="1800"/>
        <w:gridCol w:w="1350"/>
        <w:gridCol w:w="1261"/>
      </w:tblGrid>
      <w:tr w:rsidR="008544AA" w:rsidRPr="00DC1DE3" w14:paraId="14D093E9" w14:textId="77777777" w:rsidTr="00F470F1">
        <w:trPr>
          <w:trHeight w:val="1178"/>
          <w:tblHeader/>
          <w:jc w:val="center"/>
        </w:trPr>
        <w:tc>
          <w:tcPr>
            <w:tcW w:w="30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1A21ED" w14:textId="77777777" w:rsidR="008544AA" w:rsidRPr="00DC1DE3" w:rsidRDefault="008544AA" w:rsidP="00E42B12">
            <w:pPr>
              <w:pStyle w:val="BodyText"/>
              <w:spacing w:before="120" w:after="120"/>
              <w:rPr>
                <w:b/>
              </w:rPr>
            </w:pPr>
            <w:r w:rsidRPr="00DC1DE3">
              <w:rPr>
                <w:b/>
              </w:rPr>
              <w:t>Cost Item</w:t>
            </w:r>
            <w:bookmarkStart w:id="209" w:name="_3ygebqi"/>
            <w:bookmarkEnd w:id="209"/>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0A2B06" w14:textId="4C5DBFE1" w:rsidR="008544AA" w:rsidRPr="00DC1DE3" w:rsidRDefault="008544AA" w:rsidP="00E42B12">
            <w:pPr>
              <w:pStyle w:val="BodyText"/>
              <w:spacing w:before="120" w:after="120"/>
              <w:rPr>
                <w:b/>
              </w:rPr>
            </w:pPr>
            <w:r w:rsidRPr="00DC1DE3">
              <w:rPr>
                <w:b/>
              </w:rPr>
              <w:t>Educational</w:t>
            </w:r>
            <w:r w:rsidR="00943164">
              <w:rPr>
                <w:b/>
              </w:rPr>
              <w:t xml:space="preserve"> </w:t>
            </w:r>
            <w:r w:rsidRPr="00DC1DE3">
              <w:rPr>
                <w:b/>
              </w:rPr>
              <w:t>Institutions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16EFA" w14:textId="77777777" w:rsidR="008544AA" w:rsidRPr="00DC1DE3" w:rsidRDefault="008544AA" w:rsidP="00E42B12">
            <w:pPr>
              <w:pStyle w:val="BodyText"/>
              <w:spacing w:before="120" w:after="120"/>
              <w:rPr>
                <w:b/>
              </w:rPr>
            </w:pPr>
            <w:r w:rsidRPr="00DC1DE3">
              <w:rPr>
                <w:b/>
              </w:rPr>
              <w:t>Non-Profit Organizations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AB58F1" w14:textId="77777777" w:rsidR="008544AA" w:rsidRPr="00DC1DE3" w:rsidRDefault="008544AA" w:rsidP="00E42B12">
            <w:pPr>
              <w:pStyle w:val="BodyText"/>
              <w:spacing w:before="120" w:after="120"/>
              <w:rPr>
                <w:b/>
              </w:rPr>
            </w:pPr>
            <w:r w:rsidRPr="00DC1DE3">
              <w:rPr>
                <w:b/>
              </w:rPr>
              <w:t>State, Local, and Indian Tribal Governments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B099C2" w14:textId="6BB156D2" w:rsidR="008544AA" w:rsidRPr="00DC1DE3" w:rsidRDefault="008544AA" w:rsidP="00E42B12">
            <w:pPr>
              <w:pStyle w:val="BodyText"/>
              <w:spacing w:before="120" w:after="120"/>
              <w:rPr>
                <w:b/>
              </w:rPr>
            </w:pPr>
            <w:r w:rsidRPr="00DC1DE3">
              <w:rPr>
                <w:b/>
              </w:rPr>
              <w:t>Uniform Guidance</w:t>
            </w:r>
            <w:r w:rsidR="00943164">
              <w:rPr>
                <w:b/>
              </w:rPr>
              <w:t xml:space="preserve"> </w:t>
            </w:r>
            <w:r w:rsidRPr="00DC1DE3">
              <w:rPr>
                <w:b/>
              </w:rPr>
              <w:t>Section</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078045" w14:textId="77777777" w:rsidR="008544AA" w:rsidRPr="00DC1DE3" w:rsidRDefault="008544AA" w:rsidP="00E42B12">
            <w:pPr>
              <w:pStyle w:val="BodyText"/>
              <w:spacing w:before="120" w:after="120"/>
              <w:rPr>
                <w:b/>
              </w:rPr>
            </w:pPr>
            <w:r w:rsidRPr="00DC1DE3">
              <w:rPr>
                <w:b/>
              </w:rPr>
              <w:t>DOL Exception Section</w:t>
            </w:r>
          </w:p>
        </w:tc>
      </w:tr>
      <w:tr w:rsidR="008544AA" w:rsidRPr="00DC1DE3" w14:paraId="5EC662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0C71801" w14:textId="77777777" w:rsidR="008544AA" w:rsidRPr="00DC1DE3" w:rsidRDefault="008544AA" w:rsidP="00943164">
            <w:pPr>
              <w:pStyle w:val="BodyText"/>
            </w:pPr>
            <w:bookmarkStart w:id="210" w:name="_sqyw64"/>
            <w:bookmarkStart w:id="211" w:name="_2dlolyb"/>
            <w:bookmarkEnd w:id="210"/>
            <w:bookmarkEnd w:id="211"/>
          </w:p>
        </w:tc>
        <w:tc>
          <w:tcPr>
            <w:tcW w:w="2531" w:type="dxa"/>
            <w:tcBorders>
              <w:top w:val="single" w:sz="4" w:space="0" w:color="000000"/>
              <w:left w:val="single" w:sz="4" w:space="0" w:color="000000"/>
              <w:bottom w:val="single" w:sz="4" w:space="0" w:color="000000"/>
              <w:right w:val="single" w:sz="4" w:space="0" w:color="000000"/>
            </w:tcBorders>
            <w:hideMark/>
          </w:tcPr>
          <w:p w14:paraId="10F0A759" w14:textId="77777777" w:rsidR="008544AA" w:rsidRPr="00DC1DE3" w:rsidRDefault="008544AA" w:rsidP="00E42B12">
            <w:pPr>
              <w:pStyle w:val="BodyText"/>
              <w:spacing w:before="120" w:after="120"/>
            </w:pPr>
            <w:r w:rsidRPr="00DC1DE3">
              <w:t>Advertising and public relations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50B1A8" w14:textId="77777777" w:rsidR="008544AA" w:rsidRPr="00DC1DE3" w:rsidRDefault="008544AA" w:rsidP="00E42B12">
            <w:pPr>
              <w:pStyle w:val="BodyText"/>
              <w:spacing w:before="120" w:after="120"/>
            </w:pPr>
            <w:r w:rsidRPr="00DC1DE3">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1BC804D" w14:textId="77777777" w:rsidR="008544AA" w:rsidRPr="00DC1DE3" w:rsidRDefault="008544AA" w:rsidP="00E42B12">
            <w:pPr>
              <w:pStyle w:val="BodyText"/>
              <w:spacing w:before="120" w:after="120"/>
            </w:pPr>
            <w:r w:rsidRPr="00DC1DE3">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92F6FF" w14:textId="77777777" w:rsidR="008544AA" w:rsidRPr="00DC1DE3" w:rsidRDefault="008544AA" w:rsidP="00E42B12">
            <w:pPr>
              <w:pStyle w:val="BodyText"/>
              <w:spacing w:before="120" w:after="120"/>
            </w:pPr>
            <w:r w:rsidRPr="00DC1DE3">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1A5320" w14:textId="77777777" w:rsidR="008544AA" w:rsidRPr="000E5A3D" w:rsidRDefault="008544AA" w:rsidP="00E42B12">
            <w:pPr>
              <w:pStyle w:val="BodyText"/>
              <w:spacing w:before="120" w:after="120"/>
              <w:rPr>
                <w:color w:val="0070C0"/>
                <w:u w:val="single"/>
              </w:rPr>
            </w:pPr>
            <w:hyperlink r:id="rId53" w:anchor="se2.1.200_1421" w:history="1">
              <w:r w:rsidRPr="000E5A3D">
                <w:rPr>
                  <w:color w:val="0070C0"/>
                  <w:u w:val="single"/>
                </w:rPr>
                <w:t>200.421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8F3DF33" w14:textId="77777777" w:rsidR="008544AA" w:rsidRPr="00DC1DE3" w:rsidRDefault="008544AA" w:rsidP="00E42B12">
            <w:pPr>
              <w:pStyle w:val="BodyText"/>
              <w:spacing w:before="120" w:after="120"/>
            </w:pPr>
          </w:p>
        </w:tc>
      </w:tr>
      <w:tr w:rsidR="008544AA" w:rsidRPr="00DC1DE3" w14:paraId="139C143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BC339D7"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0B8EEE83" w14:textId="77777777" w:rsidR="008544AA" w:rsidRPr="00DC1DE3" w:rsidRDefault="008544AA" w:rsidP="00E42B12">
            <w:pPr>
              <w:pStyle w:val="BodyText"/>
              <w:spacing w:before="120" w:after="120"/>
            </w:pPr>
            <w:r w:rsidRPr="00DC1DE3">
              <w:t>Advisory councils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60BF61" w14:textId="77777777" w:rsidR="008544AA" w:rsidRPr="00DC1DE3" w:rsidRDefault="008544AA" w:rsidP="00E42B12">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B9AB105" w14:textId="77777777" w:rsidR="008544AA" w:rsidRPr="00DC1DE3" w:rsidRDefault="008544AA" w:rsidP="00E42B12">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860348" w14:textId="77777777" w:rsidR="008544AA" w:rsidRPr="00DC1DE3" w:rsidRDefault="008544AA" w:rsidP="00E42B12">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8389B60" w14:textId="77777777" w:rsidR="008544AA" w:rsidRPr="000E5A3D" w:rsidRDefault="008544AA" w:rsidP="00E42B12">
            <w:pPr>
              <w:pStyle w:val="BodyText"/>
              <w:spacing w:before="120" w:after="120"/>
              <w:rPr>
                <w:color w:val="0070C0"/>
                <w:u w:val="single"/>
              </w:rPr>
            </w:pPr>
            <w:hyperlink r:id="rId54" w:anchor="se2.1.200_1422" w:history="1">
              <w:r w:rsidRPr="000E5A3D">
                <w:rPr>
                  <w:color w:val="0070C0"/>
                  <w:u w:val="single"/>
                </w:rPr>
                <w:t>200.422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AD90E2" w14:textId="77777777" w:rsidR="008544AA" w:rsidRPr="00DC1DE3" w:rsidRDefault="008544AA" w:rsidP="00E42B12">
            <w:pPr>
              <w:pStyle w:val="BodyText"/>
              <w:spacing w:before="120" w:after="120"/>
            </w:pPr>
          </w:p>
        </w:tc>
      </w:tr>
      <w:tr w:rsidR="008544AA" w:rsidRPr="00DC1DE3" w14:paraId="2A50480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C0E516"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34216C09" w14:textId="77777777" w:rsidR="008544AA" w:rsidRPr="00DC1DE3" w:rsidRDefault="008544AA" w:rsidP="00E42B12">
            <w:pPr>
              <w:pStyle w:val="BodyText"/>
              <w:spacing w:before="120" w:after="120"/>
            </w:pPr>
            <w:r w:rsidRPr="00DC1DE3">
              <w:t>Alcoholic beverages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3A7675" w14:textId="77777777" w:rsidR="008544AA" w:rsidRPr="00DC1DE3" w:rsidRDefault="008544AA" w:rsidP="00E42B12">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ADF0A2C" w14:textId="77777777" w:rsidR="008544AA" w:rsidRPr="00DC1DE3" w:rsidRDefault="008544AA" w:rsidP="00E42B12">
            <w:pPr>
              <w:pStyle w:val="BodyText"/>
              <w:spacing w:before="120" w:after="120"/>
            </w:pPr>
            <w:r w:rsidRPr="00DC1DE3">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995FF26" w14:textId="77777777" w:rsidR="008544AA" w:rsidRPr="00DC1DE3" w:rsidRDefault="008544AA" w:rsidP="00E42B12">
            <w:pPr>
              <w:pStyle w:val="BodyText"/>
              <w:spacing w:before="120" w:after="120"/>
            </w:pPr>
            <w:r w:rsidRPr="00DC1DE3">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A6A067C" w14:textId="77777777" w:rsidR="008544AA" w:rsidRPr="000E5A3D" w:rsidRDefault="008544AA" w:rsidP="00E42B12">
            <w:pPr>
              <w:pStyle w:val="BodyText"/>
              <w:spacing w:before="120" w:after="120"/>
              <w:rPr>
                <w:color w:val="0070C0"/>
                <w:u w:val="single"/>
              </w:rPr>
            </w:pPr>
            <w:hyperlink r:id="rId55" w:anchor="se2.1.200_1423" w:history="1">
              <w:r w:rsidRPr="000E5A3D">
                <w:rPr>
                  <w:color w:val="0070C0"/>
                  <w:u w:val="single"/>
                </w:rPr>
                <w:t>200.423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08786EF" w14:textId="77777777" w:rsidR="008544AA" w:rsidRPr="00DC1DE3" w:rsidRDefault="008544AA" w:rsidP="00E42B12">
            <w:pPr>
              <w:pStyle w:val="BodyText"/>
              <w:spacing w:before="120" w:after="120"/>
            </w:pPr>
          </w:p>
        </w:tc>
      </w:tr>
      <w:tr w:rsidR="008544AA" w:rsidRPr="00DC1DE3" w14:paraId="1DECB03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E82023"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3825D8A0" w14:textId="77777777" w:rsidR="008544AA" w:rsidRPr="00DC1DE3" w:rsidRDefault="008544AA" w:rsidP="00E42B12">
            <w:pPr>
              <w:pStyle w:val="BodyText"/>
              <w:spacing w:before="120" w:after="120"/>
            </w:pPr>
            <w:r w:rsidRPr="00DC1DE3">
              <w:t>Alumni/ae activities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F439E9" w14:textId="77777777" w:rsidR="008544AA" w:rsidRPr="00DC1DE3" w:rsidRDefault="008544AA" w:rsidP="00E42B12">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5E5393" w14:textId="77777777" w:rsidR="008544AA" w:rsidRPr="00DC1DE3" w:rsidRDefault="008544AA" w:rsidP="00E42B12">
            <w:pPr>
              <w:pStyle w:val="BodyText"/>
              <w:spacing w:before="120" w:after="120"/>
            </w:pPr>
            <w:r w:rsidRPr="00DC1DE3">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B8DD29" w14:textId="77777777" w:rsidR="008544AA" w:rsidRPr="00DC1DE3" w:rsidRDefault="008544AA" w:rsidP="00E42B12">
            <w:pPr>
              <w:pStyle w:val="BodyText"/>
              <w:spacing w:before="120" w:after="120"/>
            </w:pPr>
            <w:r w:rsidRPr="00DC1DE3">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092E8E" w14:textId="77777777" w:rsidR="008544AA" w:rsidRPr="000E5A3D" w:rsidRDefault="008544AA" w:rsidP="00E42B12">
            <w:pPr>
              <w:pStyle w:val="BodyText"/>
              <w:spacing w:before="120" w:after="120"/>
              <w:rPr>
                <w:color w:val="0070C0"/>
                <w:u w:val="single"/>
              </w:rPr>
            </w:pPr>
            <w:hyperlink r:id="rId56" w:anchor="se2.1.200_1424" w:history="1">
              <w:r w:rsidRPr="000E5A3D">
                <w:rPr>
                  <w:color w:val="0070C0"/>
                  <w:u w:val="single"/>
                </w:rPr>
                <w:t>200.424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54BF46D" w14:textId="77777777" w:rsidR="008544AA" w:rsidRPr="00DC1DE3" w:rsidRDefault="008544AA" w:rsidP="00E42B12">
            <w:pPr>
              <w:pStyle w:val="BodyText"/>
              <w:spacing w:before="120" w:after="120"/>
            </w:pPr>
          </w:p>
        </w:tc>
      </w:tr>
      <w:tr w:rsidR="008544AA" w:rsidRPr="00DC1DE3" w14:paraId="69C458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C313E25"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2829D734" w14:textId="77777777" w:rsidR="008544AA" w:rsidRPr="00DC1DE3" w:rsidRDefault="008544AA" w:rsidP="00E42B12">
            <w:pPr>
              <w:pStyle w:val="BodyText"/>
              <w:spacing w:before="120" w:after="120"/>
            </w:pPr>
            <w:r w:rsidRPr="00DC1DE3">
              <w:t>Audit services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8319D7C" w14:textId="77777777" w:rsidR="008544AA" w:rsidRPr="00DC1DE3" w:rsidRDefault="008544AA" w:rsidP="00E42B12">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7395B5" w14:textId="77777777" w:rsidR="008544AA" w:rsidRPr="00DC1DE3" w:rsidRDefault="008544AA" w:rsidP="00E42B12">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7431DAA" w14:textId="77777777" w:rsidR="008544AA" w:rsidRPr="00DC1DE3" w:rsidRDefault="008544AA" w:rsidP="00E42B12">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D5E597" w14:textId="77777777" w:rsidR="008544AA" w:rsidRPr="000E5A3D" w:rsidRDefault="008544AA" w:rsidP="00E42B12">
            <w:pPr>
              <w:pStyle w:val="BodyText"/>
              <w:spacing w:before="120" w:after="120"/>
              <w:rPr>
                <w:color w:val="0070C0"/>
                <w:u w:val="single"/>
              </w:rPr>
            </w:pPr>
            <w:hyperlink r:id="rId57" w:anchor="se2.1.200_1425" w:history="1">
              <w:r w:rsidRPr="000E5A3D">
                <w:rPr>
                  <w:color w:val="0070C0"/>
                  <w:u w:val="single"/>
                </w:rPr>
                <w:t>200.425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CD59BBC" w14:textId="77777777" w:rsidR="008544AA" w:rsidRPr="00DC1DE3" w:rsidRDefault="008544AA" w:rsidP="00E42B12">
            <w:pPr>
              <w:pStyle w:val="BodyText"/>
              <w:spacing w:before="120" w:after="120"/>
            </w:pPr>
          </w:p>
        </w:tc>
      </w:tr>
      <w:tr w:rsidR="008544AA" w:rsidRPr="00DC1DE3" w14:paraId="32A9B95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C92AAEC"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11B3EAE4" w14:textId="77777777" w:rsidR="008544AA" w:rsidRPr="00DC1DE3" w:rsidRDefault="008544AA" w:rsidP="00E42B12">
            <w:pPr>
              <w:pStyle w:val="BodyText"/>
              <w:spacing w:before="120" w:after="120"/>
            </w:pPr>
            <w:r w:rsidRPr="00DC1DE3">
              <w:t>Bad debts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46E76C" w14:textId="77777777" w:rsidR="008544AA" w:rsidRPr="00DC1DE3" w:rsidRDefault="008544AA" w:rsidP="00E42B12">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28F5B9" w14:textId="77777777" w:rsidR="008544AA" w:rsidRPr="00DC1DE3" w:rsidRDefault="008544AA" w:rsidP="00E42B12">
            <w:pPr>
              <w:pStyle w:val="BodyText"/>
              <w:spacing w:before="120" w:after="120"/>
            </w:pPr>
            <w:r w:rsidRPr="00DC1DE3">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B678BBA" w14:textId="77777777" w:rsidR="008544AA" w:rsidRPr="00DC1DE3" w:rsidRDefault="008544AA" w:rsidP="00E42B12">
            <w:pPr>
              <w:pStyle w:val="BodyText"/>
              <w:spacing w:before="120" w:after="120"/>
            </w:pPr>
            <w:r w:rsidRPr="00DC1DE3">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685063" w14:textId="77777777" w:rsidR="008544AA" w:rsidRPr="000E5A3D" w:rsidRDefault="008544AA" w:rsidP="00E42B12">
            <w:pPr>
              <w:pStyle w:val="BodyText"/>
              <w:spacing w:before="120" w:after="120"/>
              <w:rPr>
                <w:color w:val="0070C0"/>
                <w:u w:val="single"/>
              </w:rPr>
            </w:pPr>
            <w:hyperlink r:id="rId58" w:anchor="se2.1.200_1426" w:history="1">
              <w:r w:rsidRPr="000E5A3D">
                <w:rPr>
                  <w:color w:val="0070C0"/>
                  <w:u w:val="single"/>
                </w:rPr>
                <w:t>200.426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E0BC6E" w14:textId="77777777" w:rsidR="008544AA" w:rsidRPr="00DC1DE3" w:rsidRDefault="008544AA" w:rsidP="00E42B12">
            <w:pPr>
              <w:pStyle w:val="BodyText"/>
              <w:spacing w:before="120" w:after="120"/>
            </w:pPr>
          </w:p>
        </w:tc>
      </w:tr>
      <w:tr w:rsidR="008544AA" w:rsidRPr="00DC1DE3" w14:paraId="2B8507C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4379E9D"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54CCB15E" w14:textId="77777777" w:rsidR="008544AA" w:rsidRPr="00DC1DE3" w:rsidRDefault="008544AA" w:rsidP="00E42B12">
            <w:pPr>
              <w:pStyle w:val="BodyText"/>
              <w:spacing w:before="120" w:after="120"/>
            </w:pPr>
            <w:r w:rsidRPr="00DC1DE3">
              <w:t>Bonding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BBD562A" w14:textId="77777777" w:rsidR="008544AA" w:rsidRPr="00DC1DE3" w:rsidRDefault="008544AA" w:rsidP="00E42B12">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99F5C21" w14:textId="77777777" w:rsidR="008544AA" w:rsidRPr="00DC1DE3" w:rsidRDefault="008544AA" w:rsidP="00E42B12">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9E33C8" w14:textId="77777777" w:rsidR="008544AA" w:rsidRPr="00DC1DE3" w:rsidRDefault="008544AA" w:rsidP="00E42B12">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D3558AC" w14:textId="77777777" w:rsidR="008544AA" w:rsidRPr="000E5A3D" w:rsidRDefault="008544AA" w:rsidP="00E42B12">
            <w:pPr>
              <w:pStyle w:val="BodyText"/>
              <w:spacing w:before="120" w:after="120"/>
              <w:rPr>
                <w:color w:val="0070C0"/>
                <w:u w:val="single"/>
              </w:rPr>
            </w:pPr>
            <w:hyperlink r:id="rId59" w:anchor="se2.1.200_1427" w:history="1">
              <w:r w:rsidRPr="000E5A3D">
                <w:rPr>
                  <w:color w:val="0070C0"/>
                  <w:u w:val="single"/>
                </w:rPr>
                <w:t>200.427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297903C" w14:textId="77777777" w:rsidR="008544AA" w:rsidRPr="00DC1DE3" w:rsidRDefault="008544AA" w:rsidP="00E42B12">
            <w:pPr>
              <w:pStyle w:val="BodyText"/>
              <w:spacing w:before="120" w:after="120"/>
            </w:pPr>
          </w:p>
        </w:tc>
      </w:tr>
      <w:tr w:rsidR="008544AA" w:rsidRPr="00DC1DE3" w14:paraId="3F4C91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88C0DA"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7E5B3752" w14:textId="77777777" w:rsidR="008544AA" w:rsidRPr="00DC1DE3" w:rsidRDefault="008544AA" w:rsidP="00E42B12">
            <w:pPr>
              <w:pStyle w:val="BodyText"/>
              <w:spacing w:before="120" w:after="120"/>
            </w:pPr>
            <w:r w:rsidRPr="00DC1DE3">
              <w:t>Collection of improper payments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6339D" w14:textId="77777777" w:rsidR="008544AA" w:rsidRPr="00DC1DE3" w:rsidRDefault="008544AA" w:rsidP="00E42B12">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D6B406" w14:textId="77777777" w:rsidR="008544AA" w:rsidRPr="00DC1DE3" w:rsidRDefault="008544AA" w:rsidP="00E42B12">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2C5278B" w14:textId="77777777" w:rsidR="008544AA" w:rsidRPr="00DC1DE3" w:rsidRDefault="008544AA" w:rsidP="00E42B12">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8ABF69" w14:textId="77777777" w:rsidR="008544AA" w:rsidRPr="000E5A3D" w:rsidRDefault="008544AA" w:rsidP="00E42B12">
            <w:pPr>
              <w:pStyle w:val="BodyText"/>
              <w:spacing w:before="120" w:after="120"/>
              <w:rPr>
                <w:color w:val="0070C0"/>
                <w:u w:val="single"/>
              </w:rPr>
            </w:pPr>
            <w:hyperlink r:id="rId60" w:anchor="se2.1.200_1428" w:history="1">
              <w:r w:rsidRPr="000E5A3D">
                <w:rPr>
                  <w:color w:val="0070C0"/>
                  <w:u w:val="single"/>
                </w:rPr>
                <w:t>200.428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DDF6A9" w14:textId="77777777" w:rsidR="008544AA" w:rsidRPr="00DC1DE3" w:rsidRDefault="008544AA" w:rsidP="00E42B12">
            <w:pPr>
              <w:pStyle w:val="BodyText"/>
              <w:spacing w:before="120" w:after="120"/>
            </w:pPr>
          </w:p>
        </w:tc>
      </w:tr>
      <w:tr w:rsidR="008544AA" w:rsidRPr="00DC1DE3" w14:paraId="63F307E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76C441F" w14:textId="77777777" w:rsidR="008544AA" w:rsidRPr="00DC1DE3" w:rsidRDefault="008544AA" w:rsidP="00943164">
            <w:pPr>
              <w:pStyle w:val="BodyText"/>
            </w:pPr>
          </w:p>
        </w:tc>
        <w:tc>
          <w:tcPr>
            <w:tcW w:w="2531" w:type="dxa"/>
            <w:tcBorders>
              <w:top w:val="single" w:sz="4" w:space="0" w:color="000000"/>
              <w:left w:val="single" w:sz="4" w:space="0" w:color="000000"/>
              <w:bottom w:val="single" w:sz="4" w:space="0" w:color="000000"/>
              <w:right w:val="single" w:sz="4" w:space="0" w:color="000000"/>
            </w:tcBorders>
            <w:hideMark/>
          </w:tcPr>
          <w:p w14:paraId="0F7E423D" w14:textId="77777777" w:rsidR="008544AA" w:rsidRPr="00DC1DE3" w:rsidRDefault="008544AA" w:rsidP="00E42B12">
            <w:pPr>
              <w:pStyle w:val="BodyText"/>
              <w:spacing w:before="120" w:after="120"/>
            </w:pPr>
            <w:r w:rsidRPr="00DC1DE3">
              <w:t>Commencement and convocation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BFE411" w14:textId="77777777" w:rsidR="008544AA" w:rsidRPr="00DC1DE3" w:rsidRDefault="008544AA" w:rsidP="00E42B12">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9D4C12" w14:textId="77777777" w:rsidR="008544AA" w:rsidRPr="00DC1DE3" w:rsidRDefault="008544AA" w:rsidP="00E42B12">
            <w:pPr>
              <w:pStyle w:val="BodyText"/>
              <w:spacing w:before="120" w:after="120"/>
            </w:pPr>
            <w:r w:rsidRPr="00DC1DE3">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A7C3DF6" w14:textId="77777777" w:rsidR="008544AA" w:rsidRPr="00DC1DE3" w:rsidRDefault="008544AA" w:rsidP="00E42B12">
            <w:pPr>
              <w:pStyle w:val="BodyText"/>
              <w:spacing w:before="120" w:after="120"/>
            </w:pPr>
            <w:r w:rsidRPr="00DC1DE3">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B61BDAA" w14:textId="77777777" w:rsidR="008544AA" w:rsidRPr="000E5A3D" w:rsidRDefault="008544AA" w:rsidP="00E42B12">
            <w:pPr>
              <w:pStyle w:val="BodyText"/>
              <w:spacing w:before="120" w:after="120"/>
              <w:rPr>
                <w:color w:val="0070C0"/>
                <w:u w:val="single"/>
              </w:rPr>
            </w:pPr>
            <w:hyperlink r:id="rId61" w:anchor="se2.1.200_1429" w:history="1">
              <w:r w:rsidRPr="000E5A3D">
                <w:rPr>
                  <w:color w:val="0070C0"/>
                  <w:u w:val="single"/>
                </w:rPr>
                <w:t>200.429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FB5FE8B" w14:textId="77777777" w:rsidR="008544AA" w:rsidRPr="00DC1DE3" w:rsidRDefault="008544AA" w:rsidP="00E42B12">
            <w:pPr>
              <w:pStyle w:val="BodyText"/>
              <w:spacing w:before="120" w:after="120"/>
            </w:pPr>
          </w:p>
        </w:tc>
      </w:tr>
      <w:tr w:rsidR="008544AA" w:rsidRPr="00DC1DE3" w14:paraId="0EDA45D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D829728"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5EDD7DD" w14:textId="77777777" w:rsidR="008544AA" w:rsidRPr="00DC1DE3" w:rsidRDefault="008544AA" w:rsidP="00E42B12">
            <w:pPr>
              <w:pStyle w:val="BodyText"/>
              <w:spacing w:before="120" w:after="120"/>
            </w:pPr>
            <w:r w:rsidRPr="00DC1DE3">
              <w:t xml:space="preserve">Compensation – personal services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07EF65A" w14:textId="77777777" w:rsidR="008544AA" w:rsidRPr="00DC1DE3" w:rsidRDefault="008544AA" w:rsidP="00E42B12">
            <w:pPr>
              <w:pStyle w:val="BodyText"/>
              <w:spacing w:before="120" w:after="120"/>
            </w:pPr>
            <w:r w:rsidRPr="00DC1DE3">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BDB5F6" w14:textId="77777777" w:rsidR="008544AA" w:rsidRPr="00DC1DE3" w:rsidRDefault="008544AA" w:rsidP="00E42B12">
            <w:pPr>
              <w:pStyle w:val="BodyText"/>
              <w:spacing w:before="120" w:after="120"/>
            </w:pPr>
            <w:r w:rsidRPr="00DC1DE3">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FA5AFB" w14:textId="77777777" w:rsidR="008544AA" w:rsidRPr="00DC1DE3" w:rsidRDefault="008544AA" w:rsidP="00E42B12">
            <w:pPr>
              <w:pStyle w:val="BodyText"/>
              <w:spacing w:before="120" w:after="120"/>
            </w:pPr>
            <w:r w:rsidRPr="00DC1DE3">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0814D5D" w14:textId="77777777" w:rsidR="008544AA" w:rsidRPr="000E5A3D" w:rsidRDefault="008544AA" w:rsidP="00E42B12">
            <w:pPr>
              <w:pStyle w:val="BodyText"/>
              <w:spacing w:before="120" w:after="120"/>
              <w:rPr>
                <w:color w:val="0070C0"/>
                <w:u w:val="single"/>
              </w:rPr>
            </w:pPr>
            <w:hyperlink r:id="rId62" w:anchor="se2.1.200_1430" w:history="1">
              <w:r w:rsidRPr="000E5A3D">
                <w:rPr>
                  <w:color w:val="0070C0"/>
                  <w:u w:val="single"/>
                </w:rPr>
                <w:t>200.430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B81D523" w14:textId="77777777" w:rsidR="008544AA" w:rsidRPr="00DC1DE3" w:rsidRDefault="008544AA" w:rsidP="00E42B12">
            <w:pPr>
              <w:pStyle w:val="BodyText"/>
              <w:spacing w:before="120" w:after="120"/>
            </w:pPr>
          </w:p>
        </w:tc>
      </w:tr>
      <w:tr w:rsidR="008544AA" w:rsidRPr="00DC1DE3" w14:paraId="65FBA6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6B6A77E"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8446AD0" w14:textId="77777777" w:rsidR="008544AA" w:rsidRPr="00DC1DE3" w:rsidRDefault="008544AA" w:rsidP="00E42B12">
            <w:pPr>
              <w:pStyle w:val="BodyText"/>
              <w:spacing w:before="120" w:after="120"/>
            </w:pPr>
            <w:r w:rsidRPr="00DC1DE3">
              <w:t xml:space="preserve">Compensation – fringe benefits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25F77" w14:textId="77777777" w:rsidR="008544AA" w:rsidRPr="00DC1DE3" w:rsidRDefault="008544AA" w:rsidP="00E42B12">
            <w:pPr>
              <w:pStyle w:val="BodyText"/>
              <w:spacing w:before="120" w:after="120"/>
            </w:pPr>
            <w:r w:rsidRPr="00DC1DE3">
              <w:t>A /U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D53106" w14:textId="77777777" w:rsidR="008544AA" w:rsidRPr="00DC1DE3" w:rsidRDefault="008544AA" w:rsidP="00E42B12">
            <w:pPr>
              <w:pStyle w:val="BodyText"/>
              <w:spacing w:before="120" w:after="120"/>
            </w:pPr>
            <w:r w:rsidRPr="00DC1DE3">
              <w:t>A /U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C67006" w14:textId="77777777" w:rsidR="008544AA" w:rsidRPr="00DC1DE3" w:rsidRDefault="008544AA" w:rsidP="00E42B12">
            <w:pPr>
              <w:pStyle w:val="BodyText"/>
              <w:spacing w:before="120" w:after="120"/>
            </w:pPr>
            <w:r w:rsidRPr="00DC1DE3">
              <w:t>A /U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2C45C8A" w14:textId="77777777" w:rsidR="008544AA" w:rsidRPr="000E5A3D" w:rsidRDefault="008544AA" w:rsidP="00E42B12">
            <w:pPr>
              <w:pStyle w:val="BodyText"/>
              <w:spacing w:before="120" w:after="120"/>
              <w:rPr>
                <w:color w:val="0070C0"/>
                <w:u w:val="single"/>
              </w:rPr>
            </w:pPr>
            <w:hyperlink r:id="rId63" w:anchor="se2.1.200_1431" w:history="1">
              <w:r w:rsidRPr="000E5A3D">
                <w:rPr>
                  <w:color w:val="0070C0"/>
                  <w:u w:val="single"/>
                </w:rPr>
                <w:t>200.431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1EE31D" w14:textId="77777777" w:rsidR="008544AA" w:rsidRPr="00DC1DE3" w:rsidRDefault="008544AA" w:rsidP="00E42B12">
            <w:pPr>
              <w:pStyle w:val="BodyText"/>
              <w:spacing w:before="120" w:after="120"/>
            </w:pPr>
          </w:p>
        </w:tc>
      </w:tr>
      <w:tr w:rsidR="008544AA" w:rsidRPr="00DC1DE3" w14:paraId="0F20625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224DEFC"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B8B09D7" w14:textId="77777777" w:rsidR="008544AA" w:rsidRPr="00DC1DE3" w:rsidRDefault="008544AA" w:rsidP="00E42B12">
            <w:pPr>
              <w:pStyle w:val="BodyText"/>
              <w:spacing w:before="120" w:after="120"/>
            </w:pPr>
            <w:r w:rsidRPr="00DC1DE3">
              <w:t>Conferences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00561F7" w14:textId="77777777" w:rsidR="008544AA" w:rsidRPr="00DC1DE3" w:rsidRDefault="008544AA" w:rsidP="00E42B12">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8BF793" w14:textId="77777777" w:rsidR="008544AA" w:rsidRPr="00DC1DE3" w:rsidRDefault="008544AA" w:rsidP="00E42B12">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9A5C11C" w14:textId="77777777" w:rsidR="008544AA" w:rsidRPr="00DC1DE3" w:rsidRDefault="008544AA" w:rsidP="00E42B12">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6EE166E" w14:textId="77777777" w:rsidR="008544AA" w:rsidRPr="000E5A3D" w:rsidRDefault="008544AA" w:rsidP="00E42B12">
            <w:pPr>
              <w:pStyle w:val="BodyText"/>
              <w:spacing w:before="120" w:after="120"/>
              <w:rPr>
                <w:color w:val="0070C0"/>
                <w:u w:val="single"/>
              </w:rPr>
            </w:pPr>
            <w:hyperlink r:id="rId64" w:anchor="se2.1.200_1432" w:history="1">
              <w:r w:rsidRPr="000E5A3D">
                <w:rPr>
                  <w:color w:val="0070C0"/>
                  <w:u w:val="single"/>
                </w:rPr>
                <w:t>200.432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6DF49D6" w14:textId="77777777" w:rsidR="008544AA" w:rsidRPr="00DC1DE3" w:rsidRDefault="008544AA" w:rsidP="00E42B12">
            <w:pPr>
              <w:pStyle w:val="BodyText"/>
              <w:spacing w:before="120" w:after="120"/>
            </w:pPr>
          </w:p>
        </w:tc>
      </w:tr>
      <w:tr w:rsidR="008544AA" w:rsidRPr="00DC1DE3" w14:paraId="6A49BC8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69AE5F"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9535BA3" w14:textId="77777777" w:rsidR="008544AA" w:rsidRPr="00DC1DE3" w:rsidRDefault="008544AA" w:rsidP="00E42B12">
            <w:pPr>
              <w:pStyle w:val="BodyText"/>
              <w:spacing w:before="120" w:after="120"/>
            </w:pPr>
            <w:r w:rsidRPr="00DC1DE3">
              <w:t>Contingency provisions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F4FFC" w14:textId="77777777" w:rsidR="008544AA" w:rsidRPr="00DC1DE3" w:rsidRDefault="008544AA" w:rsidP="00E42B12">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DC533B" w14:textId="77777777" w:rsidR="008544AA" w:rsidRPr="00DC1DE3" w:rsidRDefault="008544AA" w:rsidP="00E42B12">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F71F2B9" w14:textId="77777777" w:rsidR="008544AA" w:rsidRPr="00DC1DE3" w:rsidRDefault="008544AA" w:rsidP="00E42B12">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1797973" w14:textId="77777777" w:rsidR="008544AA" w:rsidRPr="000E5A3D" w:rsidRDefault="008544AA" w:rsidP="00E42B12">
            <w:pPr>
              <w:pStyle w:val="BodyText"/>
              <w:spacing w:before="120" w:after="120"/>
              <w:rPr>
                <w:color w:val="0070C0"/>
                <w:u w:val="single"/>
              </w:rPr>
            </w:pPr>
            <w:hyperlink r:id="rId65" w:anchor="se2.1.200_1433" w:history="1">
              <w:r w:rsidRPr="000E5A3D">
                <w:rPr>
                  <w:color w:val="0070C0"/>
                  <w:u w:val="single"/>
                </w:rPr>
                <w:t>200.433</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0C350D3E" w14:textId="77777777" w:rsidR="008544AA" w:rsidRPr="001F6C53" w:rsidRDefault="008544AA" w:rsidP="00E42B12">
            <w:pPr>
              <w:pStyle w:val="BodyText"/>
              <w:spacing w:before="120" w:after="120"/>
            </w:pPr>
            <w:hyperlink r:id="rId66" w:history="1">
              <w:r w:rsidRPr="00526EB1">
                <w:rPr>
                  <w:color w:val="467886"/>
                </w:rPr>
                <w:t>2900.18</w:t>
              </w:r>
            </w:hyperlink>
          </w:p>
        </w:tc>
      </w:tr>
      <w:tr w:rsidR="008544AA" w:rsidRPr="00DC1DE3" w14:paraId="22A94877"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D3031A"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F2AD7C9" w14:textId="77777777" w:rsidR="008544AA" w:rsidRPr="00DC1DE3" w:rsidRDefault="008544AA" w:rsidP="00E42B12">
            <w:pPr>
              <w:pStyle w:val="BodyText"/>
              <w:spacing w:before="120" w:after="120"/>
            </w:pPr>
            <w:r w:rsidRPr="00DC1DE3">
              <w:t>Contributions and donations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A4FD9B" w14:textId="77777777" w:rsidR="008544AA" w:rsidRPr="00DC1DE3" w:rsidRDefault="008544AA" w:rsidP="00E42B12">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9A1F701" w14:textId="77777777" w:rsidR="008544AA" w:rsidRPr="00DC1DE3" w:rsidRDefault="008544AA" w:rsidP="00E42B12">
            <w:pPr>
              <w:pStyle w:val="BodyText"/>
              <w:spacing w:before="120" w:after="120"/>
            </w:pPr>
            <w:r w:rsidRPr="00DC1DE3">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8DB715" w14:textId="77777777" w:rsidR="008544AA" w:rsidRPr="00DC1DE3" w:rsidRDefault="008544AA" w:rsidP="00E42B12">
            <w:pPr>
              <w:pStyle w:val="BodyText"/>
              <w:spacing w:before="120" w:after="120"/>
            </w:pPr>
            <w:r w:rsidRPr="00DC1DE3">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8B572AE" w14:textId="77777777" w:rsidR="008544AA" w:rsidRPr="000E5A3D" w:rsidRDefault="008544AA" w:rsidP="00E42B12">
            <w:pPr>
              <w:pStyle w:val="BodyText"/>
              <w:spacing w:before="120" w:after="120"/>
              <w:rPr>
                <w:color w:val="0070C0"/>
                <w:u w:val="single"/>
              </w:rPr>
            </w:pPr>
            <w:hyperlink r:id="rId67" w:anchor="se2.1.200_1434" w:history="1">
              <w:r w:rsidRPr="000E5A3D">
                <w:rPr>
                  <w:color w:val="0070C0"/>
                  <w:u w:val="single"/>
                </w:rPr>
                <w:t>200.434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3FD2CB8" w14:textId="77777777" w:rsidR="008544AA" w:rsidRPr="00DC1DE3" w:rsidRDefault="008544AA" w:rsidP="00E42B12">
            <w:pPr>
              <w:pStyle w:val="BodyText"/>
              <w:spacing w:before="120" w:after="120"/>
            </w:pPr>
          </w:p>
        </w:tc>
      </w:tr>
      <w:tr w:rsidR="008544AA" w:rsidRPr="00DC1DE3" w14:paraId="54B6456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34DCADB"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A6C144A" w14:textId="77777777" w:rsidR="008544AA" w:rsidRPr="00DC1DE3" w:rsidRDefault="008544AA" w:rsidP="00E42B12">
            <w:pPr>
              <w:pStyle w:val="BodyText"/>
              <w:spacing w:before="120" w:after="120"/>
            </w:pPr>
            <w:r w:rsidRPr="00DC1DE3">
              <w:t>Defense and prosecution of criminal and civil proceedings, claims, appeals, and patent infringement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5347D4" w14:textId="77777777" w:rsidR="008544AA" w:rsidRPr="00DC1DE3" w:rsidRDefault="008544AA" w:rsidP="00E42B12">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8F76DE7" w14:textId="77777777" w:rsidR="008544AA" w:rsidRPr="00DC1DE3" w:rsidRDefault="008544AA" w:rsidP="00E42B12">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740013F" w14:textId="77777777" w:rsidR="008544AA" w:rsidRPr="00DC1DE3" w:rsidRDefault="008544AA" w:rsidP="00E42B12">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7CAEEB" w14:textId="77777777" w:rsidR="008544AA" w:rsidRPr="000E5A3D" w:rsidRDefault="008544AA" w:rsidP="00E42B12">
            <w:pPr>
              <w:pStyle w:val="BodyText"/>
              <w:spacing w:before="120" w:after="120"/>
              <w:rPr>
                <w:color w:val="0070C0"/>
                <w:u w:val="single"/>
              </w:rPr>
            </w:pPr>
            <w:hyperlink r:id="rId68" w:anchor="se2.1.200_1435" w:history="1">
              <w:r w:rsidRPr="000E5A3D">
                <w:rPr>
                  <w:color w:val="0070C0"/>
                  <w:u w:val="single"/>
                </w:rPr>
                <w:t>200.435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34F4FD4" w14:textId="77777777" w:rsidR="008544AA" w:rsidRPr="00DC1DE3" w:rsidRDefault="008544AA" w:rsidP="00E42B12">
            <w:pPr>
              <w:pStyle w:val="BodyText"/>
              <w:spacing w:before="120" w:after="120"/>
            </w:pPr>
          </w:p>
        </w:tc>
      </w:tr>
      <w:tr w:rsidR="008544AA" w:rsidRPr="00DC1DE3" w14:paraId="001147A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F91E5B2"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B25D6F9" w14:textId="77777777" w:rsidR="008544AA" w:rsidRPr="00DC1DE3" w:rsidRDefault="008544AA" w:rsidP="00E42B12">
            <w:pPr>
              <w:pStyle w:val="BodyText"/>
              <w:spacing w:before="120" w:after="120"/>
            </w:pPr>
            <w:r w:rsidRPr="00DC1DE3">
              <w:t xml:space="preserve">Depreciation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B4EB4C" w14:textId="77777777" w:rsidR="008544AA" w:rsidRPr="00DC1DE3" w:rsidRDefault="008544AA" w:rsidP="00E42B12">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B3781D" w14:textId="77777777" w:rsidR="008544AA" w:rsidRPr="00DC1DE3" w:rsidRDefault="008544AA" w:rsidP="00E42B12">
            <w:pPr>
              <w:pStyle w:val="BodyText"/>
              <w:spacing w:before="120" w:after="120"/>
            </w:pPr>
            <w:r w:rsidRPr="00DC1DE3">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13982C" w14:textId="77777777" w:rsidR="008544AA" w:rsidRPr="00DC1DE3" w:rsidRDefault="008544AA" w:rsidP="00E42B12">
            <w:pPr>
              <w:pStyle w:val="BodyText"/>
              <w:spacing w:before="120" w:after="120"/>
            </w:pPr>
            <w:r w:rsidRPr="00DC1DE3">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2C1AD32" w14:textId="77777777" w:rsidR="008544AA" w:rsidRPr="000E5A3D" w:rsidRDefault="008544AA" w:rsidP="00E42B12">
            <w:pPr>
              <w:pStyle w:val="BodyText"/>
              <w:spacing w:before="120" w:after="120"/>
              <w:rPr>
                <w:color w:val="0070C0"/>
                <w:u w:val="single"/>
              </w:rPr>
            </w:pPr>
            <w:hyperlink r:id="rId69" w:anchor="se2.1.200_1436" w:history="1">
              <w:r w:rsidRPr="000E5A3D">
                <w:rPr>
                  <w:color w:val="0070C0"/>
                  <w:u w:val="single"/>
                </w:rPr>
                <w:t>200.436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1E2F81" w14:textId="77777777" w:rsidR="008544AA" w:rsidRPr="00DC1DE3" w:rsidRDefault="008544AA" w:rsidP="00E42B12">
            <w:pPr>
              <w:pStyle w:val="BodyText"/>
              <w:spacing w:before="120" w:after="120"/>
            </w:pPr>
          </w:p>
        </w:tc>
      </w:tr>
      <w:tr w:rsidR="008544AA" w:rsidRPr="00DC1DE3" w14:paraId="3F66CB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1F57DFF"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1EF744F" w14:textId="77777777" w:rsidR="008544AA" w:rsidRPr="00DC1DE3" w:rsidRDefault="008544AA" w:rsidP="00E42B12">
            <w:pPr>
              <w:pStyle w:val="BodyText"/>
              <w:spacing w:before="120" w:after="120"/>
            </w:pPr>
            <w:r w:rsidRPr="00DC1DE3">
              <w:t>Employee health and welfare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4DC58D" w14:textId="77777777" w:rsidR="008544AA" w:rsidRPr="00DC1DE3" w:rsidRDefault="008544AA" w:rsidP="00E42B12">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4A09DAC" w14:textId="77777777" w:rsidR="008544AA" w:rsidRPr="00DC1DE3" w:rsidRDefault="008544AA" w:rsidP="00E42B12">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0CD9518" w14:textId="77777777" w:rsidR="008544AA" w:rsidRPr="00DC1DE3" w:rsidRDefault="008544AA" w:rsidP="00E42B12">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DD89BE" w14:textId="77777777" w:rsidR="008544AA" w:rsidRPr="000E5A3D" w:rsidRDefault="008544AA" w:rsidP="00E42B12">
            <w:pPr>
              <w:pStyle w:val="BodyText"/>
              <w:spacing w:before="120" w:after="120"/>
              <w:rPr>
                <w:color w:val="0070C0"/>
                <w:u w:val="single"/>
              </w:rPr>
            </w:pPr>
            <w:hyperlink r:id="rId70" w:anchor="se2.1.200_1437" w:history="1">
              <w:r w:rsidRPr="000E5A3D">
                <w:rPr>
                  <w:color w:val="0070C0"/>
                  <w:u w:val="single"/>
                </w:rPr>
                <w:t>200.437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FA1790" w14:textId="77777777" w:rsidR="008544AA" w:rsidRPr="00DC1DE3" w:rsidRDefault="008544AA" w:rsidP="00E42B12">
            <w:pPr>
              <w:pStyle w:val="BodyText"/>
              <w:spacing w:before="120" w:after="120"/>
            </w:pPr>
          </w:p>
        </w:tc>
      </w:tr>
      <w:tr w:rsidR="008544AA" w:rsidRPr="00DC1DE3" w14:paraId="10804B7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98CAD4" w14:textId="77777777" w:rsidR="008544AA" w:rsidRPr="00DC1DE3" w:rsidRDefault="008544AA" w:rsidP="00E42B12">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1AA1A1B" w14:textId="77777777" w:rsidR="008544AA" w:rsidRPr="00DC1DE3" w:rsidRDefault="008544AA" w:rsidP="00E42B12">
            <w:pPr>
              <w:pStyle w:val="BodyText"/>
              <w:spacing w:before="120" w:after="120"/>
            </w:pPr>
            <w:r w:rsidRPr="00DC1DE3">
              <w:t>Entertainment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5B857A5" w14:textId="77777777" w:rsidR="008544AA" w:rsidRPr="00DC1DE3" w:rsidRDefault="008544AA" w:rsidP="00E42B12">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074CF9" w14:textId="77777777" w:rsidR="008544AA" w:rsidRPr="00DC1DE3" w:rsidRDefault="008544AA" w:rsidP="00E42B12">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20EC35" w14:textId="77777777" w:rsidR="008544AA" w:rsidRPr="00DC1DE3" w:rsidRDefault="008544AA" w:rsidP="00E42B12">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D12A1EA" w14:textId="77777777" w:rsidR="008544AA" w:rsidRPr="000E5A3D" w:rsidRDefault="008544AA" w:rsidP="00E42B12">
            <w:pPr>
              <w:pStyle w:val="BodyText"/>
              <w:spacing w:before="120" w:after="120"/>
              <w:rPr>
                <w:color w:val="0070C0"/>
                <w:u w:val="single"/>
              </w:rPr>
            </w:pPr>
            <w:hyperlink r:id="rId71" w:anchor="se2.1.200_1438" w:history="1">
              <w:r w:rsidRPr="000E5A3D">
                <w:rPr>
                  <w:color w:val="0070C0"/>
                  <w:u w:val="single"/>
                </w:rPr>
                <w:t>200.438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EDA872B" w14:textId="77777777" w:rsidR="008544AA" w:rsidRPr="00DC1DE3" w:rsidRDefault="008544AA" w:rsidP="00E42B12">
            <w:pPr>
              <w:pStyle w:val="BodyText"/>
              <w:spacing w:before="120" w:after="120"/>
            </w:pPr>
          </w:p>
        </w:tc>
      </w:tr>
      <w:tr w:rsidR="008544AA" w:rsidRPr="00DC1DE3" w14:paraId="7362C05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DB318D"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808BF99" w14:textId="77777777" w:rsidR="008544AA" w:rsidRPr="00DC1DE3" w:rsidRDefault="008544AA" w:rsidP="00237A39">
            <w:pPr>
              <w:pStyle w:val="BodyText"/>
              <w:spacing w:before="120" w:after="120"/>
            </w:pPr>
            <w:r w:rsidRPr="00DC1DE3">
              <w:t>Equipment and other capital expenditures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AB0E19" w14:textId="77777777" w:rsidR="008544AA" w:rsidRPr="00DC1DE3" w:rsidRDefault="008544AA" w:rsidP="00237A39">
            <w:pPr>
              <w:pStyle w:val="BodyText"/>
              <w:spacing w:before="120" w:after="120"/>
            </w:pPr>
            <w:r w:rsidRPr="00DC1DE3">
              <w:t>AP/U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48B3CC" w14:textId="77777777" w:rsidR="008544AA" w:rsidRPr="00DC1DE3" w:rsidRDefault="008544AA" w:rsidP="00237A39">
            <w:pPr>
              <w:pStyle w:val="BodyText"/>
              <w:spacing w:before="120" w:after="120"/>
            </w:pPr>
            <w:r w:rsidRPr="00DC1DE3">
              <w:t>AP/U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B263D01" w14:textId="77777777" w:rsidR="008544AA" w:rsidRPr="00DC1DE3" w:rsidRDefault="008544AA" w:rsidP="00237A39">
            <w:pPr>
              <w:pStyle w:val="BodyText"/>
              <w:spacing w:before="120" w:after="120"/>
            </w:pPr>
            <w:r w:rsidRPr="00DC1DE3">
              <w:t>AP/U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4FF0310" w14:textId="77777777" w:rsidR="008544AA" w:rsidRPr="000E5A3D" w:rsidRDefault="008544AA" w:rsidP="00237A39">
            <w:pPr>
              <w:pStyle w:val="BodyText"/>
              <w:spacing w:before="120" w:after="120"/>
              <w:rPr>
                <w:color w:val="0070C0"/>
                <w:u w:val="single"/>
              </w:rPr>
            </w:pPr>
            <w:hyperlink r:id="rId72" w:anchor="se2.1.200_1439" w:history="1">
              <w:r w:rsidRPr="000E5A3D">
                <w:rPr>
                  <w:color w:val="0070C0"/>
                  <w:u w:val="single"/>
                </w:rPr>
                <w:t>200.439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256363" w14:textId="77777777" w:rsidR="008544AA" w:rsidRPr="00DC1DE3" w:rsidRDefault="008544AA" w:rsidP="00237A39">
            <w:pPr>
              <w:pStyle w:val="BodyText"/>
              <w:spacing w:before="120" w:after="120"/>
            </w:pPr>
          </w:p>
        </w:tc>
      </w:tr>
      <w:tr w:rsidR="008544AA" w:rsidRPr="00DC1DE3" w14:paraId="1A44553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7A3269"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0ECA769" w14:textId="77777777" w:rsidR="008544AA" w:rsidRPr="00DC1DE3" w:rsidRDefault="008544AA" w:rsidP="00237A39">
            <w:pPr>
              <w:pStyle w:val="BodyText"/>
              <w:spacing w:before="120" w:after="120"/>
            </w:pPr>
            <w:r w:rsidRPr="00DC1DE3">
              <w:t>Exchange rates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DF22A4" w14:textId="77777777" w:rsidR="008544AA" w:rsidRPr="00DC1DE3" w:rsidRDefault="008544AA" w:rsidP="00237A39">
            <w:pPr>
              <w:pStyle w:val="BodyText"/>
              <w:spacing w:before="120" w:after="120"/>
            </w:pPr>
            <w:r w:rsidRPr="00DC1DE3">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40A998" w14:textId="77777777" w:rsidR="008544AA" w:rsidRPr="00DC1DE3" w:rsidRDefault="008544AA" w:rsidP="00237A39">
            <w:pPr>
              <w:pStyle w:val="BodyText"/>
              <w:spacing w:before="120" w:after="120"/>
            </w:pPr>
            <w:r w:rsidRPr="00DC1DE3">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3B71904" w14:textId="77777777" w:rsidR="008544AA" w:rsidRPr="00DC1DE3" w:rsidRDefault="008544AA" w:rsidP="00237A39">
            <w:pPr>
              <w:pStyle w:val="BodyText"/>
              <w:spacing w:before="120" w:after="120"/>
            </w:pPr>
            <w:r w:rsidRPr="00DC1DE3">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477E66" w14:textId="77777777" w:rsidR="008544AA" w:rsidRPr="000E5A3D" w:rsidRDefault="008544AA" w:rsidP="00237A39">
            <w:pPr>
              <w:pStyle w:val="BodyText"/>
              <w:spacing w:before="120" w:after="120"/>
              <w:rPr>
                <w:color w:val="0070C0"/>
                <w:u w:val="single"/>
              </w:rPr>
            </w:pPr>
            <w:hyperlink r:id="rId73" w:anchor="se2.1.200_1440" w:history="1">
              <w:r w:rsidRPr="000E5A3D">
                <w:rPr>
                  <w:color w:val="0070C0"/>
                  <w:u w:val="single"/>
                </w:rPr>
                <w:t>200.440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C907FD" w14:textId="77777777" w:rsidR="008544AA" w:rsidRPr="00DC1DE3" w:rsidRDefault="008544AA" w:rsidP="00237A39">
            <w:pPr>
              <w:pStyle w:val="BodyText"/>
              <w:spacing w:before="120" w:after="120"/>
            </w:pPr>
          </w:p>
        </w:tc>
      </w:tr>
      <w:tr w:rsidR="008544AA" w:rsidRPr="00DC1DE3" w14:paraId="3A8A7A6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A852260"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0849417" w14:textId="77777777" w:rsidR="008544AA" w:rsidRPr="00DC1DE3" w:rsidRDefault="008544AA" w:rsidP="00237A39">
            <w:pPr>
              <w:pStyle w:val="BodyText"/>
              <w:spacing w:before="120" w:after="120"/>
            </w:pPr>
            <w:r w:rsidRPr="00DC1DE3">
              <w:t>Fines, penalties, damages, and other settlements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3220AE" w14:textId="77777777" w:rsidR="008544AA" w:rsidRPr="00DC1DE3" w:rsidRDefault="008544AA" w:rsidP="00237A39">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1C8377" w14:textId="77777777" w:rsidR="008544AA" w:rsidRPr="00DC1DE3" w:rsidRDefault="008544AA" w:rsidP="00237A39">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7EC0DF2" w14:textId="77777777" w:rsidR="008544AA" w:rsidRPr="00DC1DE3" w:rsidRDefault="008544AA" w:rsidP="00237A39">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DFF314" w14:textId="77777777" w:rsidR="008544AA" w:rsidRPr="000E5A3D" w:rsidRDefault="008544AA" w:rsidP="00237A39">
            <w:pPr>
              <w:pStyle w:val="BodyText"/>
              <w:spacing w:before="120" w:after="120"/>
              <w:rPr>
                <w:color w:val="0070C0"/>
                <w:u w:val="single"/>
              </w:rPr>
            </w:pPr>
            <w:hyperlink r:id="rId74" w:anchor="se2.1.200_1441" w:history="1">
              <w:r w:rsidRPr="000E5A3D">
                <w:rPr>
                  <w:color w:val="0070C0"/>
                  <w:u w:val="single"/>
                </w:rPr>
                <w:t>200.441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7D21E7" w14:textId="77777777" w:rsidR="008544AA" w:rsidRPr="00DC1DE3" w:rsidRDefault="008544AA" w:rsidP="00237A39">
            <w:pPr>
              <w:pStyle w:val="BodyText"/>
              <w:spacing w:before="120" w:after="120"/>
            </w:pPr>
          </w:p>
        </w:tc>
      </w:tr>
      <w:tr w:rsidR="008544AA" w:rsidRPr="00DC1DE3" w14:paraId="713714ED"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D859E99"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A2238BC" w14:textId="77777777" w:rsidR="008544AA" w:rsidRPr="00DC1DE3" w:rsidRDefault="008544AA" w:rsidP="00237A39">
            <w:pPr>
              <w:pStyle w:val="BodyText"/>
              <w:spacing w:before="120" w:after="120"/>
            </w:pPr>
            <w:r w:rsidRPr="00DC1DE3">
              <w:t xml:space="preserve">Fundraising and investment management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76687" w14:textId="77777777" w:rsidR="008544AA" w:rsidRPr="00DC1DE3" w:rsidRDefault="008544AA" w:rsidP="00237A39">
            <w:pPr>
              <w:pStyle w:val="BodyText"/>
              <w:spacing w:before="120" w:after="120"/>
            </w:pPr>
            <w:r w:rsidRPr="00DC1DE3">
              <w:t>U/AP/A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5527E7" w14:textId="77777777" w:rsidR="008544AA" w:rsidRPr="00DC1DE3" w:rsidRDefault="008544AA" w:rsidP="00237A39">
            <w:pPr>
              <w:pStyle w:val="BodyText"/>
              <w:spacing w:before="120" w:after="120"/>
            </w:pPr>
            <w:r w:rsidRPr="00DC1DE3">
              <w:t>U/AP/A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E8A11B" w14:textId="77777777" w:rsidR="008544AA" w:rsidRPr="00DC1DE3" w:rsidRDefault="008544AA" w:rsidP="00237A39">
            <w:pPr>
              <w:pStyle w:val="BodyText"/>
              <w:spacing w:before="120" w:after="120"/>
            </w:pPr>
            <w:r w:rsidRPr="00DC1DE3">
              <w:t>U/AP/A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7980FE" w14:textId="77777777" w:rsidR="008544AA" w:rsidRPr="000E5A3D" w:rsidRDefault="008544AA" w:rsidP="00237A39">
            <w:pPr>
              <w:pStyle w:val="BodyText"/>
              <w:spacing w:before="120" w:after="120"/>
              <w:rPr>
                <w:color w:val="0070C0"/>
                <w:u w:val="single"/>
              </w:rPr>
            </w:pPr>
            <w:hyperlink r:id="rId75" w:anchor="se2.1.200_1442" w:history="1">
              <w:r w:rsidRPr="000E5A3D">
                <w:rPr>
                  <w:color w:val="0070C0"/>
                  <w:u w:val="single"/>
                </w:rPr>
                <w:t>200.442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567799" w14:textId="77777777" w:rsidR="008544AA" w:rsidRPr="00DC1DE3" w:rsidRDefault="008544AA" w:rsidP="00237A39">
            <w:pPr>
              <w:pStyle w:val="BodyText"/>
              <w:spacing w:before="120" w:after="120"/>
            </w:pPr>
          </w:p>
        </w:tc>
      </w:tr>
      <w:tr w:rsidR="008544AA" w:rsidRPr="00DC1DE3" w14:paraId="73F0F9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92ABAF6"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7535ABE" w14:textId="77777777" w:rsidR="008544AA" w:rsidRPr="00DC1DE3" w:rsidRDefault="008544AA" w:rsidP="00237A39">
            <w:pPr>
              <w:pStyle w:val="BodyText"/>
              <w:spacing w:before="120" w:after="120"/>
            </w:pPr>
            <w:r w:rsidRPr="00DC1DE3">
              <w:t>Gains and losses on disposition of depreciable assets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CE9AA" w14:textId="77777777" w:rsidR="008544AA" w:rsidRPr="00DC1DE3" w:rsidRDefault="008544AA" w:rsidP="00237A39">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2CF2E7" w14:textId="77777777" w:rsidR="008544AA" w:rsidRPr="00DC1DE3" w:rsidRDefault="008544AA" w:rsidP="00237A39">
            <w:pPr>
              <w:pStyle w:val="BodyText"/>
              <w:spacing w:before="120" w:after="120"/>
            </w:pPr>
            <w:r w:rsidRPr="00DC1DE3">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6F6116" w14:textId="77777777" w:rsidR="008544AA" w:rsidRPr="00DC1DE3" w:rsidRDefault="008544AA" w:rsidP="00237A39">
            <w:pPr>
              <w:pStyle w:val="BodyText"/>
              <w:spacing w:before="120" w:after="120"/>
            </w:pPr>
            <w:r w:rsidRPr="00DC1DE3">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EC4251" w14:textId="77777777" w:rsidR="008544AA" w:rsidRPr="000E5A3D" w:rsidRDefault="008544AA" w:rsidP="00237A39">
            <w:pPr>
              <w:pStyle w:val="BodyText"/>
              <w:spacing w:before="120" w:after="120"/>
              <w:rPr>
                <w:color w:val="0070C0"/>
                <w:u w:val="single"/>
              </w:rPr>
            </w:pPr>
            <w:hyperlink r:id="rId76" w:anchor="se2.1.200_1443" w:history="1">
              <w:r w:rsidRPr="000E5A3D">
                <w:rPr>
                  <w:color w:val="0070C0"/>
                  <w:u w:val="single"/>
                </w:rPr>
                <w:t>200.443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3B8CF2E" w14:textId="77777777" w:rsidR="008544AA" w:rsidRPr="00DC1DE3" w:rsidRDefault="008544AA" w:rsidP="00237A39">
            <w:pPr>
              <w:pStyle w:val="BodyText"/>
              <w:spacing w:before="120" w:after="120"/>
            </w:pPr>
          </w:p>
        </w:tc>
      </w:tr>
      <w:tr w:rsidR="008544AA" w:rsidRPr="00DC1DE3" w14:paraId="148437F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A2B60B"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32EAEC5" w14:textId="77777777" w:rsidR="008544AA" w:rsidRPr="00DC1DE3" w:rsidRDefault="008544AA" w:rsidP="00237A39">
            <w:pPr>
              <w:pStyle w:val="BodyText"/>
              <w:spacing w:before="120" w:after="120"/>
            </w:pPr>
            <w:r w:rsidRPr="00DC1DE3">
              <w:t>General cost of government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F38F42" w14:textId="77777777" w:rsidR="008544AA" w:rsidRPr="00DC1DE3" w:rsidRDefault="008544AA" w:rsidP="00237A39">
            <w:pPr>
              <w:pStyle w:val="BodyText"/>
              <w:spacing w:before="120" w:after="120"/>
            </w:pPr>
            <w:r w:rsidRPr="00DC1DE3">
              <w:t>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CBD30F" w14:textId="77777777" w:rsidR="008544AA" w:rsidRPr="00DC1DE3" w:rsidRDefault="008544AA" w:rsidP="00237A39">
            <w:pPr>
              <w:pStyle w:val="BodyText"/>
              <w:spacing w:before="120" w:after="120"/>
            </w:pPr>
            <w:r w:rsidRPr="00DC1DE3">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6CB880" w14:textId="77777777" w:rsidR="008544AA" w:rsidRPr="00DC1DE3" w:rsidRDefault="008544AA" w:rsidP="00237A39">
            <w:pPr>
              <w:pStyle w:val="BodyText"/>
              <w:spacing w:before="120" w:after="120"/>
            </w:pPr>
            <w:r w:rsidRPr="00DC1DE3">
              <w:t>U/A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EEB601" w14:textId="77777777" w:rsidR="008544AA" w:rsidRPr="000E5A3D" w:rsidRDefault="008544AA" w:rsidP="00237A39">
            <w:pPr>
              <w:pStyle w:val="BodyText"/>
              <w:spacing w:before="120" w:after="120"/>
              <w:rPr>
                <w:color w:val="0070C0"/>
                <w:u w:val="single"/>
              </w:rPr>
            </w:pPr>
            <w:hyperlink r:id="rId77" w:anchor="se2.1.200_1444" w:history="1">
              <w:r w:rsidRPr="000E5A3D">
                <w:rPr>
                  <w:color w:val="0070C0"/>
                  <w:u w:val="single"/>
                </w:rPr>
                <w:t>200.444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C92458" w14:textId="77777777" w:rsidR="008544AA" w:rsidRPr="00DC1DE3" w:rsidRDefault="008544AA" w:rsidP="00237A39">
            <w:pPr>
              <w:pStyle w:val="BodyText"/>
              <w:spacing w:before="120" w:after="120"/>
            </w:pPr>
          </w:p>
        </w:tc>
      </w:tr>
      <w:tr w:rsidR="008544AA" w:rsidRPr="00DC1DE3" w14:paraId="72E4730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F6392BD"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A01233F" w14:textId="77777777" w:rsidR="008544AA" w:rsidRPr="00DC1DE3" w:rsidRDefault="008544AA" w:rsidP="00237A39">
            <w:pPr>
              <w:pStyle w:val="BodyText"/>
              <w:spacing w:before="120" w:after="120"/>
            </w:pPr>
            <w:r w:rsidRPr="00DC1DE3">
              <w:t>Goods or services for personal use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8B1DF69" w14:textId="77777777" w:rsidR="008544AA" w:rsidRPr="00DC1DE3" w:rsidRDefault="008544AA" w:rsidP="00237A39">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D4897A" w14:textId="77777777" w:rsidR="008544AA" w:rsidRPr="00DC1DE3" w:rsidRDefault="008544AA" w:rsidP="00237A39">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6AAC7FD" w14:textId="77777777" w:rsidR="008544AA" w:rsidRPr="00DC1DE3" w:rsidRDefault="008544AA" w:rsidP="00237A39">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C7175E" w14:textId="77777777" w:rsidR="008544AA" w:rsidRPr="000E5A3D" w:rsidRDefault="008544AA" w:rsidP="00237A39">
            <w:pPr>
              <w:pStyle w:val="BodyText"/>
              <w:spacing w:before="120" w:after="120"/>
              <w:rPr>
                <w:color w:val="0070C0"/>
                <w:u w:val="single"/>
              </w:rPr>
            </w:pPr>
            <w:hyperlink r:id="rId78" w:anchor="se2.1.200_1445" w:history="1">
              <w:r w:rsidRPr="000E5A3D">
                <w:rPr>
                  <w:color w:val="0070C0"/>
                  <w:u w:val="single"/>
                </w:rPr>
                <w:t>200.445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0D83E8D" w14:textId="77777777" w:rsidR="008544AA" w:rsidRPr="00DC1DE3" w:rsidRDefault="008544AA" w:rsidP="00237A39">
            <w:pPr>
              <w:pStyle w:val="BodyText"/>
              <w:spacing w:before="120" w:after="120"/>
            </w:pPr>
          </w:p>
        </w:tc>
      </w:tr>
      <w:tr w:rsidR="008544AA" w:rsidRPr="00DC1DE3" w14:paraId="7A71336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11E8CAB"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C0758F5" w14:textId="77777777" w:rsidR="008544AA" w:rsidRPr="00DC1DE3" w:rsidRDefault="008544AA" w:rsidP="00237A39">
            <w:pPr>
              <w:pStyle w:val="BodyText"/>
              <w:spacing w:before="120" w:after="120"/>
            </w:pPr>
            <w:r w:rsidRPr="00DC1DE3">
              <w:t xml:space="preserve">Idle facilities and idle </w:t>
            </w:r>
            <w:r w:rsidRPr="00DC1DE3">
              <w:br/>
              <w:t>capacity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EC8ADE"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9834A7"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328A183"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8C91D4A" w14:textId="77777777" w:rsidR="008544AA" w:rsidRPr="000E5A3D" w:rsidRDefault="008544AA" w:rsidP="00237A39">
            <w:pPr>
              <w:pStyle w:val="BodyText"/>
              <w:spacing w:before="120" w:after="120"/>
              <w:rPr>
                <w:color w:val="0070C0"/>
                <w:u w:val="single"/>
              </w:rPr>
            </w:pPr>
            <w:hyperlink r:id="rId79" w:anchor="se2.1.200_1446" w:history="1">
              <w:r w:rsidRPr="000E5A3D">
                <w:rPr>
                  <w:color w:val="0070C0"/>
                  <w:u w:val="single"/>
                </w:rPr>
                <w:t>200.446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75A614" w14:textId="77777777" w:rsidR="008544AA" w:rsidRPr="00DC1DE3" w:rsidRDefault="008544AA" w:rsidP="00237A39">
            <w:pPr>
              <w:pStyle w:val="BodyText"/>
              <w:spacing w:before="120" w:after="120"/>
            </w:pPr>
          </w:p>
        </w:tc>
      </w:tr>
      <w:tr w:rsidR="008544AA" w:rsidRPr="00DC1DE3" w14:paraId="5742DB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3CD7345"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BCC064A" w14:textId="77777777" w:rsidR="008544AA" w:rsidRPr="00DC1DE3" w:rsidRDefault="008544AA" w:rsidP="00237A39">
            <w:pPr>
              <w:pStyle w:val="BodyText"/>
              <w:spacing w:before="120" w:after="120"/>
            </w:pPr>
            <w:r w:rsidRPr="00DC1DE3">
              <w:t>Insurance and indemnification</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1A381F"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E7E50A"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4A7A10"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C3991F3" w14:textId="77777777" w:rsidR="008544AA" w:rsidRPr="000E5A3D" w:rsidRDefault="008544AA" w:rsidP="00237A39">
            <w:pPr>
              <w:pStyle w:val="BodyText"/>
              <w:spacing w:before="120" w:after="120"/>
              <w:rPr>
                <w:color w:val="0070C0"/>
                <w:u w:val="single"/>
              </w:rPr>
            </w:pPr>
            <w:hyperlink r:id="rId80" w:anchor="se2.1.200_1447" w:history="1">
              <w:r w:rsidRPr="000E5A3D">
                <w:rPr>
                  <w:color w:val="0070C0"/>
                  <w:u w:val="single"/>
                </w:rPr>
                <w:t>200.447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7A104D2" w14:textId="77777777" w:rsidR="008544AA" w:rsidRPr="00DC1DE3" w:rsidRDefault="008544AA" w:rsidP="00237A39">
            <w:pPr>
              <w:pStyle w:val="BodyText"/>
              <w:spacing w:before="120" w:after="120"/>
            </w:pPr>
          </w:p>
        </w:tc>
      </w:tr>
      <w:tr w:rsidR="008544AA" w:rsidRPr="00DC1DE3" w14:paraId="3E76F15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AEDCCAC"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FD1C683" w14:textId="77777777" w:rsidR="008544AA" w:rsidRPr="00DC1DE3" w:rsidRDefault="008544AA" w:rsidP="00237A39">
            <w:pPr>
              <w:pStyle w:val="BodyText"/>
              <w:spacing w:before="120" w:after="120"/>
            </w:pPr>
            <w:r w:rsidRPr="00DC1DE3">
              <w:t>Intellectual property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B97C3D" w14:textId="77777777" w:rsidR="008544AA" w:rsidRPr="00DC1DE3" w:rsidRDefault="008544AA" w:rsidP="00237A39">
            <w:pPr>
              <w:pStyle w:val="BodyText"/>
              <w:spacing w:before="120" w:after="120"/>
            </w:pPr>
            <w:r w:rsidRPr="00DC1DE3">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FDFF22D" w14:textId="77777777" w:rsidR="008544AA" w:rsidRPr="00DC1DE3" w:rsidRDefault="008544AA" w:rsidP="00237A39">
            <w:pPr>
              <w:pStyle w:val="BodyText"/>
              <w:spacing w:before="120" w:after="120"/>
            </w:pPr>
            <w:r w:rsidRPr="00DC1DE3">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5A5CCD" w14:textId="77777777" w:rsidR="008544AA" w:rsidRPr="00DC1DE3" w:rsidRDefault="008544AA" w:rsidP="00237A39">
            <w:pPr>
              <w:pStyle w:val="BodyText"/>
              <w:spacing w:before="120" w:after="120"/>
            </w:pPr>
            <w:r w:rsidRPr="00DC1DE3">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A6DDA5" w14:textId="77777777" w:rsidR="008544AA" w:rsidRPr="000E5A3D" w:rsidRDefault="008544AA" w:rsidP="00237A39">
            <w:pPr>
              <w:pStyle w:val="BodyText"/>
              <w:spacing w:before="120" w:after="120"/>
              <w:rPr>
                <w:color w:val="0070C0"/>
                <w:u w:val="single"/>
              </w:rPr>
            </w:pPr>
            <w:hyperlink r:id="rId81" w:anchor="se2.1.200_1448" w:history="1">
              <w:r w:rsidRPr="000E5A3D">
                <w:rPr>
                  <w:color w:val="0070C0"/>
                  <w:u w:val="single"/>
                </w:rPr>
                <w:t>200.448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91CD1F" w14:textId="77777777" w:rsidR="008544AA" w:rsidRPr="00DC1DE3" w:rsidRDefault="008544AA" w:rsidP="00237A39">
            <w:pPr>
              <w:pStyle w:val="BodyText"/>
              <w:spacing w:before="120" w:after="120"/>
            </w:pPr>
          </w:p>
        </w:tc>
      </w:tr>
      <w:tr w:rsidR="008544AA" w:rsidRPr="00DC1DE3" w14:paraId="36FA35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161AC1"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F0D5122" w14:textId="77777777" w:rsidR="008544AA" w:rsidRPr="00DC1DE3" w:rsidRDefault="008544AA" w:rsidP="00237A39">
            <w:pPr>
              <w:pStyle w:val="BodyText"/>
              <w:spacing w:before="120" w:after="120"/>
            </w:pPr>
            <w:r w:rsidRPr="00DC1DE3">
              <w:t>Interest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EE31F0"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FE7A96"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5B1A163"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892516" w14:textId="77777777" w:rsidR="008544AA" w:rsidRPr="000E5A3D" w:rsidRDefault="008544AA" w:rsidP="00237A39">
            <w:pPr>
              <w:pStyle w:val="BodyText"/>
              <w:spacing w:before="120" w:after="120"/>
              <w:rPr>
                <w:color w:val="0070C0"/>
                <w:u w:val="single"/>
              </w:rPr>
            </w:pPr>
            <w:hyperlink r:id="rId82" w:anchor="se2.1.200_1449" w:history="1">
              <w:r w:rsidRPr="000E5A3D">
                <w:rPr>
                  <w:color w:val="0070C0"/>
                  <w:u w:val="single"/>
                </w:rPr>
                <w:t>200.449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A6099D5" w14:textId="77777777" w:rsidR="008544AA" w:rsidRPr="00DC1DE3" w:rsidRDefault="008544AA" w:rsidP="00237A39">
            <w:pPr>
              <w:pStyle w:val="BodyText"/>
              <w:spacing w:before="120" w:after="120"/>
            </w:pPr>
          </w:p>
        </w:tc>
      </w:tr>
      <w:tr w:rsidR="008544AA" w:rsidRPr="00DC1DE3" w14:paraId="3B1565B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1C6BD"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1621DDF" w14:textId="77777777" w:rsidR="008544AA" w:rsidRPr="00DC1DE3" w:rsidRDefault="008544AA" w:rsidP="00237A39">
            <w:pPr>
              <w:pStyle w:val="BodyText"/>
              <w:spacing w:before="120" w:after="120"/>
            </w:pPr>
            <w:r w:rsidRPr="00DC1DE3">
              <w:t>Lobbying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C20CC5A" w14:textId="77777777" w:rsidR="008544AA" w:rsidRPr="00DC1DE3" w:rsidRDefault="008544AA" w:rsidP="00237A39">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4C7874" w14:textId="77777777" w:rsidR="008544AA" w:rsidRPr="00DC1DE3" w:rsidRDefault="008544AA" w:rsidP="00237A39">
            <w:pPr>
              <w:pStyle w:val="BodyText"/>
              <w:spacing w:before="120" w:after="120"/>
            </w:pPr>
            <w:r w:rsidRPr="00DC1DE3">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B5D939" w14:textId="77777777" w:rsidR="008544AA" w:rsidRPr="00DC1DE3" w:rsidRDefault="008544AA" w:rsidP="00237A39">
            <w:pPr>
              <w:pStyle w:val="BodyText"/>
              <w:spacing w:before="120" w:after="120"/>
            </w:pPr>
            <w:r w:rsidRPr="00DC1DE3">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45B4CCD" w14:textId="77777777" w:rsidR="008544AA" w:rsidRPr="000E5A3D" w:rsidRDefault="008544AA" w:rsidP="00237A39">
            <w:pPr>
              <w:pStyle w:val="BodyText"/>
              <w:spacing w:before="120" w:after="120"/>
              <w:rPr>
                <w:color w:val="0070C0"/>
                <w:u w:val="single"/>
              </w:rPr>
            </w:pPr>
            <w:hyperlink r:id="rId83" w:anchor="se2.1.200_1450" w:history="1">
              <w:r w:rsidRPr="000E5A3D">
                <w:rPr>
                  <w:color w:val="0070C0"/>
                  <w:u w:val="single"/>
                </w:rPr>
                <w:t>200.450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D9E404B" w14:textId="77777777" w:rsidR="008544AA" w:rsidRPr="00DC1DE3" w:rsidRDefault="008544AA" w:rsidP="00237A39">
            <w:pPr>
              <w:pStyle w:val="BodyText"/>
              <w:spacing w:before="120" w:after="120"/>
            </w:pPr>
          </w:p>
        </w:tc>
      </w:tr>
      <w:tr w:rsidR="008544AA" w:rsidRPr="00DC1DE3" w14:paraId="2D797DA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EEB3F99"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1F39391" w14:textId="77777777" w:rsidR="008544AA" w:rsidRPr="00DC1DE3" w:rsidRDefault="008544AA" w:rsidP="00237A39">
            <w:pPr>
              <w:pStyle w:val="BodyText"/>
              <w:spacing w:before="120" w:after="120"/>
            </w:pPr>
            <w:r w:rsidRPr="00DC1DE3">
              <w:t>Losses on other awards or contracts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710A59" w14:textId="77777777" w:rsidR="008544AA" w:rsidRPr="00DC1DE3" w:rsidRDefault="008544AA" w:rsidP="00237A39">
            <w:pPr>
              <w:pStyle w:val="BodyText"/>
              <w:spacing w:before="120" w:after="120"/>
            </w:pPr>
            <w:r w:rsidRPr="00DC1DE3">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A6EF06" w14:textId="77777777" w:rsidR="008544AA" w:rsidRPr="00DC1DE3" w:rsidRDefault="008544AA" w:rsidP="00237A39">
            <w:pPr>
              <w:pStyle w:val="BodyText"/>
              <w:spacing w:before="120" w:after="120"/>
            </w:pPr>
            <w:r w:rsidRPr="00DC1DE3">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62C61DE" w14:textId="77777777" w:rsidR="008544AA" w:rsidRPr="00DC1DE3" w:rsidRDefault="008544AA" w:rsidP="00237A39">
            <w:pPr>
              <w:pStyle w:val="BodyText"/>
              <w:spacing w:before="120" w:after="120"/>
            </w:pPr>
            <w:r w:rsidRPr="00DC1DE3">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FB34D53" w14:textId="77777777" w:rsidR="008544AA" w:rsidRPr="000E5A3D" w:rsidRDefault="008544AA" w:rsidP="00237A39">
            <w:pPr>
              <w:pStyle w:val="BodyText"/>
              <w:spacing w:before="120" w:after="120"/>
              <w:rPr>
                <w:color w:val="0070C0"/>
                <w:u w:val="single"/>
              </w:rPr>
            </w:pPr>
            <w:hyperlink r:id="rId84" w:anchor="se2.1.200_1451" w:history="1">
              <w:r w:rsidRPr="000E5A3D">
                <w:rPr>
                  <w:color w:val="0070C0"/>
                  <w:u w:val="single"/>
                </w:rPr>
                <w:t>200.451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CAA5485" w14:textId="77777777" w:rsidR="008544AA" w:rsidRPr="00DC1DE3" w:rsidRDefault="008544AA" w:rsidP="00237A39">
            <w:pPr>
              <w:pStyle w:val="BodyText"/>
              <w:spacing w:before="120" w:after="120"/>
            </w:pPr>
          </w:p>
        </w:tc>
      </w:tr>
      <w:tr w:rsidR="008544AA" w:rsidRPr="00DC1DE3" w14:paraId="1FFB995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D776B8"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CF24A02" w14:textId="77777777" w:rsidR="008544AA" w:rsidRPr="00DC1DE3" w:rsidRDefault="008544AA" w:rsidP="00237A39">
            <w:pPr>
              <w:pStyle w:val="BodyText"/>
              <w:spacing w:before="120" w:after="120"/>
            </w:pPr>
            <w:r w:rsidRPr="00DC1DE3">
              <w:t>Maintenance and repair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60E0E69"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44BAA57"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D27710"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2E8823" w14:textId="77777777" w:rsidR="008544AA" w:rsidRPr="000E5A3D" w:rsidRDefault="008544AA" w:rsidP="00237A39">
            <w:pPr>
              <w:pStyle w:val="BodyText"/>
              <w:spacing w:before="120" w:after="120"/>
              <w:rPr>
                <w:color w:val="0070C0"/>
                <w:u w:val="single"/>
              </w:rPr>
            </w:pPr>
            <w:hyperlink r:id="rId85" w:anchor="se2.1.200_1452" w:history="1">
              <w:r w:rsidRPr="000E5A3D">
                <w:rPr>
                  <w:color w:val="0070C0"/>
                  <w:u w:val="single"/>
                </w:rPr>
                <w:t>200.452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29930F" w14:textId="77777777" w:rsidR="008544AA" w:rsidRPr="00DC1DE3" w:rsidRDefault="008544AA" w:rsidP="00237A39">
            <w:pPr>
              <w:pStyle w:val="BodyText"/>
              <w:spacing w:before="120" w:after="120"/>
            </w:pPr>
          </w:p>
        </w:tc>
      </w:tr>
      <w:tr w:rsidR="008544AA" w:rsidRPr="00DC1DE3" w14:paraId="1BAF03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357D5D"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9171075" w14:textId="77777777" w:rsidR="008544AA" w:rsidRPr="00DC1DE3" w:rsidRDefault="008544AA" w:rsidP="00237A39">
            <w:pPr>
              <w:pStyle w:val="BodyText"/>
              <w:spacing w:before="120" w:after="120"/>
            </w:pPr>
            <w:r w:rsidRPr="00DC1DE3">
              <w:t>Material and supplies costs, including costs of computing devices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4DF30C4"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5ECE5C"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1F5C57"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72642EE" w14:textId="77777777" w:rsidR="008544AA" w:rsidRPr="000E5A3D" w:rsidRDefault="008544AA" w:rsidP="00237A39">
            <w:pPr>
              <w:pStyle w:val="BodyText"/>
              <w:spacing w:before="120" w:after="120"/>
              <w:rPr>
                <w:color w:val="0070C0"/>
                <w:u w:val="single"/>
              </w:rPr>
            </w:pPr>
            <w:hyperlink r:id="rId86" w:anchor="se2.1.200_1453" w:history="1">
              <w:r w:rsidRPr="000E5A3D">
                <w:rPr>
                  <w:color w:val="0070C0"/>
                  <w:u w:val="single"/>
                </w:rPr>
                <w:t>200.453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1E28FAE" w14:textId="77777777" w:rsidR="008544AA" w:rsidRPr="00DC1DE3" w:rsidRDefault="008544AA" w:rsidP="00237A39">
            <w:pPr>
              <w:pStyle w:val="BodyText"/>
              <w:spacing w:before="120" w:after="120"/>
            </w:pPr>
          </w:p>
        </w:tc>
      </w:tr>
      <w:tr w:rsidR="008544AA" w:rsidRPr="00DC1DE3" w14:paraId="2613606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2B871E"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4EB49E3" w14:textId="77777777" w:rsidR="008544AA" w:rsidRPr="00DC1DE3" w:rsidRDefault="008544AA" w:rsidP="00237A39">
            <w:pPr>
              <w:pStyle w:val="BodyText"/>
              <w:spacing w:before="120" w:after="120"/>
            </w:pPr>
            <w:r w:rsidRPr="00DC1DE3">
              <w:t>Memberships, subscriptions, and professional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7E67F3" w14:textId="77777777" w:rsidR="008544AA" w:rsidRPr="00DC1DE3" w:rsidRDefault="008544AA" w:rsidP="00237A39">
            <w:pPr>
              <w:pStyle w:val="BodyText"/>
              <w:spacing w:before="120" w:after="120"/>
            </w:pPr>
            <w:r w:rsidRPr="00DC1DE3">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66B0FE" w14:textId="77777777" w:rsidR="008544AA" w:rsidRPr="00DC1DE3" w:rsidRDefault="008544AA" w:rsidP="00237A39">
            <w:pPr>
              <w:pStyle w:val="BodyText"/>
              <w:spacing w:before="120" w:after="120"/>
            </w:pPr>
            <w:r w:rsidRPr="00DC1DE3">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A0C056" w14:textId="77777777" w:rsidR="008544AA" w:rsidRPr="00DC1DE3" w:rsidRDefault="008544AA" w:rsidP="00237A39">
            <w:pPr>
              <w:pStyle w:val="BodyText"/>
              <w:spacing w:before="120" w:after="120"/>
            </w:pPr>
            <w:r w:rsidRPr="00DC1DE3">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8FF88B2" w14:textId="77777777" w:rsidR="008544AA" w:rsidRPr="000E5A3D" w:rsidRDefault="008544AA" w:rsidP="00237A39">
            <w:pPr>
              <w:pStyle w:val="BodyText"/>
              <w:spacing w:before="120" w:after="120"/>
              <w:rPr>
                <w:color w:val="0070C0"/>
                <w:u w:val="single"/>
              </w:rPr>
            </w:pPr>
            <w:hyperlink r:id="rId87" w:anchor="se2.1.200_1454" w:history="1">
              <w:r w:rsidRPr="000E5A3D">
                <w:rPr>
                  <w:color w:val="0070C0"/>
                  <w:u w:val="single"/>
                </w:rPr>
                <w:t>200.454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2BEC41" w14:textId="77777777" w:rsidR="008544AA" w:rsidRPr="00DC1DE3" w:rsidRDefault="008544AA" w:rsidP="00237A39">
            <w:pPr>
              <w:pStyle w:val="BodyText"/>
              <w:spacing w:before="120" w:after="120"/>
            </w:pPr>
          </w:p>
        </w:tc>
      </w:tr>
      <w:tr w:rsidR="008544AA" w:rsidRPr="00DC1DE3" w14:paraId="22FDD54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066A470"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CBF460A" w14:textId="77777777" w:rsidR="008544AA" w:rsidRPr="00DC1DE3" w:rsidRDefault="008544AA" w:rsidP="00237A39">
            <w:pPr>
              <w:pStyle w:val="BodyText"/>
              <w:spacing w:before="120" w:after="120"/>
            </w:pPr>
            <w:r w:rsidRPr="00DC1DE3">
              <w:t>Organization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EEAFF2" w14:textId="77777777" w:rsidR="008544AA" w:rsidRPr="00DC1DE3" w:rsidRDefault="008544AA" w:rsidP="00237A39">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E0A73C" w14:textId="77777777" w:rsidR="008544AA" w:rsidRPr="00DC1DE3" w:rsidRDefault="008544AA" w:rsidP="00237A39">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7C9E35" w14:textId="77777777" w:rsidR="008544AA" w:rsidRPr="00DC1DE3" w:rsidRDefault="008544AA" w:rsidP="00237A39">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CE495F" w14:textId="77777777" w:rsidR="008544AA" w:rsidRPr="000E5A3D" w:rsidRDefault="008544AA" w:rsidP="00237A39">
            <w:pPr>
              <w:pStyle w:val="BodyText"/>
              <w:spacing w:before="120" w:after="120"/>
              <w:rPr>
                <w:color w:val="0070C0"/>
                <w:u w:val="single"/>
              </w:rPr>
            </w:pPr>
            <w:hyperlink r:id="rId88" w:anchor="se2.1.200_1455" w:history="1">
              <w:r w:rsidRPr="000E5A3D">
                <w:rPr>
                  <w:color w:val="0070C0"/>
                  <w:u w:val="single"/>
                </w:rPr>
                <w:t>200.455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7E18D7C" w14:textId="77777777" w:rsidR="008544AA" w:rsidRPr="00DC1DE3" w:rsidRDefault="008544AA" w:rsidP="00237A39">
            <w:pPr>
              <w:pStyle w:val="BodyText"/>
              <w:spacing w:before="120" w:after="120"/>
            </w:pPr>
          </w:p>
        </w:tc>
      </w:tr>
      <w:tr w:rsidR="008544AA" w:rsidRPr="00DC1DE3" w14:paraId="4DB4291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EC72D6"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FFE7EB7" w14:textId="77777777" w:rsidR="008544AA" w:rsidRPr="00DC1DE3" w:rsidRDefault="008544AA" w:rsidP="00237A39">
            <w:pPr>
              <w:pStyle w:val="BodyText"/>
              <w:spacing w:before="120" w:after="120"/>
              <w:rPr>
                <w:color w:val="C00000"/>
              </w:rPr>
            </w:pPr>
            <w:r w:rsidRPr="00DC1DE3">
              <w:t>Participant support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501FCC" w14:textId="77777777" w:rsidR="008544AA" w:rsidRPr="00DC1DE3" w:rsidRDefault="008544AA" w:rsidP="00237A39">
            <w:pPr>
              <w:pStyle w:val="BodyText"/>
              <w:spacing w:before="120" w:after="120"/>
            </w:pPr>
            <w:r w:rsidRPr="00DC1DE3">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E0D5D6" w14:textId="77777777" w:rsidR="008544AA" w:rsidRPr="00DC1DE3" w:rsidRDefault="008544AA" w:rsidP="00237A39">
            <w:pPr>
              <w:pStyle w:val="BodyText"/>
              <w:spacing w:before="120" w:after="120"/>
            </w:pPr>
            <w:r w:rsidRPr="00DC1DE3">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784EFB" w14:textId="77777777" w:rsidR="008544AA" w:rsidRPr="00DC1DE3" w:rsidRDefault="008544AA" w:rsidP="00237A39">
            <w:pPr>
              <w:pStyle w:val="BodyText"/>
              <w:spacing w:before="120" w:after="120"/>
            </w:pPr>
            <w:r w:rsidRPr="00DC1DE3">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F7ABDA9" w14:textId="77777777" w:rsidR="008544AA" w:rsidRPr="000E5A3D" w:rsidRDefault="008544AA" w:rsidP="00237A39">
            <w:pPr>
              <w:pStyle w:val="BodyText"/>
              <w:spacing w:before="120" w:after="120"/>
              <w:rPr>
                <w:color w:val="0070C0"/>
                <w:u w:val="single"/>
              </w:rPr>
            </w:pPr>
            <w:hyperlink r:id="rId89" w:anchor="se2.1.200_1456" w:history="1">
              <w:r w:rsidRPr="000E5A3D">
                <w:rPr>
                  <w:color w:val="0070C0"/>
                  <w:u w:val="single"/>
                </w:rPr>
                <w:t>200.456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CAEB5D" w14:textId="77777777" w:rsidR="008544AA" w:rsidRPr="00DC1DE3" w:rsidRDefault="008544AA" w:rsidP="00237A39">
            <w:pPr>
              <w:pStyle w:val="BodyText"/>
              <w:spacing w:before="120" w:after="120"/>
            </w:pPr>
          </w:p>
        </w:tc>
      </w:tr>
      <w:tr w:rsidR="008544AA" w:rsidRPr="00DC1DE3" w14:paraId="606CB3D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3989306"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F4D0DD7" w14:textId="77777777" w:rsidR="008544AA" w:rsidRPr="00DC1DE3" w:rsidRDefault="008544AA" w:rsidP="00237A39">
            <w:pPr>
              <w:pStyle w:val="BodyText"/>
              <w:spacing w:before="120" w:after="120"/>
            </w:pPr>
            <w:r w:rsidRPr="00DC1DE3">
              <w:t>Plant and security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A18E7F2"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886E58A"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A20A292"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0980CD" w14:textId="77777777" w:rsidR="008544AA" w:rsidRPr="000E5A3D" w:rsidRDefault="008544AA" w:rsidP="00237A39">
            <w:pPr>
              <w:pStyle w:val="BodyText"/>
              <w:spacing w:before="120" w:after="120"/>
              <w:rPr>
                <w:color w:val="0070C0"/>
                <w:u w:val="single"/>
              </w:rPr>
            </w:pPr>
            <w:hyperlink r:id="rId90" w:anchor="se2.1.200_1457" w:history="1">
              <w:r w:rsidRPr="000E5A3D">
                <w:rPr>
                  <w:color w:val="0070C0"/>
                  <w:u w:val="single"/>
                </w:rPr>
                <w:t>200.457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49EF013" w14:textId="77777777" w:rsidR="008544AA" w:rsidRPr="00DC1DE3" w:rsidRDefault="008544AA" w:rsidP="00237A39">
            <w:pPr>
              <w:pStyle w:val="BodyText"/>
              <w:spacing w:before="120" w:after="120"/>
            </w:pPr>
          </w:p>
        </w:tc>
      </w:tr>
      <w:tr w:rsidR="008544AA" w:rsidRPr="00DC1DE3" w14:paraId="34B9C0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53BF5A7"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84BEA80" w14:textId="77777777" w:rsidR="008544AA" w:rsidRPr="00DC1DE3" w:rsidRDefault="008544AA" w:rsidP="00237A39">
            <w:pPr>
              <w:pStyle w:val="BodyText"/>
              <w:spacing w:before="120" w:after="120"/>
            </w:pPr>
            <w:r w:rsidRPr="00DC1DE3">
              <w:t>Pre-award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6FFA62" w14:textId="77777777" w:rsidR="008544AA" w:rsidRPr="00DC1DE3" w:rsidRDefault="008544AA" w:rsidP="00237A39">
            <w:pPr>
              <w:pStyle w:val="BodyText"/>
              <w:spacing w:before="120" w:after="120"/>
            </w:pPr>
            <w:r w:rsidRPr="00DC1DE3">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E538D2" w14:textId="77777777" w:rsidR="008544AA" w:rsidRPr="00DC1DE3" w:rsidRDefault="008544AA" w:rsidP="00237A39">
            <w:pPr>
              <w:pStyle w:val="BodyText"/>
              <w:spacing w:before="120" w:after="120"/>
            </w:pPr>
            <w:r w:rsidRPr="00DC1DE3">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9C1CB78" w14:textId="77777777" w:rsidR="008544AA" w:rsidRPr="00DC1DE3" w:rsidRDefault="008544AA" w:rsidP="00237A39">
            <w:pPr>
              <w:pStyle w:val="BodyText"/>
              <w:spacing w:before="120" w:after="120"/>
            </w:pPr>
            <w:r w:rsidRPr="00DC1DE3">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A7AC1C" w14:textId="77777777" w:rsidR="008544AA" w:rsidRPr="000E5A3D" w:rsidRDefault="008544AA" w:rsidP="00237A39">
            <w:pPr>
              <w:pStyle w:val="BodyText"/>
              <w:spacing w:before="120" w:after="120"/>
              <w:rPr>
                <w:color w:val="0070C0"/>
                <w:u w:val="single"/>
              </w:rPr>
            </w:pPr>
            <w:hyperlink r:id="rId91" w:anchor="se2.1.200_1458" w:history="1">
              <w:r w:rsidRPr="000E5A3D">
                <w:rPr>
                  <w:color w:val="0070C0"/>
                  <w:u w:val="single"/>
                </w:rPr>
                <w:t>200.458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D828F22" w14:textId="77777777" w:rsidR="008544AA" w:rsidRPr="00DC1DE3" w:rsidRDefault="008544AA" w:rsidP="00237A39">
            <w:pPr>
              <w:pStyle w:val="BodyText"/>
              <w:spacing w:before="120" w:after="120"/>
            </w:pPr>
          </w:p>
        </w:tc>
      </w:tr>
      <w:tr w:rsidR="008544AA" w:rsidRPr="00DC1DE3" w14:paraId="6EDAB78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519D9D7"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BC6FEEC" w14:textId="77777777" w:rsidR="008544AA" w:rsidRPr="00DC1DE3" w:rsidRDefault="008544AA" w:rsidP="00237A39">
            <w:pPr>
              <w:pStyle w:val="BodyText"/>
              <w:spacing w:before="120" w:after="120"/>
            </w:pPr>
            <w:r w:rsidRPr="00DC1DE3">
              <w:t>Professional services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C2E7A33"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12E7E5"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570F49"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4F24E37" w14:textId="77777777" w:rsidR="008544AA" w:rsidRPr="000E5A3D" w:rsidRDefault="008544AA" w:rsidP="00237A39">
            <w:pPr>
              <w:pStyle w:val="BodyText"/>
              <w:spacing w:before="120" w:after="120"/>
              <w:rPr>
                <w:color w:val="0070C0"/>
                <w:u w:val="single"/>
              </w:rPr>
            </w:pPr>
            <w:hyperlink r:id="rId92" w:anchor="se2.1.200_1459" w:history="1">
              <w:r w:rsidRPr="000E5A3D">
                <w:rPr>
                  <w:color w:val="0070C0"/>
                  <w:u w:val="single"/>
                </w:rPr>
                <w:t>200.459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EAF86FF" w14:textId="77777777" w:rsidR="008544AA" w:rsidRPr="00DC1DE3" w:rsidRDefault="008544AA" w:rsidP="00237A39">
            <w:pPr>
              <w:pStyle w:val="BodyText"/>
              <w:spacing w:before="120" w:after="120"/>
            </w:pPr>
          </w:p>
        </w:tc>
      </w:tr>
      <w:tr w:rsidR="008544AA" w:rsidRPr="00DC1DE3" w14:paraId="5612C41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7BECC05"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DA5B4E8" w14:textId="77777777" w:rsidR="008544AA" w:rsidRPr="00DC1DE3" w:rsidRDefault="008544AA" w:rsidP="00237A39">
            <w:pPr>
              <w:pStyle w:val="BodyText"/>
              <w:spacing w:before="120" w:after="120"/>
            </w:pPr>
            <w:r w:rsidRPr="00DC1DE3">
              <w:t xml:space="preserve">Proposal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1A00FF"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A512E0"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8D1E5DA"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6BCB2A" w14:textId="77777777" w:rsidR="008544AA" w:rsidRPr="000E5A3D" w:rsidRDefault="008544AA" w:rsidP="00237A39">
            <w:pPr>
              <w:pStyle w:val="BodyText"/>
              <w:spacing w:before="120" w:after="120"/>
              <w:rPr>
                <w:color w:val="0070C0"/>
                <w:u w:val="single"/>
              </w:rPr>
            </w:pPr>
            <w:hyperlink r:id="rId93" w:anchor="se2.1.200_1460" w:history="1">
              <w:r w:rsidRPr="000E5A3D">
                <w:rPr>
                  <w:color w:val="0070C0"/>
                  <w:u w:val="single"/>
                </w:rPr>
                <w:t>200.460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D5DE479" w14:textId="77777777" w:rsidR="008544AA" w:rsidRPr="00DC1DE3" w:rsidRDefault="008544AA" w:rsidP="00237A39">
            <w:pPr>
              <w:pStyle w:val="BodyText"/>
              <w:spacing w:before="120" w:after="120"/>
            </w:pPr>
          </w:p>
        </w:tc>
      </w:tr>
      <w:tr w:rsidR="008544AA" w:rsidRPr="00DC1DE3" w14:paraId="65105F0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FA2AF5"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04EC91B" w14:textId="77777777" w:rsidR="008544AA" w:rsidRPr="00DC1DE3" w:rsidRDefault="008544AA" w:rsidP="00237A39">
            <w:pPr>
              <w:pStyle w:val="BodyText"/>
              <w:spacing w:before="120" w:after="120"/>
            </w:pPr>
            <w:r w:rsidRPr="00DC1DE3">
              <w:t>Publication and printing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985CAF5"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C7CAAE"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7B75F76"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0D5FB38" w14:textId="77777777" w:rsidR="008544AA" w:rsidRPr="000E5A3D" w:rsidRDefault="008544AA" w:rsidP="00237A39">
            <w:pPr>
              <w:pStyle w:val="BodyText"/>
              <w:spacing w:before="120" w:after="120"/>
              <w:rPr>
                <w:color w:val="0070C0"/>
                <w:u w:val="single"/>
              </w:rPr>
            </w:pPr>
            <w:hyperlink r:id="rId94" w:anchor="se2.1.200_1461" w:history="1">
              <w:r w:rsidRPr="000E5A3D">
                <w:rPr>
                  <w:color w:val="0070C0"/>
                  <w:u w:val="single"/>
                </w:rPr>
                <w:t>200.461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C138CE2" w14:textId="77777777" w:rsidR="008544AA" w:rsidRPr="00DC1DE3" w:rsidRDefault="008544AA" w:rsidP="00237A39">
            <w:pPr>
              <w:pStyle w:val="BodyText"/>
              <w:spacing w:before="120" w:after="120"/>
            </w:pPr>
          </w:p>
        </w:tc>
      </w:tr>
      <w:tr w:rsidR="008544AA" w:rsidRPr="00DC1DE3" w14:paraId="67E269D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01AF187"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4B09B49" w14:textId="77777777" w:rsidR="008544AA" w:rsidRPr="00DC1DE3" w:rsidRDefault="008544AA" w:rsidP="00237A39">
            <w:pPr>
              <w:pStyle w:val="BodyText"/>
              <w:spacing w:before="120" w:after="120"/>
            </w:pPr>
            <w:r w:rsidRPr="00DC1DE3">
              <w:t>Rearrangement and reconversion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6423827" w14:textId="77777777" w:rsidR="008544AA" w:rsidRPr="00DC1DE3" w:rsidRDefault="008544AA" w:rsidP="00237A39">
            <w:pPr>
              <w:pStyle w:val="BodyText"/>
              <w:spacing w:before="120" w:after="120"/>
            </w:pPr>
            <w:r w:rsidRPr="00DC1DE3">
              <w:t>A/AP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711AF2" w14:textId="77777777" w:rsidR="008544AA" w:rsidRPr="00DC1DE3" w:rsidRDefault="008544AA" w:rsidP="00237A39">
            <w:pPr>
              <w:pStyle w:val="BodyText"/>
              <w:spacing w:before="120" w:after="120"/>
            </w:pPr>
            <w:r w:rsidRPr="00DC1DE3">
              <w:t>A/AP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23632C" w14:textId="77777777" w:rsidR="008544AA" w:rsidRPr="00DC1DE3" w:rsidRDefault="008544AA" w:rsidP="00237A39">
            <w:pPr>
              <w:pStyle w:val="BodyText"/>
              <w:spacing w:before="120" w:after="120"/>
            </w:pPr>
            <w:r w:rsidRPr="00DC1DE3">
              <w:t>A/AP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A05DBB" w14:textId="77777777" w:rsidR="008544AA" w:rsidRPr="000E5A3D" w:rsidRDefault="008544AA" w:rsidP="00237A39">
            <w:pPr>
              <w:pStyle w:val="BodyText"/>
              <w:spacing w:before="120" w:after="120"/>
              <w:rPr>
                <w:color w:val="0070C0"/>
                <w:u w:val="single"/>
              </w:rPr>
            </w:pPr>
            <w:hyperlink r:id="rId95" w:anchor="se2.1.200_1462" w:history="1">
              <w:r w:rsidRPr="000E5A3D">
                <w:rPr>
                  <w:color w:val="0070C0"/>
                  <w:u w:val="single"/>
                </w:rPr>
                <w:t>200.462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38CB77" w14:textId="77777777" w:rsidR="008544AA" w:rsidRPr="00DC1DE3" w:rsidRDefault="008544AA" w:rsidP="00237A39">
            <w:pPr>
              <w:pStyle w:val="BodyText"/>
              <w:spacing w:before="120" w:after="120"/>
            </w:pPr>
          </w:p>
        </w:tc>
      </w:tr>
      <w:tr w:rsidR="008544AA" w:rsidRPr="00DC1DE3" w14:paraId="3D48035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048173"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BE71921" w14:textId="77777777" w:rsidR="008544AA" w:rsidRPr="00DC1DE3" w:rsidRDefault="008544AA" w:rsidP="00237A39">
            <w:pPr>
              <w:pStyle w:val="BodyText"/>
              <w:spacing w:before="120" w:after="120"/>
            </w:pPr>
            <w:r w:rsidRPr="00DC1DE3">
              <w:t>Recruiting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BBE6AD" w14:textId="77777777" w:rsidR="008544AA" w:rsidRPr="00DC1DE3" w:rsidRDefault="008544AA" w:rsidP="00237A39">
            <w:pPr>
              <w:pStyle w:val="BodyText"/>
              <w:spacing w:before="120" w:after="120"/>
            </w:pPr>
            <w:r w:rsidRPr="00DC1DE3">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8D2CAE" w14:textId="77777777" w:rsidR="008544AA" w:rsidRPr="00DC1DE3" w:rsidRDefault="008544AA" w:rsidP="00237A39">
            <w:pPr>
              <w:pStyle w:val="BodyText"/>
              <w:spacing w:before="120" w:after="120"/>
            </w:pPr>
            <w:r w:rsidRPr="00DC1DE3">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CF7BAAB" w14:textId="77777777" w:rsidR="008544AA" w:rsidRPr="00DC1DE3" w:rsidRDefault="008544AA" w:rsidP="00237A39">
            <w:pPr>
              <w:pStyle w:val="BodyText"/>
              <w:spacing w:before="120" w:after="120"/>
            </w:pPr>
            <w:r w:rsidRPr="00DC1DE3">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C11972" w14:textId="77777777" w:rsidR="008544AA" w:rsidRPr="000E5A3D" w:rsidRDefault="008544AA" w:rsidP="00237A39">
            <w:pPr>
              <w:pStyle w:val="BodyText"/>
              <w:spacing w:before="120" w:after="120"/>
              <w:rPr>
                <w:color w:val="0070C0"/>
                <w:u w:val="single"/>
              </w:rPr>
            </w:pPr>
            <w:hyperlink r:id="rId96" w:anchor="se2.1.200_1463" w:history="1">
              <w:r w:rsidRPr="000E5A3D">
                <w:rPr>
                  <w:color w:val="0070C0"/>
                  <w:u w:val="single"/>
                </w:rPr>
                <w:t>200.463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A16C3" w14:textId="77777777" w:rsidR="008544AA" w:rsidRPr="00DC1DE3" w:rsidRDefault="008544AA" w:rsidP="00237A39">
            <w:pPr>
              <w:pStyle w:val="BodyText"/>
              <w:spacing w:before="120" w:after="120"/>
            </w:pPr>
          </w:p>
        </w:tc>
      </w:tr>
      <w:tr w:rsidR="008544AA" w:rsidRPr="00DC1DE3" w14:paraId="37A29A1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EB50BE8"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2967AF4" w14:textId="74DD6DBD" w:rsidR="008544AA" w:rsidRPr="00DC1DE3" w:rsidRDefault="00764B85" w:rsidP="00237A39">
            <w:pPr>
              <w:pStyle w:val="BodyText"/>
              <w:spacing w:before="120" w:after="120"/>
            </w:pPr>
            <w:r>
              <w:t>Relocation</w:t>
            </w:r>
            <w:r w:rsidRPr="00DC1DE3">
              <w:t xml:space="preserve"> </w:t>
            </w:r>
            <w:r w:rsidR="008544AA" w:rsidRPr="00DC1DE3">
              <w:t>costs of employees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F7BAE7"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CA2F12"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7CA8D2"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654D9D" w14:textId="77777777" w:rsidR="008544AA" w:rsidRPr="000E5A3D" w:rsidRDefault="008544AA" w:rsidP="00237A39">
            <w:pPr>
              <w:pStyle w:val="BodyText"/>
              <w:spacing w:before="120" w:after="120"/>
              <w:rPr>
                <w:color w:val="0070C0"/>
                <w:u w:val="single"/>
              </w:rPr>
            </w:pPr>
            <w:hyperlink r:id="rId97" w:anchor="se2.1.200_1464" w:history="1">
              <w:r w:rsidRPr="000E5A3D">
                <w:rPr>
                  <w:color w:val="0070C0"/>
                  <w:u w:val="single"/>
                </w:rPr>
                <w:t>200.464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05F6B43" w14:textId="77777777" w:rsidR="008544AA" w:rsidRPr="00DC1DE3" w:rsidRDefault="008544AA" w:rsidP="00237A39">
            <w:pPr>
              <w:pStyle w:val="BodyText"/>
              <w:spacing w:before="120" w:after="120"/>
            </w:pPr>
          </w:p>
        </w:tc>
      </w:tr>
      <w:tr w:rsidR="008544AA" w:rsidRPr="00DC1DE3" w14:paraId="4E9EAE2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3FF5440"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55015E9" w14:textId="77777777" w:rsidR="008544AA" w:rsidRPr="00DC1DE3" w:rsidRDefault="008544AA" w:rsidP="00237A39">
            <w:pPr>
              <w:pStyle w:val="BodyText"/>
              <w:spacing w:before="120" w:after="120"/>
            </w:pPr>
            <w:r w:rsidRPr="00DC1DE3">
              <w:t>Rental costs of real property and equipment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54C76"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3302EA"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039FC1"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14734C" w14:textId="77777777" w:rsidR="008544AA" w:rsidRPr="000E5A3D" w:rsidRDefault="008544AA" w:rsidP="00237A39">
            <w:pPr>
              <w:pStyle w:val="BodyText"/>
              <w:spacing w:before="120" w:after="120"/>
              <w:rPr>
                <w:color w:val="0070C0"/>
                <w:u w:val="single"/>
              </w:rPr>
            </w:pPr>
            <w:hyperlink r:id="rId98" w:anchor="se2.1.200_1465" w:history="1">
              <w:r w:rsidRPr="000E5A3D">
                <w:rPr>
                  <w:color w:val="0070C0"/>
                  <w:u w:val="single"/>
                </w:rPr>
                <w:t>200.465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980FAF" w14:textId="77777777" w:rsidR="008544AA" w:rsidRPr="00526EB1" w:rsidRDefault="008544AA" w:rsidP="00237A39">
            <w:pPr>
              <w:pStyle w:val="BodyText"/>
              <w:spacing w:before="120" w:after="120"/>
            </w:pPr>
          </w:p>
        </w:tc>
      </w:tr>
      <w:tr w:rsidR="008544AA" w:rsidRPr="00DC1DE3" w14:paraId="6D642AD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88ADDB6"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2687206" w14:textId="77777777" w:rsidR="008544AA" w:rsidRPr="00DC1DE3" w:rsidRDefault="008544AA" w:rsidP="00237A39">
            <w:pPr>
              <w:pStyle w:val="BodyText"/>
              <w:spacing w:before="120" w:after="120"/>
            </w:pPr>
            <w:r w:rsidRPr="00DC1DE3">
              <w:t>Scholarships and student aid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BEB2107" w14:textId="77777777" w:rsidR="008544AA" w:rsidRPr="00DC1DE3" w:rsidRDefault="008544AA" w:rsidP="00237A39">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5EE302" w14:textId="77777777" w:rsidR="008544AA" w:rsidRPr="00DC1DE3" w:rsidRDefault="008544AA" w:rsidP="00237A39">
            <w:pPr>
              <w:pStyle w:val="BodyText"/>
              <w:spacing w:before="120" w:after="120"/>
            </w:pPr>
            <w:r w:rsidRPr="00DC1DE3">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3798EC" w14:textId="77777777" w:rsidR="008544AA" w:rsidRPr="00DC1DE3" w:rsidRDefault="008544AA" w:rsidP="00237A39">
            <w:pPr>
              <w:pStyle w:val="BodyText"/>
              <w:spacing w:before="120" w:after="120"/>
            </w:pPr>
            <w:r w:rsidRPr="00DC1DE3">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CF25D5F" w14:textId="77777777" w:rsidR="008544AA" w:rsidRPr="000E5A3D" w:rsidRDefault="008544AA" w:rsidP="00237A39">
            <w:pPr>
              <w:pStyle w:val="BodyText"/>
              <w:spacing w:before="120" w:after="120"/>
              <w:rPr>
                <w:color w:val="0070C0"/>
                <w:u w:val="single"/>
              </w:rPr>
            </w:pPr>
            <w:hyperlink r:id="rId99" w:anchor="se2.1.200_1466" w:history="1">
              <w:r w:rsidRPr="000E5A3D">
                <w:rPr>
                  <w:color w:val="0070C0"/>
                  <w:u w:val="single"/>
                </w:rPr>
                <w:t>200.466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4AB80" w14:textId="77777777" w:rsidR="008544AA" w:rsidRPr="00526EB1" w:rsidRDefault="008544AA" w:rsidP="00237A39">
            <w:pPr>
              <w:pStyle w:val="BodyText"/>
              <w:spacing w:before="120" w:after="120"/>
            </w:pPr>
          </w:p>
        </w:tc>
      </w:tr>
      <w:tr w:rsidR="008544AA" w:rsidRPr="00DC1DE3" w14:paraId="659ADAC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6CD2033"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6591C1E" w14:textId="77777777" w:rsidR="008544AA" w:rsidRPr="00DC1DE3" w:rsidRDefault="008544AA" w:rsidP="00237A39">
            <w:pPr>
              <w:pStyle w:val="BodyText"/>
              <w:spacing w:before="120" w:after="120"/>
            </w:pPr>
            <w:r w:rsidRPr="00DC1DE3">
              <w:t>Selling and marketing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39891B3" w14:textId="77777777" w:rsidR="008544AA" w:rsidRPr="00DC1DE3" w:rsidRDefault="008544AA" w:rsidP="00237A39">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F1A61F6" w14:textId="77777777" w:rsidR="008544AA" w:rsidRPr="00DC1DE3" w:rsidRDefault="008544AA" w:rsidP="00237A39">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22CDD5A" w14:textId="77777777" w:rsidR="008544AA" w:rsidRPr="00DC1DE3" w:rsidRDefault="008544AA" w:rsidP="00237A39">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E34AE5F" w14:textId="77777777" w:rsidR="008544AA" w:rsidRPr="000E5A3D" w:rsidRDefault="008544AA" w:rsidP="00237A39">
            <w:pPr>
              <w:pStyle w:val="BodyText"/>
              <w:spacing w:before="120" w:after="120"/>
              <w:rPr>
                <w:color w:val="0070C0"/>
                <w:u w:val="single"/>
              </w:rPr>
            </w:pPr>
            <w:hyperlink r:id="rId100" w:anchor="se2.1.200_1467" w:history="1">
              <w:r w:rsidRPr="000E5A3D">
                <w:rPr>
                  <w:color w:val="0070C0"/>
                  <w:u w:val="single"/>
                </w:rPr>
                <w:t>200.467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61242D5" w14:textId="77777777" w:rsidR="008544AA" w:rsidRPr="00526EB1" w:rsidRDefault="008544AA" w:rsidP="00237A39">
            <w:pPr>
              <w:pStyle w:val="BodyText"/>
              <w:spacing w:before="120" w:after="120"/>
            </w:pPr>
          </w:p>
        </w:tc>
      </w:tr>
      <w:tr w:rsidR="008544AA" w:rsidRPr="00DC1DE3" w14:paraId="27292F5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0C8696E"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3813F9C" w14:textId="77777777" w:rsidR="008544AA" w:rsidRPr="00DC1DE3" w:rsidRDefault="008544AA" w:rsidP="00237A39">
            <w:pPr>
              <w:pStyle w:val="BodyText"/>
              <w:spacing w:before="120" w:after="120"/>
            </w:pPr>
            <w:r w:rsidRPr="00DC1DE3">
              <w:t>Specialized service facilities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0720250" w14:textId="77777777" w:rsidR="008544AA" w:rsidRPr="00DC1DE3" w:rsidRDefault="008544AA" w:rsidP="00237A39">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CF96B6" w14:textId="77777777" w:rsidR="008544AA" w:rsidRPr="00DC1DE3" w:rsidRDefault="008544AA" w:rsidP="00237A39">
            <w:pPr>
              <w:pStyle w:val="BodyText"/>
              <w:spacing w:before="120" w:after="120"/>
            </w:pPr>
            <w:r w:rsidRPr="00DC1DE3">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D58591" w14:textId="77777777" w:rsidR="008544AA" w:rsidRPr="00DC1DE3" w:rsidRDefault="008544AA" w:rsidP="00237A39">
            <w:pPr>
              <w:pStyle w:val="BodyText"/>
              <w:spacing w:before="120" w:after="120"/>
            </w:pPr>
            <w:r w:rsidRPr="00DC1DE3">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71EBC5" w14:textId="77777777" w:rsidR="008544AA" w:rsidRPr="000E5A3D" w:rsidRDefault="008544AA" w:rsidP="00237A39">
            <w:pPr>
              <w:pStyle w:val="BodyText"/>
              <w:spacing w:before="120" w:after="120"/>
              <w:rPr>
                <w:color w:val="0070C0"/>
                <w:u w:val="single"/>
              </w:rPr>
            </w:pPr>
            <w:hyperlink r:id="rId101" w:anchor="se2.1.200_1468" w:history="1">
              <w:r w:rsidRPr="000E5A3D">
                <w:rPr>
                  <w:color w:val="0070C0"/>
                  <w:u w:val="single"/>
                </w:rPr>
                <w:t>200.468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56ECFDE" w14:textId="77777777" w:rsidR="008544AA" w:rsidRPr="00526EB1" w:rsidRDefault="008544AA" w:rsidP="00237A39">
            <w:pPr>
              <w:pStyle w:val="BodyText"/>
              <w:spacing w:before="120" w:after="120"/>
            </w:pPr>
          </w:p>
        </w:tc>
      </w:tr>
      <w:tr w:rsidR="008544AA" w:rsidRPr="00DC1DE3" w14:paraId="462A6B2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209350D"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64532E0" w14:textId="77777777" w:rsidR="008544AA" w:rsidRPr="00DC1DE3" w:rsidRDefault="008544AA" w:rsidP="00237A39">
            <w:pPr>
              <w:pStyle w:val="BodyText"/>
              <w:spacing w:before="120" w:after="120"/>
            </w:pPr>
            <w:r w:rsidRPr="00DC1DE3">
              <w:t>Student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BD9EA9" w14:textId="77777777" w:rsidR="008544AA" w:rsidRPr="00DC1DE3" w:rsidRDefault="008544AA" w:rsidP="00237A39">
            <w:pPr>
              <w:pStyle w:val="BodyText"/>
              <w:spacing w:before="120" w:after="120"/>
            </w:pPr>
            <w:r w:rsidRPr="00DC1DE3">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7C605C" w14:textId="77777777" w:rsidR="008544AA" w:rsidRPr="00DC1DE3" w:rsidRDefault="008544AA" w:rsidP="00237A39">
            <w:pPr>
              <w:pStyle w:val="BodyText"/>
              <w:spacing w:before="120" w:after="120"/>
            </w:pPr>
            <w:r w:rsidRPr="00DC1DE3">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E896E49" w14:textId="77777777" w:rsidR="008544AA" w:rsidRPr="00DC1DE3" w:rsidRDefault="008544AA" w:rsidP="00237A39">
            <w:pPr>
              <w:pStyle w:val="BodyText"/>
              <w:spacing w:before="120" w:after="120"/>
            </w:pPr>
            <w:r w:rsidRPr="00DC1DE3">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589739" w14:textId="77777777" w:rsidR="008544AA" w:rsidRPr="000E5A3D" w:rsidRDefault="008544AA" w:rsidP="00237A39">
            <w:pPr>
              <w:pStyle w:val="BodyText"/>
              <w:spacing w:before="120" w:after="120"/>
              <w:rPr>
                <w:color w:val="0070C0"/>
                <w:u w:val="single"/>
              </w:rPr>
            </w:pPr>
            <w:hyperlink r:id="rId102" w:anchor="se2.1.200_1469" w:history="1">
              <w:r w:rsidRPr="000E5A3D">
                <w:rPr>
                  <w:color w:val="0070C0"/>
                  <w:u w:val="single"/>
                </w:rPr>
                <w:t>200.469</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66AE4217" w14:textId="77777777" w:rsidR="008544AA" w:rsidRPr="00526EB1" w:rsidRDefault="008544AA" w:rsidP="00237A39">
            <w:pPr>
              <w:pStyle w:val="BodyText"/>
              <w:spacing w:before="120" w:after="120"/>
            </w:pPr>
            <w:hyperlink r:id="rId103" w:history="1">
              <w:r w:rsidRPr="00526EB1">
                <w:rPr>
                  <w:color w:val="467886"/>
                </w:rPr>
                <w:t>2900.19</w:t>
              </w:r>
            </w:hyperlink>
          </w:p>
        </w:tc>
      </w:tr>
      <w:tr w:rsidR="008544AA" w:rsidRPr="00DC1DE3" w14:paraId="1A23A43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CDE14"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9C0803A" w14:textId="77777777" w:rsidR="008544AA" w:rsidRPr="00DC1DE3" w:rsidRDefault="008544AA" w:rsidP="00237A39">
            <w:pPr>
              <w:pStyle w:val="BodyText"/>
              <w:spacing w:before="120" w:after="120"/>
            </w:pPr>
            <w:r w:rsidRPr="00DC1DE3">
              <w:t>Taxes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041E8A" w14:textId="77777777" w:rsidR="008544AA" w:rsidRPr="00DC1DE3" w:rsidRDefault="008544AA" w:rsidP="00237A39">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147C6F" w14:textId="77777777" w:rsidR="008544AA" w:rsidRPr="00DC1DE3" w:rsidRDefault="008544AA" w:rsidP="00237A39">
            <w:pPr>
              <w:pStyle w:val="BodyText"/>
              <w:spacing w:before="120" w:after="120"/>
            </w:pPr>
            <w:r w:rsidRPr="00DC1DE3">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F6822C" w14:textId="77777777" w:rsidR="008544AA" w:rsidRPr="00DC1DE3" w:rsidRDefault="008544AA" w:rsidP="00237A39">
            <w:pPr>
              <w:pStyle w:val="BodyText"/>
              <w:spacing w:before="120" w:after="120"/>
            </w:pPr>
            <w:r w:rsidRPr="00DC1DE3">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EC8F47" w14:textId="77777777" w:rsidR="008544AA" w:rsidRPr="000E5A3D" w:rsidRDefault="008544AA" w:rsidP="00237A39">
            <w:pPr>
              <w:pStyle w:val="BodyText"/>
              <w:spacing w:before="120" w:after="120"/>
              <w:rPr>
                <w:color w:val="0070C0"/>
                <w:u w:val="single"/>
              </w:rPr>
            </w:pPr>
            <w:hyperlink r:id="rId104" w:anchor="se2.1.200_1470" w:history="1">
              <w:r w:rsidRPr="000E5A3D">
                <w:rPr>
                  <w:color w:val="0070C0"/>
                  <w:u w:val="single"/>
                </w:rPr>
                <w:t>200.470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F416099" w14:textId="77777777" w:rsidR="008544AA" w:rsidRPr="00526EB1" w:rsidRDefault="008544AA" w:rsidP="00237A39">
            <w:pPr>
              <w:pStyle w:val="BodyText"/>
              <w:spacing w:before="120" w:after="120"/>
            </w:pPr>
          </w:p>
        </w:tc>
      </w:tr>
      <w:tr w:rsidR="008544AA" w:rsidRPr="00DC1DE3" w14:paraId="12F1FFE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F1177"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E2DF360" w14:textId="77777777" w:rsidR="008544AA" w:rsidRPr="00DC1DE3" w:rsidRDefault="008544AA" w:rsidP="00237A39">
            <w:pPr>
              <w:pStyle w:val="BodyText"/>
              <w:spacing w:before="120" w:after="120"/>
            </w:pPr>
            <w:r w:rsidRPr="00DC1DE3">
              <w:t>Termination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DE67FE" w14:textId="77777777" w:rsidR="008544AA" w:rsidRPr="00DC1DE3" w:rsidRDefault="008544AA" w:rsidP="00237A39">
            <w:pPr>
              <w:pStyle w:val="BodyText"/>
              <w:spacing w:before="120" w:after="120"/>
            </w:pPr>
            <w:r w:rsidRPr="00DC1DE3">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6484500" w14:textId="77777777" w:rsidR="008544AA" w:rsidRPr="00DC1DE3" w:rsidRDefault="008544AA" w:rsidP="00237A39">
            <w:pPr>
              <w:pStyle w:val="BodyText"/>
              <w:spacing w:before="120" w:after="120"/>
            </w:pPr>
            <w:r w:rsidRPr="00DC1DE3">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D8C0703" w14:textId="77777777" w:rsidR="008544AA" w:rsidRPr="00DC1DE3" w:rsidRDefault="008544AA" w:rsidP="00237A39">
            <w:pPr>
              <w:pStyle w:val="BodyText"/>
              <w:spacing w:before="120" w:after="120"/>
            </w:pPr>
            <w:r w:rsidRPr="00DC1DE3">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F5DB3B" w14:textId="77777777" w:rsidR="008544AA" w:rsidRPr="000E5A3D" w:rsidRDefault="008544AA" w:rsidP="00237A39">
            <w:pPr>
              <w:pStyle w:val="BodyText"/>
              <w:spacing w:before="120" w:after="120"/>
              <w:rPr>
                <w:color w:val="0070C0"/>
                <w:u w:val="single"/>
              </w:rPr>
            </w:pPr>
            <w:hyperlink r:id="rId105" w:anchor="se2.1.200_1471" w:history="1">
              <w:r w:rsidRPr="000E5A3D">
                <w:rPr>
                  <w:color w:val="0070C0"/>
                  <w:u w:val="single"/>
                </w:rPr>
                <w:t>200.471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5E81171" w14:textId="77777777" w:rsidR="008544AA" w:rsidRPr="00526EB1" w:rsidRDefault="008544AA" w:rsidP="00237A39">
            <w:pPr>
              <w:pStyle w:val="BodyText"/>
              <w:spacing w:before="120" w:after="120"/>
            </w:pPr>
          </w:p>
        </w:tc>
      </w:tr>
      <w:tr w:rsidR="008544AA" w:rsidRPr="00DC1DE3" w14:paraId="4261AB3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F42C2B"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A4F5E3C" w14:textId="77777777" w:rsidR="008544AA" w:rsidRPr="00DC1DE3" w:rsidRDefault="008544AA" w:rsidP="00237A39">
            <w:pPr>
              <w:pStyle w:val="BodyText"/>
              <w:spacing w:before="120" w:after="120"/>
            </w:pPr>
            <w:r w:rsidRPr="00DC1DE3">
              <w:t>Training and education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DF2439"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87D856E"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74CE4B"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1AB423" w14:textId="77777777" w:rsidR="008544AA" w:rsidRPr="000E5A3D" w:rsidRDefault="008544AA" w:rsidP="00237A39">
            <w:pPr>
              <w:pStyle w:val="BodyText"/>
              <w:spacing w:before="120" w:after="120"/>
              <w:rPr>
                <w:color w:val="0070C0"/>
                <w:u w:val="single"/>
              </w:rPr>
            </w:pPr>
            <w:hyperlink r:id="rId106" w:anchor="se2.1.200_1472" w:history="1">
              <w:r w:rsidRPr="000E5A3D">
                <w:rPr>
                  <w:color w:val="0070C0"/>
                  <w:u w:val="single"/>
                </w:rPr>
                <w:t>200.472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7D98F4" w14:textId="77777777" w:rsidR="008544AA" w:rsidRPr="00526EB1" w:rsidRDefault="008544AA" w:rsidP="00237A39">
            <w:pPr>
              <w:pStyle w:val="BodyText"/>
              <w:spacing w:before="120" w:after="120"/>
            </w:pPr>
          </w:p>
        </w:tc>
      </w:tr>
      <w:tr w:rsidR="008544AA" w:rsidRPr="00DC1DE3" w14:paraId="12C1C22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36B3A"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06553A9" w14:textId="77777777" w:rsidR="008544AA" w:rsidRPr="00DC1DE3" w:rsidRDefault="008544AA" w:rsidP="00237A39">
            <w:pPr>
              <w:pStyle w:val="BodyText"/>
              <w:spacing w:before="120" w:after="120"/>
            </w:pPr>
            <w:r w:rsidRPr="00DC1DE3">
              <w:t>Transportation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4727BB"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6CBE04A"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66848EE" w14:textId="77777777" w:rsidR="008544AA" w:rsidRPr="00DC1DE3" w:rsidRDefault="008544AA" w:rsidP="00237A39">
            <w:pPr>
              <w:pStyle w:val="BodyText"/>
              <w:spacing w:before="120" w:after="120"/>
            </w:pPr>
            <w:r w:rsidRPr="00DC1DE3">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C2A855" w14:textId="77777777" w:rsidR="008544AA" w:rsidRPr="000E5A3D" w:rsidRDefault="008544AA" w:rsidP="00237A39">
            <w:pPr>
              <w:pStyle w:val="BodyText"/>
              <w:spacing w:before="120" w:after="120"/>
              <w:rPr>
                <w:color w:val="0070C0"/>
                <w:u w:val="single"/>
              </w:rPr>
            </w:pPr>
            <w:hyperlink r:id="rId107" w:anchor="se2.1.200_1473" w:history="1">
              <w:r w:rsidRPr="000E5A3D">
                <w:rPr>
                  <w:color w:val="0070C0"/>
                  <w:u w:val="single"/>
                </w:rPr>
                <w:t>200.473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BC07E80" w14:textId="77777777" w:rsidR="008544AA" w:rsidRPr="00526EB1" w:rsidRDefault="008544AA" w:rsidP="00237A39">
            <w:pPr>
              <w:pStyle w:val="BodyText"/>
              <w:spacing w:before="120" w:after="120"/>
            </w:pPr>
          </w:p>
        </w:tc>
      </w:tr>
      <w:tr w:rsidR="008544AA" w:rsidRPr="00DC1DE3" w14:paraId="021FA01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41265C"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4695E02" w14:textId="77777777" w:rsidR="008544AA" w:rsidRPr="00DC1DE3" w:rsidRDefault="008544AA" w:rsidP="00237A39">
            <w:pPr>
              <w:pStyle w:val="BodyText"/>
              <w:spacing w:before="120" w:after="120"/>
            </w:pPr>
            <w:r w:rsidRPr="00DC1DE3">
              <w:t>Travel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482A40" w14:textId="77777777" w:rsidR="008544AA" w:rsidRPr="00DC1DE3" w:rsidRDefault="008544AA" w:rsidP="00237A39">
            <w:pPr>
              <w:pStyle w:val="BodyText"/>
              <w:spacing w:before="120" w:after="120"/>
            </w:pPr>
            <w:r w:rsidRPr="00DC1DE3">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89A394" w14:textId="77777777" w:rsidR="008544AA" w:rsidRPr="00DC1DE3" w:rsidRDefault="008544AA" w:rsidP="00237A39">
            <w:pPr>
              <w:pStyle w:val="BodyText"/>
              <w:spacing w:before="120" w:after="120"/>
            </w:pPr>
            <w:r w:rsidRPr="00DC1DE3">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B5545CC" w14:textId="77777777" w:rsidR="008544AA" w:rsidRPr="00DC1DE3" w:rsidRDefault="008544AA" w:rsidP="00237A39">
            <w:pPr>
              <w:pStyle w:val="BodyText"/>
              <w:spacing w:before="120" w:after="120"/>
            </w:pPr>
            <w:r w:rsidRPr="00DC1DE3">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638591" w14:textId="77777777" w:rsidR="008544AA" w:rsidRPr="000E5A3D" w:rsidRDefault="008544AA" w:rsidP="00237A39">
            <w:pPr>
              <w:pStyle w:val="BodyText"/>
              <w:spacing w:before="120" w:after="120"/>
              <w:rPr>
                <w:color w:val="0070C0"/>
                <w:u w:val="single"/>
              </w:rPr>
            </w:pPr>
            <w:hyperlink r:id="rId108" w:anchor="se2.1.200_1474" w:history="1">
              <w:r w:rsidRPr="000E5A3D">
                <w:rPr>
                  <w:color w:val="0070C0"/>
                  <w:u w:val="single"/>
                </w:rPr>
                <w:t>200.474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207D915" w14:textId="77777777" w:rsidR="008544AA" w:rsidRPr="00526EB1" w:rsidRDefault="008544AA" w:rsidP="00237A39">
            <w:pPr>
              <w:pStyle w:val="BodyText"/>
              <w:spacing w:before="120" w:after="120"/>
            </w:pPr>
          </w:p>
        </w:tc>
      </w:tr>
      <w:tr w:rsidR="008544AA" w:rsidRPr="00DC1DE3" w14:paraId="047A40B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4D8BAB" w14:textId="77777777" w:rsidR="008544AA" w:rsidRPr="00DC1DE3" w:rsidRDefault="008544AA" w:rsidP="00237A3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3F3EC84" w14:textId="77777777" w:rsidR="008544AA" w:rsidRPr="00DC1DE3" w:rsidRDefault="008544AA" w:rsidP="00237A39">
            <w:pPr>
              <w:pStyle w:val="BodyText"/>
              <w:spacing w:before="120" w:after="120"/>
            </w:pPr>
            <w:r w:rsidRPr="00DC1DE3">
              <w:t>Trustees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C56E84" w14:textId="77777777" w:rsidR="008544AA" w:rsidRPr="00DC1DE3" w:rsidRDefault="008544AA" w:rsidP="00237A39">
            <w:pPr>
              <w:pStyle w:val="BodyText"/>
              <w:spacing w:before="120" w:after="120"/>
            </w:pPr>
            <w:r w:rsidRPr="00DC1DE3">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42DC187" w14:textId="77777777" w:rsidR="008544AA" w:rsidRPr="00DC1DE3" w:rsidRDefault="008544AA" w:rsidP="00237A39">
            <w:pPr>
              <w:pStyle w:val="BodyText"/>
              <w:spacing w:before="120" w:after="120"/>
            </w:pPr>
            <w:r w:rsidRPr="00DC1DE3">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663061" w14:textId="77777777" w:rsidR="008544AA" w:rsidRPr="00DC1DE3" w:rsidRDefault="008544AA" w:rsidP="00237A39">
            <w:pPr>
              <w:pStyle w:val="BodyText"/>
              <w:spacing w:before="120" w:after="120"/>
            </w:pPr>
            <w:r w:rsidRPr="00DC1DE3">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D5AFF5C" w14:textId="77777777" w:rsidR="008544AA" w:rsidRPr="000E5A3D" w:rsidRDefault="008544AA" w:rsidP="00237A39">
            <w:pPr>
              <w:pStyle w:val="BodyText"/>
              <w:spacing w:before="120" w:after="120"/>
              <w:rPr>
                <w:color w:val="0070C0"/>
                <w:u w:val="single"/>
              </w:rPr>
            </w:pPr>
            <w:hyperlink r:id="rId109" w:anchor="se2.1.200_1475" w:history="1">
              <w:r w:rsidRPr="000E5A3D">
                <w:rPr>
                  <w:color w:val="0070C0"/>
                  <w:u w:val="single"/>
                </w:rPr>
                <w:t>200.475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7034BA7" w14:textId="77777777" w:rsidR="008544AA" w:rsidRPr="00526EB1" w:rsidRDefault="008544AA" w:rsidP="00237A39">
            <w:pPr>
              <w:pStyle w:val="BodyText"/>
              <w:spacing w:before="120" w:after="120"/>
            </w:pPr>
          </w:p>
        </w:tc>
      </w:tr>
    </w:tbl>
    <w:p w14:paraId="6110F69B" w14:textId="4A07A8D9" w:rsidR="008544AA" w:rsidRPr="00DC1DE3" w:rsidRDefault="008544AA" w:rsidP="00943164">
      <w:pPr>
        <w:pStyle w:val="BodyText"/>
      </w:pPr>
      <w:r w:rsidRPr="00DC1DE3">
        <w:rPr>
          <w:rFonts w:eastAsia="Arial"/>
        </w:rPr>
        <w:br w:type="page"/>
      </w:r>
    </w:p>
    <w:p w14:paraId="62D18182" w14:textId="4A07A8D9" w:rsidR="008544AA" w:rsidRPr="00DC1DE3" w:rsidRDefault="008544AA" w:rsidP="00943164">
      <w:pPr>
        <w:pStyle w:val="Heading2"/>
        <w:numPr>
          <w:ilvl w:val="0"/>
          <w:numId w:val="0"/>
        </w:numPr>
        <w:rPr>
          <w:rFonts w:eastAsia="Arial"/>
          <w:lang w:val="en"/>
        </w:rPr>
      </w:pPr>
      <w:bookmarkStart w:id="212" w:name="_3cqmetx"/>
      <w:bookmarkStart w:id="213" w:name="_Toc116915409"/>
      <w:bookmarkStart w:id="214" w:name="_Toc117246193"/>
      <w:bookmarkStart w:id="215" w:name="_Toc130496202"/>
      <w:bookmarkStart w:id="216" w:name="_Toc167356451"/>
      <w:bookmarkStart w:id="217" w:name="_Toc167894698"/>
      <w:bookmarkEnd w:id="212"/>
      <w:r w:rsidRPr="00DC1DE3">
        <w:rPr>
          <w:rFonts w:eastAsia="Arial"/>
          <w:lang w:val="en"/>
        </w:rPr>
        <w:lastRenderedPageBreak/>
        <w:t>Appendix D: Administrative Costs</w:t>
      </w:r>
      <w:bookmarkEnd w:id="213"/>
      <w:bookmarkEnd w:id="214"/>
      <w:bookmarkEnd w:id="215"/>
      <w:bookmarkEnd w:id="216"/>
      <w:bookmarkEnd w:id="217"/>
    </w:p>
    <w:p w14:paraId="1A6232F8" w14:textId="396D5F7E" w:rsidR="008544AA" w:rsidRPr="00DC1DE3" w:rsidRDefault="008544AA" w:rsidP="00943164">
      <w:pPr>
        <w:pStyle w:val="BodyText"/>
      </w:pPr>
      <w:r w:rsidRPr="01476CFA">
        <w:rPr>
          <w:lang w:val="en-US"/>
        </w:rPr>
        <w:t xml:space="preserve">Under the WIOA, there is an administrative cost limit of 10 percent. As stated in 20 CFR Section </w:t>
      </w:r>
      <w:hyperlink r:id="rId110" w:history="1">
        <w:r w:rsidRPr="000E231F">
          <w:rPr>
            <w:rStyle w:val="Hyperlink"/>
            <w:u w:val="none"/>
            <w:lang w:val="en-US"/>
          </w:rPr>
          <w:t>683.215</w:t>
        </w:r>
      </w:hyperlink>
      <w:r w:rsidRPr="001F6C53">
        <w:rPr>
          <w:lang w:val="en-US"/>
        </w:rPr>
        <w:t xml:space="preserve">, </w:t>
      </w:r>
      <w:r w:rsidRPr="01476CFA">
        <w:rPr>
          <w:lang w:val="en-US"/>
        </w:rPr>
        <w:t>the following WIOA Title I functions and activities constitute the costs of administration subject to the administrative cost limitation:</w:t>
      </w:r>
    </w:p>
    <w:p w14:paraId="444A064C" w14:textId="77777777" w:rsidR="008544AA" w:rsidRPr="00DC1DE3" w:rsidRDefault="008544AA" w:rsidP="008544AA">
      <w:pPr>
        <w:tabs>
          <w:tab w:val="left" w:pos="1440"/>
          <w:tab w:val="right" w:pos="10080"/>
        </w:tabs>
        <w:spacing w:after="0" w:line="240" w:lineRule="auto"/>
        <w:rPr>
          <w:rFonts w:eastAsia="Calibri" w:cstheme="minorHAnsi"/>
          <w:sz w:val="16"/>
          <w:szCs w:val="16"/>
          <w:lang w:val="en"/>
        </w:rPr>
      </w:pPr>
    </w:p>
    <w:p w14:paraId="66E05FE8" w14:textId="59F747C6" w:rsidR="008544AA" w:rsidRPr="00DC1DE3" w:rsidRDefault="008544AA" w:rsidP="00086CF0">
      <w:pPr>
        <w:pStyle w:val="BodyText"/>
        <w:numPr>
          <w:ilvl w:val="0"/>
          <w:numId w:val="15"/>
        </w:numPr>
        <w:rPr>
          <w:sz w:val="20"/>
          <w:szCs w:val="20"/>
        </w:rPr>
      </w:pPr>
      <w:r w:rsidRPr="00DC1DE3">
        <w:t>“The costs of administration are expenditures incurred by direct grant recipients, local grant recipients, local grant subrecipients, and local fiscal agents, and which are not related to the direct provision of WIOA services, including services to participants and employers. These costs can be both personnel and non-personnel and both direct and indirect.”</w:t>
      </w:r>
      <w:r w:rsidRPr="00DC1DE3">
        <w:br/>
      </w:r>
    </w:p>
    <w:p w14:paraId="48CC405D" w14:textId="6E8B39AB" w:rsidR="008544AA" w:rsidRPr="00DC1DE3" w:rsidRDefault="008544AA" w:rsidP="00086CF0">
      <w:pPr>
        <w:pStyle w:val="BodyText"/>
        <w:numPr>
          <w:ilvl w:val="0"/>
          <w:numId w:val="15"/>
        </w:numPr>
      </w:pPr>
      <w:r w:rsidRPr="00DC1DE3">
        <w:t>The costs of administration are the costs associated with performing the following functions:</w:t>
      </w:r>
    </w:p>
    <w:p w14:paraId="2461ED9F" w14:textId="0C53D99F" w:rsidR="008544AA" w:rsidRPr="00DC1DE3" w:rsidRDefault="008544AA" w:rsidP="00086CF0">
      <w:pPr>
        <w:pStyle w:val="BodyText"/>
        <w:numPr>
          <w:ilvl w:val="4"/>
          <w:numId w:val="3"/>
        </w:numPr>
        <w:tabs>
          <w:tab w:val="left" w:pos="1080"/>
          <w:tab w:val="left" w:pos="1800"/>
        </w:tabs>
        <w:ind w:left="1440" w:firstLine="0"/>
      </w:pPr>
      <w:r w:rsidRPr="00DC1DE3">
        <w:t>Performing the following overall general administrative functions and coordination of those functions under WIOA Title I:</w:t>
      </w:r>
    </w:p>
    <w:p w14:paraId="17ADA2E1" w14:textId="77777777" w:rsidR="008544AA" w:rsidRPr="00DC1DE3" w:rsidRDefault="008544AA" w:rsidP="00086CF0">
      <w:pPr>
        <w:pStyle w:val="ListParagraph"/>
        <w:numPr>
          <w:ilvl w:val="2"/>
          <w:numId w:val="4"/>
        </w:numPr>
        <w:rPr>
          <w:rFonts w:eastAsia="Arial"/>
          <w:lang w:val="en"/>
        </w:rPr>
      </w:pPr>
      <w:r w:rsidRPr="00DC1DE3">
        <w:rPr>
          <w:lang w:val="en"/>
        </w:rPr>
        <w:t>Accounting, budgeting, financial, and cash management functions</w:t>
      </w:r>
    </w:p>
    <w:p w14:paraId="7B4E5EB0" w14:textId="77777777" w:rsidR="008544AA" w:rsidRPr="00DC1DE3" w:rsidRDefault="008544AA" w:rsidP="00086CF0">
      <w:pPr>
        <w:pStyle w:val="ListParagraph"/>
        <w:numPr>
          <w:ilvl w:val="2"/>
          <w:numId w:val="4"/>
        </w:numPr>
        <w:rPr>
          <w:rFonts w:eastAsia="Arial"/>
        </w:rPr>
      </w:pPr>
      <w:r w:rsidRPr="01476CFA">
        <w:t>Procurement and purchasing functions</w:t>
      </w:r>
    </w:p>
    <w:p w14:paraId="089374AF" w14:textId="77777777" w:rsidR="008544AA" w:rsidRPr="00DC1DE3" w:rsidRDefault="008544AA" w:rsidP="00086CF0">
      <w:pPr>
        <w:pStyle w:val="ListParagraph"/>
        <w:numPr>
          <w:ilvl w:val="2"/>
          <w:numId w:val="4"/>
        </w:numPr>
        <w:rPr>
          <w:rFonts w:eastAsia="Arial"/>
          <w:lang w:val="en"/>
        </w:rPr>
      </w:pPr>
      <w:r w:rsidRPr="00DC1DE3">
        <w:rPr>
          <w:lang w:val="en"/>
        </w:rPr>
        <w:t>Property management functions</w:t>
      </w:r>
    </w:p>
    <w:p w14:paraId="1BF02309" w14:textId="77777777" w:rsidR="008544AA" w:rsidRPr="00DC1DE3" w:rsidRDefault="008544AA" w:rsidP="00086CF0">
      <w:pPr>
        <w:pStyle w:val="ListParagraph"/>
        <w:numPr>
          <w:ilvl w:val="2"/>
          <w:numId w:val="4"/>
        </w:numPr>
        <w:rPr>
          <w:rFonts w:eastAsia="Arial"/>
          <w:lang w:val="en"/>
        </w:rPr>
      </w:pPr>
      <w:r w:rsidRPr="00DC1DE3">
        <w:rPr>
          <w:lang w:val="en"/>
        </w:rPr>
        <w:t>Personnel management functions</w:t>
      </w:r>
    </w:p>
    <w:p w14:paraId="667CD25B" w14:textId="77777777" w:rsidR="008544AA" w:rsidRPr="00DC1DE3" w:rsidRDefault="008544AA" w:rsidP="00086CF0">
      <w:pPr>
        <w:pStyle w:val="ListParagraph"/>
        <w:numPr>
          <w:ilvl w:val="2"/>
          <w:numId w:val="4"/>
        </w:numPr>
        <w:rPr>
          <w:rFonts w:eastAsia="Arial"/>
          <w:lang w:val="en"/>
        </w:rPr>
      </w:pPr>
      <w:r w:rsidRPr="00DC1DE3">
        <w:rPr>
          <w:lang w:val="en"/>
        </w:rPr>
        <w:t>Payroll functions</w:t>
      </w:r>
    </w:p>
    <w:p w14:paraId="5D9ECED7" w14:textId="77777777" w:rsidR="008544AA" w:rsidRPr="00DC1DE3" w:rsidRDefault="008544AA" w:rsidP="00086CF0">
      <w:pPr>
        <w:pStyle w:val="ListParagraph"/>
        <w:numPr>
          <w:ilvl w:val="2"/>
          <w:numId w:val="4"/>
        </w:numPr>
        <w:rPr>
          <w:rFonts w:eastAsia="Arial"/>
          <w:lang w:val="en"/>
        </w:rPr>
      </w:pPr>
      <w:r w:rsidRPr="00DC1DE3">
        <w:rPr>
          <w:lang w:val="en"/>
        </w:rPr>
        <w:t>Coordinating the resolution of findings arising from audits, reviews, investigations, and incident reports</w:t>
      </w:r>
    </w:p>
    <w:p w14:paraId="3071E985" w14:textId="77777777" w:rsidR="008544AA" w:rsidRPr="00DC1DE3" w:rsidRDefault="008544AA" w:rsidP="00086CF0">
      <w:pPr>
        <w:pStyle w:val="ListParagraph"/>
        <w:numPr>
          <w:ilvl w:val="2"/>
          <w:numId w:val="4"/>
        </w:numPr>
        <w:rPr>
          <w:rFonts w:eastAsia="Arial"/>
          <w:lang w:val="en"/>
        </w:rPr>
      </w:pPr>
      <w:r w:rsidRPr="00DC1DE3">
        <w:rPr>
          <w:lang w:val="en"/>
        </w:rPr>
        <w:t>Audit functions</w:t>
      </w:r>
    </w:p>
    <w:p w14:paraId="1D185DDF" w14:textId="77777777" w:rsidR="008544AA" w:rsidRPr="00DC1DE3" w:rsidRDefault="008544AA" w:rsidP="00086CF0">
      <w:pPr>
        <w:pStyle w:val="ListParagraph"/>
        <w:numPr>
          <w:ilvl w:val="2"/>
          <w:numId w:val="4"/>
        </w:numPr>
        <w:rPr>
          <w:rFonts w:eastAsia="Arial"/>
          <w:lang w:val="en"/>
        </w:rPr>
      </w:pPr>
      <w:r w:rsidRPr="00DC1DE3">
        <w:rPr>
          <w:lang w:val="en"/>
        </w:rPr>
        <w:t>General legal services functions</w:t>
      </w:r>
    </w:p>
    <w:p w14:paraId="4AD60396" w14:textId="77777777" w:rsidR="008544AA" w:rsidRPr="00DC1DE3" w:rsidRDefault="008544AA" w:rsidP="00086CF0">
      <w:pPr>
        <w:pStyle w:val="ListParagraph"/>
        <w:numPr>
          <w:ilvl w:val="2"/>
          <w:numId w:val="4"/>
        </w:numPr>
        <w:rPr>
          <w:rFonts w:eastAsia="Arial"/>
        </w:rPr>
      </w:pPr>
      <w:r w:rsidRPr="01476CFA">
        <w:t>Developing systems and procedures, including information systems, required for these administrative functions</w:t>
      </w:r>
    </w:p>
    <w:p w14:paraId="0F546797" w14:textId="77777777" w:rsidR="008544AA" w:rsidRPr="00DC1DE3" w:rsidRDefault="008544AA" w:rsidP="00086CF0">
      <w:pPr>
        <w:pStyle w:val="ListParagraph"/>
        <w:numPr>
          <w:ilvl w:val="2"/>
          <w:numId w:val="4"/>
        </w:numPr>
        <w:rPr>
          <w:rFonts w:eastAsia="Arial"/>
          <w:lang w:val="en"/>
        </w:rPr>
      </w:pPr>
      <w:r w:rsidRPr="00DC1DE3">
        <w:rPr>
          <w:lang w:val="en"/>
        </w:rPr>
        <w:t>Fiscal agent responsibilities</w:t>
      </w:r>
    </w:p>
    <w:p w14:paraId="6604E514" w14:textId="4D5C5AF8" w:rsidR="008544AA" w:rsidRPr="00DC1DE3" w:rsidRDefault="008544AA" w:rsidP="00086CF0">
      <w:pPr>
        <w:pStyle w:val="BodyText"/>
        <w:numPr>
          <w:ilvl w:val="4"/>
          <w:numId w:val="3"/>
        </w:numPr>
        <w:tabs>
          <w:tab w:val="left" w:pos="1080"/>
          <w:tab w:val="left" w:pos="1800"/>
        </w:tabs>
        <w:ind w:left="1440" w:firstLine="0"/>
      </w:pPr>
      <w:r w:rsidRPr="00DC1DE3">
        <w:t>Performing oversight and monitoring responsibilities related to WIOA administrative functions</w:t>
      </w:r>
      <w:r w:rsidR="00943164">
        <w:t>.</w:t>
      </w:r>
    </w:p>
    <w:p w14:paraId="64D5121F" w14:textId="77777777" w:rsidR="008544AA" w:rsidRPr="00DC1DE3" w:rsidRDefault="008544AA" w:rsidP="008544AA">
      <w:pPr>
        <w:spacing w:after="0" w:line="240" w:lineRule="auto"/>
        <w:rPr>
          <w:rFonts w:eastAsia="Calibri" w:cstheme="minorHAnsi"/>
          <w:sz w:val="24"/>
          <w:szCs w:val="24"/>
          <w:lang w:val="en"/>
        </w:rPr>
      </w:pPr>
    </w:p>
    <w:p w14:paraId="5D2511A4" w14:textId="34F0ECDF" w:rsidR="008544AA" w:rsidRPr="00DC1DE3" w:rsidRDefault="008544AA" w:rsidP="00086CF0">
      <w:pPr>
        <w:pStyle w:val="BodyText"/>
        <w:numPr>
          <w:ilvl w:val="4"/>
          <w:numId w:val="3"/>
        </w:numPr>
        <w:tabs>
          <w:tab w:val="left" w:pos="1080"/>
          <w:tab w:val="left" w:pos="1800"/>
        </w:tabs>
        <w:ind w:left="1440" w:firstLine="0"/>
      </w:pPr>
      <w:r w:rsidRPr="01476CFA">
        <w:rPr>
          <w:lang w:val="en-US"/>
        </w:rPr>
        <w:lastRenderedPageBreak/>
        <w:t>Costs of goods and services required for administrative functions of the program, including goods and services such as rental or purchase of equipment, utilities, office supplies, postage, and rental and maintenance of office space</w:t>
      </w:r>
      <w:r w:rsidR="00943164" w:rsidRPr="01476CFA">
        <w:rPr>
          <w:lang w:val="en-US"/>
        </w:rPr>
        <w:t>.</w:t>
      </w:r>
    </w:p>
    <w:p w14:paraId="37620BD3" w14:textId="395BFCE4" w:rsidR="008544AA" w:rsidRPr="00DC1DE3" w:rsidRDefault="008544AA" w:rsidP="00086CF0">
      <w:pPr>
        <w:pStyle w:val="BodyText"/>
        <w:numPr>
          <w:ilvl w:val="4"/>
          <w:numId w:val="3"/>
        </w:numPr>
        <w:tabs>
          <w:tab w:val="left" w:pos="1080"/>
          <w:tab w:val="left" w:pos="1800"/>
        </w:tabs>
        <w:ind w:left="1440" w:firstLine="0"/>
      </w:pPr>
      <w:r w:rsidRPr="00DC1DE3">
        <w:t>Travel costs</w:t>
      </w:r>
      <w:r w:rsidR="00B66499">
        <w:t xml:space="preserve"> are</w:t>
      </w:r>
      <w:r w:rsidRPr="00DC1DE3">
        <w:t xml:space="preserve"> incurred for official business in carrying out administrative activities or the overall management of the WIOA system</w:t>
      </w:r>
      <w:r w:rsidR="00943164">
        <w:t>.</w:t>
      </w:r>
    </w:p>
    <w:p w14:paraId="261CFADD" w14:textId="5E8CF1FA" w:rsidR="008544AA" w:rsidRPr="00DC1DE3" w:rsidRDefault="008544AA" w:rsidP="00086CF0">
      <w:pPr>
        <w:pStyle w:val="BodyText"/>
        <w:numPr>
          <w:ilvl w:val="4"/>
          <w:numId w:val="3"/>
        </w:numPr>
        <w:tabs>
          <w:tab w:val="left" w:pos="1080"/>
          <w:tab w:val="left" w:pos="1800"/>
        </w:tabs>
        <w:ind w:left="1440" w:firstLine="0"/>
      </w:pPr>
      <w:r w:rsidRPr="00DC1DE3">
        <w:t>Costs of information systems related to administrative functions (for example, personnel, procurement, purchasing, property management, accounting, and payroll systems), including the purchase, systems development, and operating costs of such systems</w:t>
      </w:r>
      <w:r w:rsidR="00943164">
        <w:t>.</w:t>
      </w:r>
    </w:p>
    <w:p w14:paraId="40D0AF4D" w14:textId="77777777" w:rsidR="008544AA" w:rsidRPr="00DC1DE3" w:rsidRDefault="008544AA" w:rsidP="008544AA">
      <w:pPr>
        <w:spacing w:after="0" w:line="240" w:lineRule="auto"/>
        <w:rPr>
          <w:rFonts w:eastAsia="Calibri" w:cstheme="minorHAnsi"/>
          <w:sz w:val="24"/>
          <w:szCs w:val="24"/>
          <w:lang w:val="en"/>
        </w:rPr>
      </w:pPr>
    </w:p>
    <w:p w14:paraId="20E1ED99" w14:textId="3AF82967" w:rsidR="008544AA" w:rsidRPr="00DC1DE3" w:rsidRDefault="008544AA" w:rsidP="00086CF0">
      <w:pPr>
        <w:pStyle w:val="BodyText"/>
        <w:numPr>
          <w:ilvl w:val="0"/>
          <w:numId w:val="15"/>
        </w:numPr>
      </w:pPr>
      <w:r w:rsidRPr="00DC1DE3">
        <w:t>Awards to sub-recipients or contractors that are solely for the performance of administrative functions are classified as administrative costs:</w:t>
      </w:r>
    </w:p>
    <w:p w14:paraId="33D205A3" w14:textId="566BEB82" w:rsidR="008544AA" w:rsidRPr="00DC1DE3" w:rsidRDefault="008544AA" w:rsidP="00086CF0">
      <w:pPr>
        <w:pStyle w:val="BodyText"/>
        <w:numPr>
          <w:ilvl w:val="4"/>
          <w:numId w:val="16"/>
        </w:numPr>
        <w:tabs>
          <w:tab w:val="left" w:pos="1080"/>
          <w:tab w:val="left" w:pos="1800"/>
        </w:tabs>
        <w:ind w:left="1440" w:firstLine="0"/>
      </w:pPr>
      <w:r w:rsidRPr="01476CFA">
        <w:rPr>
          <w:lang w:val="en-US"/>
        </w:rPr>
        <w:t>Personnel and related non-personnel costs of staff that perform both administrative functions specified in item 2 of this section and programmatic services or activities must be allocated as administrative or program costs to the benefitting cost objectives/categories based on documented distributions of actual time worked or other equitable cost allocation methods</w:t>
      </w:r>
      <w:r w:rsidR="00943164" w:rsidRPr="01476CFA">
        <w:rPr>
          <w:lang w:val="en-US"/>
        </w:rPr>
        <w:t>.</w:t>
      </w:r>
    </w:p>
    <w:p w14:paraId="75D5041F" w14:textId="1BDECFCA" w:rsidR="008544AA" w:rsidRPr="00DC1DE3" w:rsidRDefault="008544AA" w:rsidP="00086CF0">
      <w:pPr>
        <w:pStyle w:val="BodyText"/>
        <w:numPr>
          <w:ilvl w:val="4"/>
          <w:numId w:val="16"/>
        </w:numPr>
        <w:tabs>
          <w:tab w:val="left" w:pos="1080"/>
          <w:tab w:val="left" w:pos="1800"/>
        </w:tabs>
        <w:ind w:left="1440" w:firstLine="0"/>
      </w:pPr>
      <w:r w:rsidRPr="01476CFA">
        <w:rPr>
          <w:lang w:val="en-US"/>
        </w:rPr>
        <w:t>Specific costs charged to an overhead or indirect cost pool that can be identified directly as a program cost are to be charged as a program cost. Documentation of such charges must be maintained</w:t>
      </w:r>
      <w:r w:rsidR="00943164" w:rsidRPr="01476CFA">
        <w:rPr>
          <w:lang w:val="en-US"/>
        </w:rPr>
        <w:t>.</w:t>
      </w:r>
    </w:p>
    <w:p w14:paraId="5184CFA2" w14:textId="6D21E29D" w:rsidR="008544AA" w:rsidRPr="00DC1DE3" w:rsidRDefault="008544AA" w:rsidP="00086CF0">
      <w:pPr>
        <w:pStyle w:val="BodyText"/>
        <w:numPr>
          <w:ilvl w:val="4"/>
          <w:numId w:val="16"/>
        </w:numPr>
        <w:tabs>
          <w:tab w:val="left" w:pos="1080"/>
          <w:tab w:val="left" w:pos="1800"/>
        </w:tabs>
        <w:ind w:left="1440" w:firstLine="0"/>
      </w:pPr>
      <w:r w:rsidRPr="01476CFA">
        <w:rPr>
          <w:lang w:val="en-US"/>
        </w:rPr>
        <w:t>Except as provided in item 2a of this section, all costs incurred for functions and activities of subrecipients and contractors are program costs</w:t>
      </w:r>
      <w:r w:rsidR="00943164" w:rsidRPr="01476CFA">
        <w:rPr>
          <w:lang w:val="en-US"/>
        </w:rPr>
        <w:t>.</w:t>
      </w:r>
    </w:p>
    <w:p w14:paraId="6F1E66CB" w14:textId="3ED1DB17" w:rsidR="008544AA" w:rsidRPr="00DC1DE3" w:rsidRDefault="008544AA" w:rsidP="00086CF0">
      <w:pPr>
        <w:pStyle w:val="BodyText"/>
        <w:numPr>
          <w:ilvl w:val="4"/>
          <w:numId w:val="16"/>
        </w:numPr>
        <w:tabs>
          <w:tab w:val="left" w:pos="1080"/>
          <w:tab w:val="left" w:pos="1800"/>
        </w:tabs>
        <w:ind w:left="1440" w:firstLine="0"/>
      </w:pPr>
      <w:r w:rsidRPr="01476CFA">
        <w:rPr>
          <w:lang w:val="en-US"/>
        </w:rPr>
        <w:t>Continuous improvement activities are charged to the administration or program category based on the purpose or nature of the activity to be improved. Documentation of such charges must be maintained</w:t>
      </w:r>
      <w:r w:rsidR="00943164" w:rsidRPr="01476CFA">
        <w:rPr>
          <w:lang w:val="en-US"/>
        </w:rPr>
        <w:t>.</w:t>
      </w:r>
    </w:p>
    <w:p w14:paraId="7C5A7DFE" w14:textId="77777777" w:rsidR="008544AA" w:rsidRPr="00DC1DE3" w:rsidRDefault="008544AA" w:rsidP="008544AA">
      <w:pPr>
        <w:spacing w:after="0" w:line="240" w:lineRule="auto"/>
        <w:rPr>
          <w:rFonts w:eastAsia="Calibri" w:cstheme="minorHAnsi"/>
          <w:sz w:val="24"/>
          <w:szCs w:val="24"/>
          <w:lang w:val="en"/>
        </w:rPr>
      </w:pPr>
    </w:p>
    <w:p w14:paraId="36A06A0B" w14:textId="77777777" w:rsidR="008544AA" w:rsidRPr="00DC1DE3" w:rsidRDefault="008544AA" w:rsidP="00086CF0">
      <w:pPr>
        <w:pStyle w:val="BodyText"/>
        <w:numPr>
          <w:ilvl w:val="0"/>
          <w:numId w:val="15"/>
        </w:numPr>
      </w:pPr>
      <w:r w:rsidRPr="00DC1DE3">
        <w:t>Costs of the following information systems, including the purchase, systems development, and operational costs (for example, data entry), are charged to the program category:</w:t>
      </w:r>
    </w:p>
    <w:p w14:paraId="7AE2AA0E" w14:textId="1B8C9BFB" w:rsidR="008544AA" w:rsidRPr="00DC1DE3" w:rsidRDefault="008544AA" w:rsidP="00086CF0">
      <w:pPr>
        <w:pStyle w:val="BodyText"/>
        <w:numPr>
          <w:ilvl w:val="4"/>
          <w:numId w:val="17"/>
        </w:numPr>
        <w:tabs>
          <w:tab w:val="left" w:pos="1080"/>
          <w:tab w:val="left" w:pos="1800"/>
        </w:tabs>
        <w:ind w:left="1440" w:firstLine="0"/>
      </w:pPr>
      <w:r w:rsidRPr="01476CFA">
        <w:rPr>
          <w:lang w:val="en-US"/>
        </w:rPr>
        <w:t>Tracking or monitoring of participant and performance information</w:t>
      </w:r>
      <w:r w:rsidR="00943164" w:rsidRPr="01476CFA">
        <w:rPr>
          <w:lang w:val="en-US"/>
        </w:rPr>
        <w:t>.</w:t>
      </w:r>
    </w:p>
    <w:p w14:paraId="64A2CB1A" w14:textId="13C87131" w:rsidR="008544AA" w:rsidRPr="00DC1DE3" w:rsidRDefault="008544AA" w:rsidP="00086CF0">
      <w:pPr>
        <w:pStyle w:val="BodyText"/>
        <w:numPr>
          <w:ilvl w:val="4"/>
          <w:numId w:val="17"/>
        </w:numPr>
        <w:tabs>
          <w:tab w:val="left" w:pos="1080"/>
          <w:tab w:val="left" w:pos="1800"/>
        </w:tabs>
        <w:ind w:left="1440" w:firstLine="0"/>
      </w:pPr>
      <w:r w:rsidRPr="00DC1DE3">
        <w:t>Employment statistics information, including job listing information, job skills information, and demand occupation information</w:t>
      </w:r>
      <w:r w:rsidR="00943164">
        <w:t>.</w:t>
      </w:r>
    </w:p>
    <w:p w14:paraId="54569390" w14:textId="5BF62A7F" w:rsidR="008544AA" w:rsidRPr="00DC1DE3" w:rsidRDefault="008544AA" w:rsidP="00086CF0">
      <w:pPr>
        <w:pStyle w:val="BodyText"/>
        <w:numPr>
          <w:ilvl w:val="4"/>
          <w:numId w:val="17"/>
        </w:numPr>
        <w:tabs>
          <w:tab w:val="left" w:pos="1080"/>
          <w:tab w:val="left" w:pos="1800"/>
        </w:tabs>
        <w:ind w:left="1440" w:firstLine="0"/>
      </w:pPr>
      <w:r w:rsidRPr="01476CFA">
        <w:rPr>
          <w:lang w:val="en-US"/>
        </w:rPr>
        <w:t>Performance and program cost information on eligible providers of training services, youth activities, and appropriate education activities</w:t>
      </w:r>
      <w:r w:rsidR="00943164" w:rsidRPr="01476CFA">
        <w:rPr>
          <w:lang w:val="en-US"/>
        </w:rPr>
        <w:t>.</w:t>
      </w:r>
    </w:p>
    <w:p w14:paraId="1867E377" w14:textId="28359F9F" w:rsidR="008544AA" w:rsidRPr="00DC1DE3" w:rsidRDefault="008544AA" w:rsidP="00086CF0">
      <w:pPr>
        <w:pStyle w:val="BodyText"/>
        <w:numPr>
          <w:ilvl w:val="4"/>
          <w:numId w:val="17"/>
        </w:numPr>
        <w:tabs>
          <w:tab w:val="left" w:pos="1080"/>
          <w:tab w:val="left" w:pos="1800"/>
        </w:tabs>
        <w:ind w:left="1440" w:firstLine="0"/>
      </w:pPr>
      <w:r w:rsidRPr="00DC1DE3">
        <w:lastRenderedPageBreak/>
        <w:t>Local Area performance information</w:t>
      </w:r>
      <w:r w:rsidR="00943164">
        <w:t>.</w:t>
      </w:r>
    </w:p>
    <w:p w14:paraId="648E1223" w14:textId="4F25CA20" w:rsidR="008544AA" w:rsidRPr="00DC1DE3" w:rsidRDefault="008544AA" w:rsidP="00086CF0">
      <w:pPr>
        <w:pStyle w:val="BodyText"/>
        <w:numPr>
          <w:ilvl w:val="4"/>
          <w:numId w:val="17"/>
        </w:numPr>
        <w:tabs>
          <w:tab w:val="left" w:pos="1080"/>
          <w:tab w:val="left" w:pos="1800"/>
        </w:tabs>
        <w:ind w:left="1440" w:firstLine="0"/>
      </w:pPr>
      <w:r w:rsidRPr="00DC1DE3">
        <w:t>Information relating to supportive services and unemployment insurance claims for program participants</w:t>
      </w:r>
      <w:r w:rsidR="00943164">
        <w:t>.</w:t>
      </w:r>
    </w:p>
    <w:p w14:paraId="395AB49D" w14:textId="77777777" w:rsidR="008544AA" w:rsidRPr="00DC1DE3" w:rsidRDefault="008544AA" w:rsidP="008544AA">
      <w:pPr>
        <w:spacing w:after="0" w:line="240" w:lineRule="auto"/>
        <w:rPr>
          <w:rFonts w:eastAsia="Calibri" w:cstheme="minorHAnsi"/>
          <w:sz w:val="24"/>
          <w:szCs w:val="24"/>
          <w:lang w:val="en"/>
        </w:rPr>
      </w:pPr>
    </w:p>
    <w:p w14:paraId="67CFB417" w14:textId="77777777" w:rsidR="008544AA" w:rsidRPr="00DC1DE3" w:rsidRDefault="008544AA" w:rsidP="00086CF0">
      <w:pPr>
        <w:pStyle w:val="BodyText"/>
        <w:numPr>
          <w:ilvl w:val="0"/>
          <w:numId w:val="15"/>
        </w:numPr>
      </w:pPr>
      <w:r w:rsidRPr="01476CFA">
        <w:rPr>
          <w:lang w:val="en-US"/>
        </w:rPr>
        <w:t>Where possible, entities identified in item 1 must make efforts to streamline:</w:t>
      </w:r>
    </w:p>
    <w:p w14:paraId="01D2D93F" w14:textId="6069A6B1" w:rsidR="008544AA" w:rsidRPr="00DC1DE3" w:rsidRDefault="008544AA" w:rsidP="00086CF0">
      <w:pPr>
        <w:pStyle w:val="BodyText"/>
        <w:numPr>
          <w:ilvl w:val="4"/>
          <w:numId w:val="18"/>
        </w:numPr>
        <w:tabs>
          <w:tab w:val="left" w:pos="1800"/>
        </w:tabs>
        <w:ind w:left="1440" w:firstLine="0"/>
      </w:pPr>
      <w:r w:rsidRPr="00DC1DE3">
        <w:t>Services in item 2a-2e of this section to reduce administrative costs by minimizing duplication and effectively using information technology to improve services</w:t>
      </w:r>
      <w:r w:rsidR="00943164">
        <w:t>.</w:t>
      </w:r>
    </w:p>
    <w:p w14:paraId="10E4E68F" w14:textId="77777777" w:rsidR="008544AA" w:rsidRPr="00DC1DE3" w:rsidRDefault="008544AA" w:rsidP="00CA4E8F">
      <w:pPr>
        <w:pStyle w:val="BodyText"/>
        <w:tabs>
          <w:tab w:val="left" w:pos="1080"/>
          <w:tab w:val="left" w:pos="1800"/>
        </w:tabs>
        <w:ind w:left="1440"/>
      </w:pPr>
      <w:r w:rsidRPr="00943164">
        <w:br w:type="page"/>
      </w:r>
    </w:p>
    <w:p w14:paraId="386DB6EC" w14:textId="77777777" w:rsidR="008544AA" w:rsidRPr="00DC1DE3" w:rsidRDefault="008544AA" w:rsidP="00943164">
      <w:pPr>
        <w:pStyle w:val="Heading2"/>
        <w:numPr>
          <w:ilvl w:val="0"/>
          <w:numId w:val="0"/>
        </w:numPr>
        <w:rPr>
          <w:rFonts w:eastAsia="Arial"/>
          <w:lang w:val="en"/>
        </w:rPr>
      </w:pPr>
      <w:bookmarkStart w:id="218" w:name="_Toc117246194"/>
      <w:bookmarkStart w:id="219" w:name="_Toc130496203"/>
      <w:bookmarkStart w:id="220" w:name="_Toc167356452"/>
      <w:bookmarkStart w:id="221" w:name="_Toc167894699"/>
      <w:r w:rsidRPr="00DC1DE3">
        <w:rPr>
          <w:rFonts w:eastAsia="Arial"/>
          <w:lang w:val="en"/>
        </w:rPr>
        <w:lastRenderedPageBreak/>
        <w:t>Appendix E: Internet Resources</w:t>
      </w:r>
      <w:bookmarkEnd w:id="218"/>
      <w:bookmarkEnd w:id="219"/>
      <w:bookmarkEnd w:id="220"/>
      <w:bookmarkEnd w:id="221"/>
    </w:p>
    <w:p w14:paraId="640F4457" w14:textId="77777777" w:rsidR="008544AA" w:rsidRPr="00F470F1" w:rsidRDefault="008544AA" w:rsidP="01476CFA">
      <w:pPr>
        <w:pStyle w:val="BodyText"/>
        <w:rPr>
          <w:rFonts w:cs="Calibri"/>
          <w:lang w:val="en-US"/>
        </w:rPr>
      </w:pPr>
      <w:r w:rsidRPr="01476CFA">
        <w:rPr>
          <w:rFonts w:cs="Calibri"/>
          <w:lang w:val="en-US"/>
        </w:rPr>
        <w:t>The following websites provide additional information that may help develop project plans, build partnerships, obtain data, and respond to questions in the SFP:</w:t>
      </w:r>
    </w:p>
    <w:p w14:paraId="2CE8B84C" w14:textId="51EAD495" w:rsidR="00F470F1" w:rsidRPr="00F470F1" w:rsidRDefault="008544AA" w:rsidP="01476CFA">
      <w:pPr>
        <w:spacing w:after="0" w:line="240" w:lineRule="auto"/>
        <w:rPr>
          <w:rFonts w:ascii="Calibri" w:eastAsia="Arial" w:hAnsi="Calibri" w:cs="Calibri"/>
          <w:b/>
          <w:bCs/>
          <w:sz w:val="24"/>
          <w:szCs w:val="24"/>
        </w:rPr>
      </w:pPr>
      <w:r w:rsidRPr="01476CFA">
        <w:rPr>
          <w:rFonts w:ascii="Calibri" w:eastAsia="Calibri" w:hAnsi="Calibri" w:cs="Calibri"/>
          <w:b/>
          <w:bCs/>
          <w:sz w:val="24"/>
          <w:szCs w:val="24"/>
        </w:rPr>
        <w:t xml:space="preserve">America’s Job Center of </w:t>
      </w:r>
      <w:proofErr w:type="spellStart"/>
      <w:r w:rsidRPr="01476CFA">
        <w:rPr>
          <w:rFonts w:ascii="Calibri" w:eastAsia="Calibri" w:hAnsi="Calibri" w:cs="Calibri"/>
          <w:b/>
          <w:bCs/>
          <w:sz w:val="24"/>
          <w:szCs w:val="24"/>
        </w:rPr>
        <w:t>California</w:t>
      </w:r>
      <w:r w:rsidRPr="01476CFA">
        <w:rPr>
          <w:rFonts w:ascii="Calibri" w:eastAsia="Calibri" w:hAnsi="Calibri" w:cs="Calibri"/>
          <w:b/>
          <w:bCs/>
          <w:sz w:val="24"/>
          <w:szCs w:val="24"/>
          <w:vertAlign w:val="superscript"/>
        </w:rPr>
        <w:t>SM</w:t>
      </w:r>
      <w:proofErr w:type="spellEnd"/>
      <w:r w:rsidRPr="01476CFA">
        <w:rPr>
          <w:rFonts w:ascii="Calibri" w:eastAsia="Calibri" w:hAnsi="Calibri" w:cs="Calibri"/>
          <w:b/>
          <w:bCs/>
          <w:sz w:val="24"/>
          <w:szCs w:val="24"/>
        </w:rPr>
        <w:t xml:space="preserve"> </w:t>
      </w:r>
      <w:r w:rsidRPr="00C23064">
        <w:rPr>
          <w:rFonts w:ascii="Calibri" w:eastAsia="Calibri" w:hAnsi="Calibri" w:cs="Calibri"/>
          <w:b/>
          <w:bCs/>
          <w:sz w:val="24"/>
          <w:szCs w:val="24"/>
        </w:rPr>
        <w:t>(</w:t>
      </w:r>
      <w:hyperlink r:id="rId111">
        <w:r w:rsidRPr="009847B8">
          <w:rPr>
            <w:rStyle w:val="Hyperlink"/>
          </w:rPr>
          <w:t>AJCC</w:t>
        </w:r>
      </w:hyperlink>
      <w:r w:rsidRPr="01476CFA">
        <w:rPr>
          <w:rFonts w:ascii="Calibri" w:eastAsia="Calibri" w:hAnsi="Calibri" w:cs="Calibri"/>
          <w:b/>
          <w:bCs/>
          <w:sz w:val="24"/>
          <w:szCs w:val="24"/>
        </w:rPr>
        <w:t>)</w:t>
      </w:r>
    </w:p>
    <w:p w14:paraId="4BA5D1D7" w14:textId="263A7D61"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sz w:val="24"/>
          <w:szCs w:val="24"/>
          <w:lang w:val="en"/>
        </w:rPr>
        <w:t>Central location for information about Job/Career Centers and related links.</w:t>
      </w:r>
    </w:p>
    <w:p w14:paraId="20EB80A2" w14:textId="77777777" w:rsidR="00F470F1" w:rsidRPr="00F470F1" w:rsidRDefault="00F470F1" w:rsidP="00F470F1">
      <w:pPr>
        <w:spacing w:after="0" w:line="240" w:lineRule="auto"/>
        <w:ind w:left="720" w:hanging="360"/>
        <w:rPr>
          <w:rFonts w:ascii="Calibri" w:eastAsia="Arial" w:hAnsi="Calibri" w:cs="Calibri"/>
          <w:b/>
          <w:sz w:val="24"/>
          <w:szCs w:val="24"/>
          <w:lang w:val="en"/>
        </w:rPr>
      </w:pPr>
    </w:p>
    <w:p w14:paraId="3370059D" w14:textId="7062FF5D" w:rsidR="008544AA" w:rsidRPr="001F6C53"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Association for Local Economic Development </w:t>
      </w:r>
      <w:r w:rsidRPr="001F6C53">
        <w:rPr>
          <w:rFonts w:ascii="Calibri" w:eastAsia="Calibri" w:hAnsi="Calibri" w:cs="Calibri"/>
          <w:b/>
          <w:sz w:val="24"/>
          <w:szCs w:val="24"/>
          <w:lang w:val="en"/>
        </w:rPr>
        <w:t>(</w:t>
      </w:r>
      <w:hyperlink r:id="rId112" w:history="1">
        <w:r w:rsidRPr="009847B8">
          <w:rPr>
            <w:rStyle w:val="Hyperlink"/>
          </w:rPr>
          <w:t>CALED</w:t>
        </w:r>
      </w:hyperlink>
      <w:r w:rsidRPr="001F6C53">
        <w:rPr>
          <w:rFonts w:ascii="Calibri" w:eastAsia="Calibri" w:hAnsi="Calibri" w:cs="Calibri"/>
          <w:b/>
          <w:sz w:val="24"/>
          <w:szCs w:val="24"/>
          <w:lang w:val="en"/>
        </w:rPr>
        <w:t>)</w:t>
      </w:r>
    </w:p>
    <w:p w14:paraId="2F053327" w14:textId="14305F47"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Economic development organization dedicated to advancing its members’ ability to achieve excellence in delivering economic development services to their communities and business clients within California.</w:t>
      </w:r>
    </w:p>
    <w:p w14:paraId="7B836F7B" w14:textId="77777777" w:rsidR="00F470F1" w:rsidRPr="00F470F1" w:rsidRDefault="00F470F1" w:rsidP="00F470F1">
      <w:pPr>
        <w:spacing w:after="0" w:line="240" w:lineRule="auto"/>
        <w:rPr>
          <w:rFonts w:ascii="Calibri" w:eastAsia="Calibri" w:hAnsi="Calibri" w:cs="Calibri"/>
          <w:b/>
          <w:sz w:val="24"/>
          <w:szCs w:val="24"/>
          <w:lang w:val="en"/>
        </w:rPr>
      </w:pPr>
    </w:p>
    <w:p w14:paraId="75882885" w14:textId="12B66D15"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Community Colleges Economic and Workforce Development </w:t>
      </w:r>
      <w:r w:rsidRPr="00C23064">
        <w:rPr>
          <w:rFonts w:ascii="Calibri" w:eastAsia="Calibri" w:hAnsi="Calibri" w:cs="Calibri"/>
          <w:b/>
          <w:sz w:val="24"/>
          <w:szCs w:val="24"/>
          <w:lang w:val="en"/>
        </w:rPr>
        <w:t>(</w:t>
      </w:r>
      <w:hyperlink r:id="rId113" w:history="1">
        <w:r w:rsidRPr="009847B8">
          <w:rPr>
            <w:rStyle w:val="Hyperlink"/>
          </w:rPr>
          <w:t>CCCEWD</w:t>
        </w:r>
      </w:hyperlink>
      <w:r w:rsidRPr="00F470F1">
        <w:rPr>
          <w:rFonts w:ascii="Calibri" w:eastAsia="Calibri" w:hAnsi="Calibri" w:cs="Calibri"/>
          <w:b/>
          <w:sz w:val="24"/>
          <w:szCs w:val="24"/>
          <w:lang w:val="en"/>
        </w:rPr>
        <w:t>)</w:t>
      </w:r>
    </w:p>
    <w:p w14:paraId="7DDAC9A5" w14:textId="09DA598B"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The primary system for delivering career technical education and workforce training to Californians.</w:t>
      </w:r>
    </w:p>
    <w:p w14:paraId="69C7BEE9" w14:textId="77777777" w:rsidR="00F470F1" w:rsidRPr="00F470F1" w:rsidRDefault="00F470F1" w:rsidP="00F470F1">
      <w:pPr>
        <w:spacing w:after="0" w:line="240" w:lineRule="auto"/>
        <w:rPr>
          <w:rFonts w:ascii="Calibri" w:eastAsia="Calibri" w:hAnsi="Calibri" w:cs="Calibri"/>
          <w:b/>
          <w:sz w:val="24"/>
          <w:szCs w:val="24"/>
          <w:lang w:val="en"/>
        </w:rPr>
      </w:pPr>
    </w:p>
    <w:p w14:paraId="4D76BBC5" w14:textId="7B9DA4C9"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Department of Finance-Demographic Research </w:t>
      </w:r>
      <w:r w:rsidRPr="00C23064">
        <w:rPr>
          <w:rFonts w:ascii="Calibri" w:eastAsia="Calibri" w:hAnsi="Calibri" w:cs="Calibri"/>
          <w:b/>
          <w:sz w:val="24"/>
          <w:szCs w:val="24"/>
          <w:lang w:val="en"/>
        </w:rPr>
        <w:t>(</w:t>
      </w:r>
      <w:hyperlink r:id="rId114" w:history="1">
        <w:r w:rsidRPr="009847B8">
          <w:rPr>
            <w:rStyle w:val="Hyperlink"/>
          </w:rPr>
          <w:t>DOF</w:t>
        </w:r>
      </w:hyperlink>
      <w:r w:rsidRPr="00F470F1">
        <w:rPr>
          <w:rFonts w:ascii="Calibri" w:eastAsia="Calibri" w:hAnsi="Calibri" w:cs="Calibri"/>
          <w:b/>
          <w:sz w:val="24"/>
          <w:szCs w:val="24"/>
          <w:lang w:val="en"/>
        </w:rPr>
        <w:t>)</w:t>
      </w:r>
    </w:p>
    <w:p w14:paraId="466F1496" w14:textId="2198FD3C"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 xml:space="preserve">State finance census </w:t>
      </w:r>
      <w:proofErr w:type="gramStart"/>
      <w:r w:rsidRPr="00F470F1">
        <w:rPr>
          <w:rFonts w:ascii="Calibri" w:eastAsia="Calibri" w:hAnsi="Calibri" w:cs="Calibri"/>
          <w:sz w:val="24"/>
          <w:szCs w:val="24"/>
          <w:lang w:val="en"/>
        </w:rPr>
        <w:t>data,</w:t>
      </w:r>
      <w:proofErr w:type="gramEnd"/>
      <w:r w:rsidRPr="00F470F1">
        <w:rPr>
          <w:rFonts w:ascii="Calibri" w:eastAsia="Calibri" w:hAnsi="Calibri" w:cs="Calibri"/>
          <w:sz w:val="24"/>
          <w:szCs w:val="24"/>
          <w:lang w:val="en"/>
        </w:rPr>
        <w:t xml:space="preserve"> </w:t>
      </w:r>
      <w:proofErr w:type="gramStart"/>
      <w:r w:rsidRPr="00F470F1">
        <w:rPr>
          <w:rFonts w:ascii="Calibri" w:eastAsia="Calibri" w:hAnsi="Calibri" w:cs="Calibri"/>
          <w:sz w:val="24"/>
          <w:szCs w:val="24"/>
          <w:lang w:val="en"/>
        </w:rPr>
        <w:t>including</w:t>
      </w:r>
      <w:proofErr w:type="gramEnd"/>
      <w:r w:rsidRPr="00F470F1">
        <w:rPr>
          <w:rFonts w:ascii="Calibri" w:eastAsia="Calibri" w:hAnsi="Calibri" w:cs="Calibri"/>
          <w:sz w:val="24"/>
          <w:szCs w:val="24"/>
          <w:lang w:val="en"/>
        </w:rPr>
        <w:t xml:space="preserve"> population by gender, age, and race by county.</w:t>
      </w:r>
    </w:p>
    <w:p w14:paraId="4D5748A8" w14:textId="77777777" w:rsidR="00F470F1" w:rsidRPr="00F470F1" w:rsidRDefault="00F470F1" w:rsidP="00F470F1">
      <w:pPr>
        <w:spacing w:after="0" w:line="240" w:lineRule="auto"/>
        <w:rPr>
          <w:rFonts w:ascii="Calibri" w:eastAsia="Calibri" w:hAnsi="Calibri" w:cs="Calibri"/>
          <w:b/>
          <w:sz w:val="24"/>
          <w:szCs w:val="24"/>
          <w:lang w:val="en"/>
        </w:rPr>
      </w:pPr>
    </w:p>
    <w:p w14:paraId="2E7599FB" w14:textId="1DC2983E" w:rsidR="008544AA" w:rsidRPr="001F6C53"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California Department of Health Care Services (</w:t>
      </w:r>
      <w:hyperlink r:id="rId115" w:history="1">
        <w:r w:rsidRPr="009847B8">
          <w:rPr>
            <w:rStyle w:val="Hyperlink"/>
          </w:rPr>
          <w:t>DHCS</w:t>
        </w:r>
      </w:hyperlink>
      <w:r w:rsidRPr="001F6C53">
        <w:rPr>
          <w:rFonts w:ascii="Calibri" w:eastAsia="Calibri" w:hAnsi="Calibri" w:cs="Calibri"/>
          <w:b/>
          <w:sz w:val="24"/>
          <w:szCs w:val="24"/>
          <w:lang w:val="en"/>
        </w:rPr>
        <w:t>)</w:t>
      </w:r>
    </w:p>
    <w:p w14:paraId="6C180234" w14:textId="023DA459"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Provides services to preserve and improve the health status of all Californians.</w:t>
      </w:r>
    </w:p>
    <w:p w14:paraId="26701574" w14:textId="77777777" w:rsidR="00F470F1" w:rsidRPr="00F470F1" w:rsidRDefault="00F470F1" w:rsidP="00F470F1">
      <w:pPr>
        <w:spacing w:after="0" w:line="240" w:lineRule="auto"/>
        <w:rPr>
          <w:rFonts w:ascii="Calibri" w:eastAsia="Calibri" w:hAnsi="Calibri" w:cs="Calibri"/>
          <w:b/>
          <w:sz w:val="24"/>
          <w:szCs w:val="24"/>
          <w:lang w:val="en"/>
        </w:rPr>
      </w:pPr>
    </w:p>
    <w:p w14:paraId="701981CB" w14:textId="214D1D77"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California Department of Education (</w:t>
      </w:r>
      <w:hyperlink r:id="rId116" w:history="1">
        <w:r w:rsidRPr="009847B8">
          <w:rPr>
            <w:rStyle w:val="Hyperlink"/>
          </w:rPr>
          <w:t>DOE</w:t>
        </w:r>
      </w:hyperlink>
      <w:r w:rsidRPr="001F6C53">
        <w:rPr>
          <w:rFonts w:ascii="Calibri" w:eastAsia="Calibri" w:hAnsi="Calibri" w:cs="Calibri"/>
          <w:b/>
          <w:sz w:val="24"/>
          <w:szCs w:val="24"/>
          <w:lang w:val="en"/>
        </w:rPr>
        <w:t>)</w:t>
      </w:r>
    </w:p>
    <w:p w14:paraId="01F1717A" w14:textId="7B8156EE"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t>Programs available to provide adults with the knowledge and skills necessary to participate effectively as productive citizens and workers.</w:t>
      </w:r>
    </w:p>
    <w:p w14:paraId="7E88814B" w14:textId="77777777" w:rsidR="00F470F1" w:rsidRPr="00F470F1" w:rsidRDefault="00F470F1" w:rsidP="00F470F1">
      <w:pPr>
        <w:spacing w:after="0" w:line="240" w:lineRule="auto"/>
        <w:rPr>
          <w:rFonts w:ascii="Calibri" w:eastAsia="Calibri" w:hAnsi="Calibri" w:cs="Calibri"/>
          <w:b/>
          <w:sz w:val="24"/>
          <w:szCs w:val="24"/>
          <w:lang w:val="en"/>
        </w:rPr>
      </w:pPr>
    </w:p>
    <w:p w14:paraId="269B15E9" w14:textId="061A4297"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California Department of Industrial Relations</w:t>
      </w:r>
      <w:r w:rsidR="00AF26BB">
        <w:rPr>
          <w:rFonts w:ascii="Calibri" w:eastAsia="Calibri" w:hAnsi="Calibri" w:cs="Calibri"/>
          <w:b/>
          <w:sz w:val="24"/>
          <w:szCs w:val="24"/>
          <w:lang w:val="en"/>
        </w:rPr>
        <w:t xml:space="preserve"> </w:t>
      </w:r>
      <w:r w:rsidRPr="00F470F1">
        <w:rPr>
          <w:rFonts w:ascii="Calibri" w:eastAsia="Calibri" w:hAnsi="Calibri" w:cs="Calibri"/>
          <w:b/>
          <w:sz w:val="24"/>
          <w:szCs w:val="24"/>
          <w:lang w:val="en"/>
        </w:rPr>
        <w:t>-</w:t>
      </w:r>
      <w:r w:rsidR="00AF26BB">
        <w:rPr>
          <w:rFonts w:ascii="Calibri" w:eastAsia="Calibri" w:hAnsi="Calibri" w:cs="Calibri"/>
          <w:b/>
          <w:sz w:val="24"/>
          <w:szCs w:val="24"/>
          <w:lang w:val="en"/>
        </w:rPr>
        <w:t xml:space="preserve"> </w:t>
      </w:r>
      <w:r w:rsidRPr="00F470F1">
        <w:rPr>
          <w:rFonts w:ascii="Calibri" w:eastAsia="Calibri" w:hAnsi="Calibri" w:cs="Calibri"/>
          <w:b/>
          <w:sz w:val="24"/>
          <w:szCs w:val="24"/>
          <w:lang w:val="en"/>
        </w:rPr>
        <w:t>Division of Apprenticeship Standards (</w:t>
      </w:r>
      <w:hyperlink r:id="rId117" w:history="1">
        <w:r w:rsidRPr="009847B8">
          <w:rPr>
            <w:rStyle w:val="Hyperlink"/>
          </w:rPr>
          <w:t>DIR-DAS</w:t>
        </w:r>
      </w:hyperlink>
      <w:r w:rsidRPr="001F6C53">
        <w:rPr>
          <w:rFonts w:ascii="Calibri" w:eastAsia="Calibri" w:hAnsi="Calibri" w:cs="Calibri"/>
          <w:b/>
          <w:sz w:val="24"/>
          <w:szCs w:val="24"/>
          <w:lang w:val="en"/>
        </w:rPr>
        <w:t>)</w:t>
      </w:r>
    </w:p>
    <w:p w14:paraId="09638AEB" w14:textId="73530BE8"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t>Provides opportunities for workers to gain employable lifetime skills and provides employers with a highly skilled and experienced workforce while strengthening California's economy. Contains information on the quality elements of apprenticeship and pre-apprenticeship programs.</w:t>
      </w:r>
    </w:p>
    <w:p w14:paraId="2D9D80C9" w14:textId="77777777" w:rsidR="00F470F1" w:rsidRPr="00F470F1" w:rsidRDefault="00F470F1" w:rsidP="00F470F1">
      <w:pPr>
        <w:spacing w:after="0" w:line="240" w:lineRule="auto"/>
        <w:rPr>
          <w:rFonts w:ascii="Calibri" w:eastAsia="Calibri" w:hAnsi="Calibri" w:cs="Calibri"/>
          <w:b/>
          <w:sz w:val="24"/>
          <w:szCs w:val="24"/>
          <w:lang w:val="en"/>
        </w:rPr>
      </w:pPr>
    </w:p>
    <w:p w14:paraId="4AD5135E" w14:textId="473DEC42"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Department of Rehabilitation </w:t>
      </w:r>
      <w:r w:rsidRPr="001F6C53">
        <w:rPr>
          <w:rFonts w:ascii="Calibri" w:eastAsia="Calibri" w:hAnsi="Calibri" w:cs="Calibri"/>
          <w:b/>
          <w:sz w:val="24"/>
          <w:szCs w:val="24"/>
          <w:lang w:val="en"/>
        </w:rPr>
        <w:t>(</w:t>
      </w:r>
      <w:hyperlink r:id="rId118" w:history="1">
        <w:r w:rsidRPr="009847B8">
          <w:rPr>
            <w:rStyle w:val="Hyperlink"/>
          </w:rPr>
          <w:t>DOR</w:t>
        </w:r>
      </w:hyperlink>
      <w:r w:rsidRPr="00F470F1">
        <w:rPr>
          <w:rFonts w:ascii="Calibri" w:eastAsia="Calibri" w:hAnsi="Calibri" w:cs="Calibri"/>
          <w:b/>
          <w:sz w:val="24"/>
          <w:szCs w:val="24"/>
          <w:lang w:val="en"/>
        </w:rPr>
        <w:t>)</w:t>
      </w:r>
    </w:p>
    <w:p w14:paraId="2E6CD4BE" w14:textId="71A83E60"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Services and advocacy for employment, independent living, and equality for individuals with disabilities.</w:t>
      </w:r>
    </w:p>
    <w:p w14:paraId="05E60B70" w14:textId="77777777" w:rsidR="00F470F1" w:rsidRPr="00F470F1" w:rsidRDefault="00F470F1" w:rsidP="00F470F1">
      <w:pPr>
        <w:spacing w:after="0" w:line="240" w:lineRule="auto"/>
        <w:rPr>
          <w:rFonts w:ascii="Calibri" w:eastAsia="Calibri" w:hAnsi="Calibri" w:cs="Calibri"/>
          <w:b/>
          <w:sz w:val="24"/>
          <w:szCs w:val="24"/>
          <w:lang w:val="en"/>
        </w:rPr>
      </w:pPr>
    </w:p>
    <w:p w14:paraId="202A457B" w14:textId="59F0CC9A"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Department of Social Services </w:t>
      </w:r>
      <w:r w:rsidRPr="00C23064">
        <w:rPr>
          <w:rFonts w:ascii="Calibri" w:eastAsia="Calibri" w:hAnsi="Calibri" w:cs="Calibri"/>
          <w:b/>
          <w:sz w:val="24"/>
          <w:szCs w:val="24"/>
          <w:lang w:val="en"/>
        </w:rPr>
        <w:t>(</w:t>
      </w:r>
      <w:hyperlink r:id="rId119" w:history="1">
        <w:r w:rsidRPr="009847B8">
          <w:rPr>
            <w:rStyle w:val="Hyperlink"/>
          </w:rPr>
          <w:t>DSS</w:t>
        </w:r>
      </w:hyperlink>
      <w:r w:rsidRPr="001F6C53">
        <w:rPr>
          <w:rFonts w:ascii="Calibri" w:eastAsia="Calibri" w:hAnsi="Calibri" w:cs="Calibri"/>
          <w:b/>
          <w:sz w:val="24"/>
          <w:szCs w:val="24"/>
          <w:lang w:val="en"/>
        </w:rPr>
        <w:t>)</w:t>
      </w:r>
    </w:p>
    <w:p w14:paraId="0946F2C3" w14:textId="7C97E51F"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Oversight and administration of programs serving California's most vulnerable residents.</w:t>
      </w:r>
    </w:p>
    <w:p w14:paraId="1109D2E5" w14:textId="77777777" w:rsidR="00F470F1" w:rsidRPr="00F470F1" w:rsidRDefault="00F470F1" w:rsidP="00F470F1">
      <w:pPr>
        <w:spacing w:after="0" w:line="240" w:lineRule="auto"/>
        <w:rPr>
          <w:rFonts w:ascii="Calibri" w:eastAsia="Calibri" w:hAnsi="Calibri" w:cs="Calibri"/>
          <w:b/>
          <w:sz w:val="24"/>
          <w:szCs w:val="24"/>
          <w:lang w:val="en"/>
        </w:rPr>
      </w:pPr>
    </w:p>
    <w:p w14:paraId="01DBE6E1" w14:textId="204EFB42"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California Employment Development Department (</w:t>
      </w:r>
      <w:hyperlink r:id="rId120" w:history="1">
        <w:r w:rsidRPr="009847B8">
          <w:rPr>
            <w:rStyle w:val="Hyperlink"/>
          </w:rPr>
          <w:t>EDD</w:t>
        </w:r>
      </w:hyperlink>
      <w:r w:rsidRPr="001F6C53">
        <w:rPr>
          <w:rFonts w:ascii="Calibri" w:eastAsia="Calibri" w:hAnsi="Calibri" w:cs="Calibri"/>
          <w:b/>
          <w:sz w:val="24"/>
          <w:szCs w:val="24"/>
          <w:lang w:val="en"/>
        </w:rPr>
        <w:t>)</w:t>
      </w:r>
    </w:p>
    <w:p w14:paraId="46E2094F" w14:textId="23193CE8"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t>The EDD is the administrative entity for the WIOA ESP SFP. This site contains links to a wide range of employment and training resources, including labor market information.</w:t>
      </w:r>
    </w:p>
    <w:p w14:paraId="3E7FC605" w14:textId="77777777" w:rsidR="00F470F1" w:rsidRPr="00F470F1" w:rsidRDefault="00F470F1" w:rsidP="00F470F1">
      <w:pPr>
        <w:spacing w:after="0" w:line="240" w:lineRule="auto"/>
        <w:rPr>
          <w:rFonts w:ascii="Calibri" w:eastAsia="Arial" w:hAnsi="Calibri" w:cs="Calibri"/>
          <w:b/>
          <w:sz w:val="24"/>
          <w:szCs w:val="24"/>
          <w:lang w:val="en"/>
        </w:rPr>
      </w:pPr>
    </w:p>
    <w:p w14:paraId="688C0712" w14:textId="15583084"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Arial" w:hAnsi="Calibri" w:cs="Calibri"/>
          <w:b/>
          <w:sz w:val="24"/>
          <w:szCs w:val="24"/>
          <w:lang w:val="en"/>
        </w:rPr>
        <w:t>California’s 202</w:t>
      </w:r>
      <w:r w:rsidR="00AF26BB">
        <w:rPr>
          <w:rFonts w:ascii="Calibri" w:eastAsia="Arial" w:hAnsi="Calibri" w:cs="Calibri"/>
          <w:b/>
          <w:sz w:val="24"/>
          <w:szCs w:val="24"/>
          <w:lang w:val="en"/>
        </w:rPr>
        <w:t>4-2027</w:t>
      </w:r>
      <w:r w:rsidRPr="00F470F1">
        <w:rPr>
          <w:rFonts w:ascii="Calibri" w:eastAsia="Arial" w:hAnsi="Calibri" w:cs="Calibri"/>
          <w:b/>
          <w:sz w:val="24"/>
          <w:szCs w:val="24"/>
          <w:lang w:val="en"/>
        </w:rPr>
        <w:t xml:space="preserve"> Unified Strategic Workforce Development Plan (</w:t>
      </w:r>
      <w:hyperlink r:id="rId121" w:history="1">
        <w:r w:rsidRPr="009847B8">
          <w:rPr>
            <w:rStyle w:val="Hyperlink"/>
          </w:rPr>
          <w:t>State Plan</w:t>
        </w:r>
      </w:hyperlink>
      <w:r w:rsidRPr="001F6C53">
        <w:rPr>
          <w:rFonts w:ascii="Calibri" w:eastAsia="Arial" w:hAnsi="Calibri" w:cs="Calibri"/>
          <w:b/>
          <w:sz w:val="24"/>
          <w:szCs w:val="24"/>
          <w:lang w:val="en"/>
        </w:rPr>
        <w:t>)</w:t>
      </w:r>
    </w:p>
    <w:p w14:paraId="705202A3" w14:textId="5E2FAC9C" w:rsidR="008544AA" w:rsidRPr="00F470F1" w:rsidRDefault="008544AA" w:rsidP="01476CFA">
      <w:pPr>
        <w:spacing w:after="0" w:line="240" w:lineRule="auto"/>
        <w:rPr>
          <w:rFonts w:ascii="Calibri" w:eastAsia="Arial" w:hAnsi="Calibri" w:cs="Calibri"/>
          <w:sz w:val="24"/>
          <w:szCs w:val="24"/>
        </w:rPr>
      </w:pPr>
      <w:r w:rsidRPr="01476CFA">
        <w:rPr>
          <w:rFonts w:ascii="Calibri" w:eastAsia="Arial" w:hAnsi="Calibri" w:cs="Calibri"/>
          <w:sz w:val="24"/>
          <w:szCs w:val="24"/>
        </w:rPr>
        <w:t>The State Plan represents an agreement among partners identified in the WIOA and serves as the framework for the development of public policy, fiscal investment, and operation of the state workforce and education system.</w:t>
      </w:r>
    </w:p>
    <w:p w14:paraId="1A145699" w14:textId="77777777" w:rsidR="00F470F1" w:rsidRPr="00F470F1" w:rsidRDefault="00F470F1" w:rsidP="00F470F1">
      <w:pPr>
        <w:spacing w:after="0" w:line="240" w:lineRule="auto"/>
        <w:rPr>
          <w:rFonts w:ascii="Calibri" w:eastAsia="Calibri" w:hAnsi="Calibri" w:cs="Calibri"/>
          <w:b/>
          <w:color w:val="333333"/>
          <w:sz w:val="24"/>
          <w:szCs w:val="24"/>
          <w:lang w:val="en"/>
        </w:rPr>
      </w:pPr>
    </w:p>
    <w:p w14:paraId="153C26BF" w14:textId="4058652B" w:rsidR="008544AA" w:rsidRPr="00F470F1" w:rsidRDefault="008544AA" w:rsidP="01476CFA">
      <w:pPr>
        <w:spacing w:after="0" w:line="240" w:lineRule="auto"/>
        <w:rPr>
          <w:rFonts w:ascii="Calibri" w:eastAsia="Calibri" w:hAnsi="Calibri" w:cs="Calibri"/>
          <w:b/>
          <w:bCs/>
          <w:sz w:val="24"/>
          <w:szCs w:val="24"/>
        </w:rPr>
      </w:pPr>
      <w:proofErr w:type="spellStart"/>
      <w:r w:rsidRPr="01476CFA">
        <w:rPr>
          <w:rFonts w:ascii="Calibri" w:eastAsia="Calibri" w:hAnsi="Calibri" w:cs="Calibri"/>
          <w:b/>
          <w:bCs/>
          <w:color w:val="333333"/>
          <w:sz w:val="24"/>
          <w:szCs w:val="24"/>
        </w:rPr>
        <w:t>CalJOBS</w:t>
      </w:r>
      <w:r w:rsidRPr="01476CFA">
        <w:rPr>
          <w:rFonts w:ascii="Calibri" w:eastAsia="Calibri" w:hAnsi="Calibri" w:cs="Calibri"/>
          <w:b/>
          <w:bCs/>
          <w:color w:val="333333"/>
          <w:sz w:val="24"/>
          <w:szCs w:val="24"/>
          <w:vertAlign w:val="superscript"/>
        </w:rPr>
        <w:t>SM</w:t>
      </w:r>
      <w:proofErr w:type="spellEnd"/>
      <w:r w:rsidRPr="01476CFA">
        <w:rPr>
          <w:rFonts w:ascii="Calibri" w:eastAsia="Calibri" w:hAnsi="Calibri" w:cs="Calibri"/>
          <w:b/>
          <w:bCs/>
          <w:color w:val="333333"/>
          <w:sz w:val="24"/>
          <w:szCs w:val="24"/>
          <w:vertAlign w:val="superscript"/>
        </w:rPr>
        <w:t xml:space="preserve"> </w:t>
      </w:r>
      <w:r w:rsidRPr="00237A39">
        <w:rPr>
          <w:rFonts w:ascii="Calibri" w:eastAsia="Calibri" w:hAnsi="Calibri" w:cs="Calibri"/>
          <w:b/>
          <w:bCs/>
          <w:sz w:val="24"/>
          <w:szCs w:val="24"/>
        </w:rPr>
        <w:t>(</w:t>
      </w:r>
      <w:hyperlink r:id="rId122">
        <w:r w:rsidRPr="009847B8">
          <w:rPr>
            <w:rStyle w:val="Hyperlink"/>
          </w:rPr>
          <w:t>CalJOBS</w:t>
        </w:r>
      </w:hyperlink>
      <w:r w:rsidRPr="00C23064">
        <w:rPr>
          <w:rFonts w:ascii="Calibri" w:eastAsia="Calibri" w:hAnsi="Calibri" w:cs="Calibri"/>
          <w:b/>
          <w:bCs/>
          <w:sz w:val="24"/>
          <w:szCs w:val="24"/>
        </w:rPr>
        <w:t>)</w:t>
      </w:r>
      <w:r w:rsidRPr="01476CFA">
        <w:rPr>
          <w:rFonts w:ascii="Calibri" w:eastAsia="Calibri" w:hAnsi="Calibri" w:cs="Calibri"/>
          <w:b/>
          <w:bCs/>
          <w:sz w:val="24"/>
          <w:szCs w:val="24"/>
        </w:rPr>
        <w:t xml:space="preserve"> </w:t>
      </w:r>
    </w:p>
    <w:p w14:paraId="0A8A859D" w14:textId="43B96466" w:rsidR="008544AA" w:rsidRPr="00F470F1" w:rsidRDefault="008544AA" w:rsidP="79739689">
      <w:pPr>
        <w:spacing w:after="0" w:line="240" w:lineRule="auto"/>
        <w:rPr>
          <w:rFonts w:ascii="Calibri" w:eastAsia="Calibri" w:hAnsi="Calibri" w:cs="Calibri"/>
          <w:b/>
          <w:bCs/>
          <w:sz w:val="24"/>
          <w:szCs w:val="24"/>
        </w:rPr>
      </w:pPr>
      <w:r w:rsidRPr="79739689">
        <w:rPr>
          <w:rFonts w:ascii="Calibri" w:eastAsia="Calibri" w:hAnsi="Calibri" w:cs="Calibri"/>
          <w:color w:val="333333"/>
          <w:sz w:val="24"/>
          <w:szCs w:val="24"/>
        </w:rPr>
        <w:t>The CalJOBS system is California’s online resource to help job seekers and employers navigate the state’s workforce services. The enhanced system allows users to easily search for jobs, build résumés, access career resources, find qualified candidates for employment, and gather information on education and training programs.</w:t>
      </w:r>
      <w:r w:rsidR="00CA4E8F">
        <w:rPr>
          <w:rFonts w:ascii="Calibri" w:eastAsia="Calibri" w:hAnsi="Calibri" w:cs="Calibri"/>
          <w:color w:val="333333"/>
          <w:sz w:val="24"/>
          <w:szCs w:val="24"/>
        </w:rPr>
        <w:t xml:space="preserve"> CalJOBS also serves as a case management system for programs administered by the EDD Workforce Services Branch.</w:t>
      </w:r>
    </w:p>
    <w:p w14:paraId="5EBD9340" w14:textId="77777777" w:rsidR="00F470F1" w:rsidRPr="00F470F1" w:rsidRDefault="00F470F1" w:rsidP="00F470F1">
      <w:pPr>
        <w:spacing w:after="0" w:line="240" w:lineRule="auto"/>
        <w:rPr>
          <w:rFonts w:ascii="Calibri" w:eastAsia="Calibri" w:hAnsi="Calibri" w:cs="Calibri"/>
          <w:b/>
          <w:sz w:val="24"/>
          <w:szCs w:val="24"/>
          <w:lang w:val="en"/>
        </w:rPr>
      </w:pPr>
    </w:p>
    <w:p w14:paraId="7F349AA5" w14:textId="774CF771"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Labor and Workforce Development Agency </w:t>
      </w:r>
      <w:r w:rsidRPr="001F6C53">
        <w:rPr>
          <w:rFonts w:ascii="Calibri" w:eastAsia="Calibri" w:hAnsi="Calibri" w:cs="Calibri"/>
          <w:b/>
          <w:sz w:val="24"/>
          <w:szCs w:val="24"/>
          <w:lang w:val="en"/>
        </w:rPr>
        <w:t>(</w:t>
      </w:r>
      <w:hyperlink r:id="rId123" w:history="1">
        <w:r w:rsidRPr="009847B8">
          <w:rPr>
            <w:rStyle w:val="Hyperlink"/>
          </w:rPr>
          <w:t>LWDA</w:t>
        </w:r>
      </w:hyperlink>
      <w:r w:rsidRPr="00F470F1">
        <w:rPr>
          <w:rFonts w:ascii="Calibri" w:eastAsia="Calibri" w:hAnsi="Calibri" w:cs="Calibri"/>
          <w:b/>
          <w:sz w:val="24"/>
          <w:szCs w:val="24"/>
          <w:lang w:val="en"/>
        </w:rPr>
        <w:t>)</w:t>
      </w:r>
    </w:p>
    <w:p w14:paraId="2A625BA5" w14:textId="241B75ED"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The Labor Agency oversees seven major departments, boards, and panels that serve California businesses and workers, including the EDD.</w:t>
      </w:r>
    </w:p>
    <w:p w14:paraId="632B1B5E" w14:textId="77777777" w:rsidR="00F470F1" w:rsidRPr="00F470F1" w:rsidRDefault="00F470F1" w:rsidP="00F470F1">
      <w:pPr>
        <w:spacing w:after="0" w:line="240" w:lineRule="auto"/>
        <w:rPr>
          <w:rFonts w:ascii="Calibri" w:eastAsia="Calibri" w:hAnsi="Calibri" w:cs="Calibri"/>
          <w:b/>
          <w:sz w:val="24"/>
          <w:szCs w:val="24"/>
          <w:lang w:val="en"/>
        </w:rPr>
      </w:pPr>
    </w:p>
    <w:p w14:paraId="1A62961F" w14:textId="2CBCD459"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California Workforce Association </w:t>
      </w:r>
      <w:r w:rsidRPr="001F6C53">
        <w:rPr>
          <w:rFonts w:ascii="Calibri" w:eastAsia="Calibri" w:hAnsi="Calibri" w:cs="Calibri"/>
          <w:b/>
          <w:sz w:val="24"/>
          <w:szCs w:val="24"/>
          <w:lang w:val="en"/>
        </w:rPr>
        <w:t>(</w:t>
      </w:r>
      <w:hyperlink r:id="rId124" w:history="1">
        <w:r w:rsidRPr="009847B8">
          <w:rPr>
            <w:rStyle w:val="Hyperlink"/>
          </w:rPr>
          <w:t>CWA</w:t>
        </w:r>
      </w:hyperlink>
      <w:r w:rsidRPr="00C23064">
        <w:rPr>
          <w:rFonts w:ascii="Calibri" w:eastAsia="Calibri" w:hAnsi="Calibri" w:cs="Calibri"/>
          <w:b/>
          <w:sz w:val="24"/>
          <w:szCs w:val="24"/>
          <w:lang w:val="en"/>
        </w:rPr>
        <w:t>)</w:t>
      </w:r>
    </w:p>
    <w:p w14:paraId="6E301C61" w14:textId="5C937710"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t>CWA is a non-profit membership organization that develops public policy strategies and builds local capacity to address critical workforce issues while collaborating with workforce development partners in California</w:t>
      </w:r>
      <w:r w:rsidR="00943164" w:rsidRPr="01476CFA">
        <w:rPr>
          <w:rFonts w:ascii="Calibri" w:eastAsia="Calibri" w:hAnsi="Calibri" w:cs="Calibri"/>
          <w:sz w:val="24"/>
          <w:szCs w:val="24"/>
        </w:rPr>
        <w:t>.</w:t>
      </w:r>
    </w:p>
    <w:p w14:paraId="377054D5" w14:textId="77777777" w:rsidR="00F470F1" w:rsidRPr="00F470F1" w:rsidRDefault="00F470F1" w:rsidP="00F470F1">
      <w:pPr>
        <w:spacing w:after="0" w:line="240" w:lineRule="auto"/>
        <w:rPr>
          <w:rFonts w:ascii="Calibri" w:eastAsia="Calibri" w:hAnsi="Calibri" w:cs="Calibri"/>
          <w:b/>
          <w:sz w:val="24"/>
          <w:szCs w:val="24"/>
          <w:lang w:val="en"/>
        </w:rPr>
      </w:pPr>
    </w:p>
    <w:p w14:paraId="46BDB73D" w14:textId="6650739E"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California Workforce Development Board (</w:t>
      </w:r>
      <w:hyperlink r:id="rId125" w:history="1">
        <w:r w:rsidRPr="009847B8">
          <w:rPr>
            <w:rStyle w:val="Hyperlink"/>
          </w:rPr>
          <w:t>CWDB</w:t>
        </w:r>
      </w:hyperlink>
      <w:r w:rsidRPr="00C23064">
        <w:rPr>
          <w:rFonts w:ascii="Calibri" w:eastAsia="Calibri" w:hAnsi="Calibri" w:cs="Calibri"/>
          <w:b/>
          <w:sz w:val="24"/>
          <w:szCs w:val="24"/>
          <w:lang w:val="en"/>
        </w:rPr>
        <w:t>)</w:t>
      </w:r>
    </w:p>
    <w:p w14:paraId="5AA83CD7" w14:textId="0CD71D16"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 xml:space="preserve">The CWDB establishes policy for and provides guidance to Local Workforce Development Boards (Local </w:t>
      </w:r>
      <w:r w:rsidR="005323E4">
        <w:rPr>
          <w:rFonts w:ascii="Calibri" w:eastAsia="Calibri" w:hAnsi="Calibri" w:cs="Calibri"/>
          <w:sz w:val="24"/>
          <w:szCs w:val="24"/>
          <w:lang w:val="en"/>
        </w:rPr>
        <w:t>Boards</w:t>
      </w:r>
      <w:r w:rsidRPr="00F470F1">
        <w:rPr>
          <w:rFonts w:ascii="Calibri" w:eastAsia="Calibri" w:hAnsi="Calibri" w:cs="Calibri"/>
          <w:sz w:val="24"/>
          <w:szCs w:val="24"/>
          <w:lang w:val="en"/>
        </w:rPr>
        <w:t>), which provide services under WIOA.</w:t>
      </w:r>
    </w:p>
    <w:p w14:paraId="3A801BCB" w14:textId="77777777" w:rsidR="00F470F1" w:rsidRPr="00F470F1" w:rsidRDefault="00F470F1" w:rsidP="00F470F1">
      <w:pPr>
        <w:spacing w:after="0" w:line="240" w:lineRule="auto"/>
        <w:rPr>
          <w:rFonts w:ascii="Calibri" w:eastAsia="Calibri" w:hAnsi="Calibri" w:cs="Calibri"/>
          <w:b/>
          <w:sz w:val="24"/>
          <w:szCs w:val="24"/>
          <w:lang w:val="en"/>
        </w:rPr>
      </w:pPr>
    </w:p>
    <w:p w14:paraId="0332FDB8" w14:textId="45D293E2" w:rsidR="008544AA" w:rsidRPr="00F470F1" w:rsidRDefault="008544AA" w:rsidP="00F470F1">
      <w:pPr>
        <w:spacing w:after="0" w:line="240" w:lineRule="auto"/>
        <w:rPr>
          <w:rFonts w:ascii="Calibri" w:eastAsia="Arial" w:hAnsi="Calibri" w:cs="Calibri"/>
          <w:sz w:val="24"/>
          <w:szCs w:val="24"/>
          <w:lang w:val="en"/>
        </w:rPr>
      </w:pPr>
      <w:r w:rsidRPr="00F470F1">
        <w:rPr>
          <w:rFonts w:ascii="Calibri" w:eastAsia="Calibri" w:hAnsi="Calibri" w:cs="Calibri"/>
          <w:b/>
          <w:sz w:val="24"/>
          <w:szCs w:val="24"/>
          <w:lang w:val="en"/>
        </w:rPr>
        <w:t>Disability Benefits 101</w:t>
      </w:r>
      <w:r w:rsidRPr="00F470F1">
        <w:rPr>
          <w:rFonts w:ascii="Calibri" w:eastAsia="Calibri" w:hAnsi="Calibri" w:cs="Calibri"/>
          <w:sz w:val="24"/>
          <w:szCs w:val="24"/>
          <w:lang w:val="en"/>
        </w:rPr>
        <w:t xml:space="preserve"> </w:t>
      </w:r>
      <w:r w:rsidRPr="00F470F1">
        <w:rPr>
          <w:rFonts w:ascii="Calibri" w:eastAsia="Calibri" w:hAnsi="Calibri" w:cs="Calibri"/>
          <w:b/>
          <w:sz w:val="24"/>
          <w:szCs w:val="24"/>
          <w:lang w:val="en"/>
        </w:rPr>
        <w:t>(</w:t>
      </w:r>
      <w:hyperlink r:id="rId126" w:history="1">
        <w:r w:rsidRPr="009847B8">
          <w:rPr>
            <w:rStyle w:val="Hyperlink"/>
          </w:rPr>
          <w:t>DB 101</w:t>
        </w:r>
      </w:hyperlink>
      <w:r w:rsidRPr="001F6C53">
        <w:rPr>
          <w:rFonts w:ascii="Calibri" w:eastAsia="Calibri" w:hAnsi="Calibri" w:cs="Calibri"/>
          <w:b/>
          <w:sz w:val="24"/>
          <w:szCs w:val="24"/>
          <w:lang w:val="en"/>
        </w:rPr>
        <w:t>)</w:t>
      </w:r>
    </w:p>
    <w:p w14:paraId="5CCDDB86" w14:textId="3FCB3AF5"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Gives tools and information on health coverage, benefits, and employment.</w:t>
      </w:r>
    </w:p>
    <w:p w14:paraId="4447BE5A" w14:textId="77777777" w:rsidR="00F470F1" w:rsidRPr="00F470F1" w:rsidRDefault="00F470F1" w:rsidP="00F470F1">
      <w:pPr>
        <w:spacing w:after="0" w:line="240" w:lineRule="auto"/>
        <w:rPr>
          <w:rFonts w:ascii="Calibri" w:eastAsia="Calibri" w:hAnsi="Calibri" w:cs="Calibri"/>
          <w:b/>
          <w:sz w:val="24"/>
          <w:szCs w:val="24"/>
          <w:lang w:val="en"/>
        </w:rPr>
      </w:pPr>
    </w:p>
    <w:p w14:paraId="606B8E4D" w14:textId="70ECB77A"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Final Rule </w:t>
      </w:r>
      <w:r w:rsidRPr="00C23064">
        <w:rPr>
          <w:rFonts w:ascii="Calibri" w:eastAsia="Calibri" w:hAnsi="Calibri" w:cs="Calibri"/>
          <w:b/>
          <w:sz w:val="24"/>
          <w:szCs w:val="24"/>
          <w:lang w:val="en"/>
        </w:rPr>
        <w:t>(</w:t>
      </w:r>
      <w:hyperlink r:id="rId127" w:history="1">
        <w:r w:rsidRPr="009847B8">
          <w:rPr>
            <w:rStyle w:val="Hyperlink"/>
          </w:rPr>
          <w:t>Uniform Guidance</w:t>
        </w:r>
      </w:hyperlink>
      <w:r w:rsidRPr="001F6C53">
        <w:rPr>
          <w:rFonts w:ascii="Calibri" w:eastAsia="Calibri" w:hAnsi="Calibri" w:cs="Calibri"/>
          <w:b/>
          <w:sz w:val="24"/>
          <w:szCs w:val="24"/>
          <w:lang w:val="en"/>
        </w:rPr>
        <w:t>)</w:t>
      </w:r>
    </w:p>
    <w:p w14:paraId="22BCF2CF" w14:textId="21AD5E5A"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 xml:space="preserve">Uniform Guidance applies to all </w:t>
      </w:r>
      <w:r w:rsidR="00A544A1">
        <w:rPr>
          <w:rFonts w:ascii="Calibri" w:eastAsia="Calibri" w:hAnsi="Calibri" w:cs="Calibri"/>
          <w:sz w:val="24"/>
          <w:szCs w:val="24"/>
          <w:lang w:val="en"/>
        </w:rPr>
        <w:t>f</w:t>
      </w:r>
      <w:r w:rsidRPr="00F470F1">
        <w:rPr>
          <w:rFonts w:ascii="Calibri" w:eastAsia="Calibri" w:hAnsi="Calibri" w:cs="Calibri"/>
          <w:sz w:val="24"/>
          <w:szCs w:val="24"/>
          <w:lang w:val="en"/>
        </w:rPr>
        <w:t>ederal awards, including funds awarded under this SFP.</w:t>
      </w:r>
    </w:p>
    <w:p w14:paraId="24D1357F" w14:textId="77777777" w:rsidR="00F470F1" w:rsidRPr="00F470F1" w:rsidRDefault="00F470F1" w:rsidP="00F470F1">
      <w:pPr>
        <w:spacing w:after="0" w:line="240" w:lineRule="auto"/>
        <w:rPr>
          <w:rFonts w:ascii="Calibri" w:eastAsia="Calibri" w:hAnsi="Calibri" w:cs="Calibri"/>
          <w:b/>
          <w:sz w:val="24"/>
          <w:szCs w:val="24"/>
          <w:lang w:val="en"/>
        </w:rPr>
      </w:pPr>
    </w:p>
    <w:p w14:paraId="45BBC49E" w14:textId="0D197604"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EDD Labor Market Information </w:t>
      </w:r>
      <w:r w:rsidRPr="00F470F1">
        <w:rPr>
          <w:rFonts w:ascii="Calibri" w:eastAsia="Arial" w:hAnsi="Calibri" w:cs="Calibri"/>
          <w:b/>
          <w:sz w:val="24"/>
          <w:szCs w:val="24"/>
          <w:lang w:val="en"/>
        </w:rPr>
        <w:t>Division</w:t>
      </w:r>
      <w:r w:rsidRPr="00F470F1">
        <w:rPr>
          <w:rFonts w:ascii="Calibri" w:eastAsia="Calibri" w:hAnsi="Calibri" w:cs="Calibri"/>
          <w:b/>
          <w:sz w:val="24"/>
          <w:szCs w:val="24"/>
          <w:lang w:val="en"/>
        </w:rPr>
        <w:t xml:space="preserve"> </w:t>
      </w:r>
      <w:r w:rsidRPr="00C23064">
        <w:rPr>
          <w:rFonts w:ascii="Calibri" w:eastAsia="Calibri" w:hAnsi="Calibri" w:cs="Calibri"/>
          <w:b/>
          <w:sz w:val="24"/>
          <w:szCs w:val="24"/>
          <w:lang w:val="en"/>
        </w:rPr>
        <w:t>(</w:t>
      </w:r>
      <w:hyperlink r:id="rId128" w:history="1">
        <w:r w:rsidRPr="009847B8">
          <w:rPr>
            <w:rStyle w:val="Hyperlink"/>
          </w:rPr>
          <w:t>LMID</w:t>
        </w:r>
      </w:hyperlink>
      <w:r w:rsidRPr="00F470F1">
        <w:rPr>
          <w:rFonts w:ascii="Calibri" w:eastAsia="Calibri" w:hAnsi="Calibri" w:cs="Calibri"/>
          <w:b/>
          <w:sz w:val="24"/>
          <w:szCs w:val="24"/>
          <w:lang w:val="en"/>
        </w:rPr>
        <w:t>)</w:t>
      </w:r>
    </w:p>
    <w:p w14:paraId="7FED602C" w14:textId="35A837C5"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Find labor market information to research and write the proposal.</w:t>
      </w:r>
    </w:p>
    <w:p w14:paraId="3BB825AC" w14:textId="77777777" w:rsidR="00F470F1" w:rsidRPr="00F470F1" w:rsidRDefault="00F470F1" w:rsidP="00F470F1">
      <w:pPr>
        <w:spacing w:after="0" w:line="240" w:lineRule="auto"/>
        <w:rPr>
          <w:rFonts w:ascii="Calibri" w:eastAsia="Calibri" w:hAnsi="Calibri" w:cs="Calibri"/>
          <w:b/>
          <w:sz w:val="24"/>
          <w:szCs w:val="24"/>
          <w:lang w:val="en"/>
        </w:rPr>
      </w:pPr>
    </w:p>
    <w:p w14:paraId="508F7CD5" w14:textId="57FA6316"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Local Workforce Development Areas (</w:t>
      </w:r>
      <w:hyperlink r:id="rId129" w:history="1">
        <w:r w:rsidRPr="009847B8">
          <w:rPr>
            <w:rStyle w:val="Hyperlink"/>
          </w:rPr>
          <w:t>Local Area</w:t>
        </w:r>
      </w:hyperlink>
      <w:r w:rsidRPr="00C23064">
        <w:rPr>
          <w:rFonts w:ascii="Calibri" w:eastAsia="Calibri" w:hAnsi="Calibri" w:cs="Calibri"/>
          <w:b/>
          <w:sz w:val="24"/>
          <w:szCs w:val="24"/>
          <w:lang w:val="en"/>
        </w:rPr>
        <w:t>)</w:t>
      </w:r>
    </w:p>
    <w:p w14:paraId="5315DFA7" w14:textId="4D911ECE"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A listing of Local Areas with addresses and contact information.</w:t>
      </w:r>
    </w:p>
    <w:p w14:paraId="62BF56BD" w14:textId="77777777" w:rsidR="00F470F1" w:rsidRPr="00F470F1" w:rsidRDefault="00F470F1" w:rsidP="00F470F1">
      <w:pPr>
        <w:spacing w:after="0" w:line="240" w:lineRule="auto"/>
        <w:rPr>
          <w:rFonts w:ascii="Calibri" w:eastAsia="Calibri" w:hAnsi="Calibri" w:cs="Calibri"/>
          <w:b/>
          <w:sz w:val="24"/>
          <w:szCs w:val="24"/>
          <w:lang w:val="en"/>
        </w:rPr>
      </w:pPr>
    </w:p>
    <w:p w14:paraId="0931EB01" w14:textId="48024EAF"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Office of Management and Budget </w:t>
      </w:r>
      <w:r w:rsidRPr="001F6C53">
        <w:rPr>
          <w:rFonts w:ascii="Calibri" w:eastAsia="Calibri" w:hAnsi="Calibri" w:cs="Calibri"/>
          <w:b/>
          <w:sz w:val="24"/>
          <w:szCs w:val="24"/>
          <w:lang w:val="en"/>
        </w:rPr>
        <w:t>(</w:t>
      </w:r>
      <w:hyperlink r:id="rId130" w:anchor="page" w:history="1">
        <w:r w:rsidRPr="009847B8">
          <w:rPr>
            <w:rStyle w:val="Hyperlink"/>
          </w:rPr>
          <w:t>OMB</w:t>
        </w:r>
      </w:hyperlink>
      <w:r w:rsidRPr="00C23064">
        <w:rPr>
          <w:rFonts w:ascii="Calibri" w:eastAsia="Calibri" w:hAnsi="Calibri" w:cs="Calibri"/>
          <w:b/>
          <w:sz w:val="24"/>
          <w:szCs w:val="24"/>
          <w:lang w:val="en"/>
        </w:rPr>
        <w:t>)</w:t>
      </w:r>
    </w:p>
    <w:p w14:paraId="3E768503" w14:textId="79D27FCF"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lang w:val="en"/>
        </w:rPr>
        <w:t xml:space="preserve">The OMB oversees and coordinates </w:t>
      </w:r>
      <w:r w:rsidR="005B3820">
        <w:rPr>
          <w:rFonts w:ascii="Calibri" w:eastAsia="Calibri" w:hAnsi="Calibri" w:cs="Calibri"/>
          <w:sz w:val="24"/>
          <w:szCs w:val="24"/>
          <w:lang w:val="en"/>
        </w:rPr>
        <w:t>f</w:t>
      </w:r>
      <w:r w:rsidRPr="01476CFA">
        <w:rPr>
          <w:rFonts w:ascii="Calibri" w:eastAsia="Calibri" w:hAnsi="Calibri" w:cs="Calibri"/>
          <w:sz w:val="24"/>
          <w:szCs w:val="24"/>
          <w:lang w:val="en"/>
        </w:rPr>
        <w:t>ederal administration procurement, financial management, information, and regulatory policies.</w:t>
      </w:r>
    </w:p>
    <w:p w14:paraId="2C7266AA" w14:textId="77777777" w:rsidR="00F470F1" w:rsidRPr="00F470F1" w:rsidRDefault="00F470F1" w:rsidP="00F470F1">
      <w:pPr>
        <w:spacing w:after="0" w:line="240" w:lineRule="auto"/>
        <w:rPr>
          <w:rFonts w:ascii="Calibri" w:eastAsia="Calibri" w:hAnsi="Calibri" w:cs="Calibri"/>
          <w:b/>
          <w:sz w:val="24"/>
          <w:szCs w:val="24"/>
          <w:lang w:val="en"/>
        </w:rPr>
      </w:pPr>
    </w:p>
    <w:p w14:paraId="63D9916A" w14:textId="04CFA17A" w:rsidR="008544AA" w:rsidRPr="00F470F1" w:rsidRDefault="008544AA" w:rsidP="00F470F1">
      <w:pPr>
        <w:spacing w:after="0" w:line="240" w:lineRule="auto"/>
        <w:rPr>
          <w:rFonts w:ascii="Calibri" w:eastAsia="Arial" w:hAnsi="Calibri" w:cs="Calibri"/>
          <w:sz w:val="24"/>
          <w:szCs w:val="24"/>
          <w:lang w:val="en"/>
        </w:rPr>
      </w:pPr>
      <w:r w:rsidRPr="00F470F1">
        <w:rPr>
          <w:rFonts w:ascii="Calibri" w:eastAsia="Calibri" w:hAnsi="Calibri" w:cs="Calibri"/>
          <w:b/>
          <w:sz w:val="24"/>
          <w:szCs w:val="24"/>
          <w:lang w:val="en"/>
        </w:rPr>
        <w:t xml:space="preserve">Resources for Grant Subrecipients </w:t>
      </w:r>
      <w:r w:rsidRPr="002302D8">
        <w:rPr>
          <w:rFonts w:ascii="Calibri" w:eastAsia="Calibri" w:hAnsi="Calibri" w:cs="Calibri"/>
          <w:b/>
          <w:sz w:val="24"/>
          <w:szCs w:val="24"/>
          <w:lang w:val="en"/>
        </w:rPr>
        <w:t>(</w:t>
      </w:r>
      <w:hyperlink r:id="rId131" w:history="1">
        <w:r w:rsidRPr="009847B8">
          <w:rPr>
            <w:rStyle w:val="Hyperlink"/>
          </w:rPr>
          <w:t>EDD Resources</w:t>
        </w:r>
      </w:hyperlink>
      <w:r w:rsidRPr="00F470F1">
        <w:rPr>
          <w:rFonts w:ascii="Calibri" w:eastAsia="Calibri" w:hAnsi="Calibri" w:cs="Calibri"/>
          <w:b/>
          <w:sz w:val="24"/>
          <w:szCs w:val="24"/>
          <w:lang w:val="en"/>
        </w:rPr>
        <w:t>)</w:t>
      </w:r>
    </w:p>
    <w:p w14:paraId="6FED2EFF" w14:textId="789996BD"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lastRenderedPageBreak/>
        <w:t>An EDD website featuring “Frequently Asked Questions,” project management resources, guidance, webinar materials</w:t>
      </w:r>
      <w:r w:rsidR="005B3820">
        <w:rPr>
          <w:rFonts w:ascii="Calibri" w:eastAsia="Calibri" w:hAnsi="Calibri" w:cs="Calibri"/>
          <w:sz w:val="24"/>
          <w:szCs w:val="24"/>
        </w:rPr>
        <w:t>,</w:t>
      </w:r>
      <w:r w:rsidRPr="01476CFA">
        <w:rPr>
          <w:rFonts w:ascii="Calibri" w:eastAsia="Calibri" w:hAnsi="Calibri" w:cs="Calibri"/>
          <w:sz w:val="24"/>
          <w:szCs w:val="24"/>
        </w:rPr>
        <w:t xml:space="preserve"> and other important information for applicants and subrecipients.</w:t>
      </w:r>
    </w:p>
    <w:p w14:paraId="230FA1CC" w14:textId="77777777" w:rsidR="00F470F1" w:rsidRPr="00F470F1" w:rsidRDefault="00F470F1" w:rsidP="00F470F1">
      <w:pPr>
        <w:spacing w:after="0" w:line="240" w:lineRule="auto"/>
        <w:rPr>
          <w:rFonts w:ascii="Calibri" w:eastAsia="Calibri" w:hAnsi="Calibri" w:cs="Calibri"/>
          <w:b/>
          <w:sz w:val="24"/>
          <w:szCs w:val="24"/>
          <w:lang w:val="en"/>
        </w:rPr>
      </w:pPr>
    </w:p>
    <w:p w14:paraId="1B660AAD" w14:textId="77777777" w:rsidR="00F470F1" w:rsidRPr="00F470F1" w:rsidRDefault="00F470F1" w:rsidP="00F470F1">
      <w:pPr>
        <w:spacing w:after="0" w:line="240" w:lineRule="auto"/>
        <w:rPr>
          <w:rFonts w:ascii="Calibri" w:eastAsia="Calibri" w:hAnsi="Calibri" w:cs="Calibri"/>
          <w:b/>
          <w:sz w:val="24"/>
          <w:szCs w:val="24"/>
          <w:lang w:val="en"/>
        </w:rPr>
      </w:pPr>
    </w:p>
    <w:p w14:paraId="7930EF62" w14:textId="29BEE50E" w:rsidR="008544AA" w:rsidRPr="00F470F1" w:rsidRDefault="008544AA" w:rsidP="00F470F1">
      <w:pPr>
        <w:spacing w:after="0" w:line="240" w:lineRule="auto"/>
        <w:rPr>
          <w:rFonts w:ascii="Calibri" w:eastAsia="Arial" w:hAnsi="Calibri" w:cs="Calibri"/>
          <w:sz w:val="24"/>
          <w:szCs w:val="24"/>
          <w:lang w:val="en"/>
        </w:rPr>
      </w:pPr>
      <w:r w:rsidRPr="00F470F1">
        <w:rPr>
          <w:rFonts w:ascii="Calibri" w:eastAsia="Calibri" w:hAnsi="Calibri" w:cs="Calibri"/>
          <w:b/>
          <w:sz w:val="24"/>
          <w:szCs w:val="24"/>
          <w:lang w:val="en"/>
        </w:rPr>
        <w:t xml:space="preserve">United States Census Bureau </w:t>
      </w:r>
      <w:r w:rsidRPr="00C23064">
        <w:rPr>
          <w:rFonts w:ascii="Calibri" w:eastAsia="Calibri" w:hAnsi="Calibri" w:cs="Calibri"/>
          <w:b/>
          <w:sz w:val="24"/>
          <w:szCs w:val="24"/>
          <w:lang w:val="en"/>
        </w:rPr>
        <w:t>(</w:t>
      </w:r>
      <w:hyperlink r:id="rId132" w:history="1">
        <w:r w:rsidRPr="009847B8">
          <w:rPr>
            <w:rStyle w:val="Hyperlink"/>
          </w:rPr>
          <w:t>Census Bureau</w:t>
        </w:r>
      </w:hyperlink>
      <w:r w:rsidRPr="00F470F1">
        <w:rPr>
          <w:rFonts w:ascii="Calibri" w:eastAsia="Calibri" w:hAnsi="Calibri" w:cs="Calibri"/>
          <w:b/>
          <w:sz w:val="24"/>
          <w:szCs w:val="24"/>
          <w:lang w:val="en"/>
        </w:rPr>
        <w:t>)</w:t>
      </w:r>
    </w:p>
    <w:p w14:paraId="28DF2CEA" w14:textId="5894A61A"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 xml:space="preserve">Serves as the leading source of quality data about people, business, and </w:t>
      </w:r>
      <w:r w:rsidR="009C2EF3">
        <w:rPr>
          <w:rFonts w:ascii="Calibri" w:eastAsia="Calibri" w:hAnsi="Calibri" w:cs="Calibri"/>
          <w:sz w:val="24"/>
          <w:szCs w:val="24"/>
          <w:lang w:val="en"/>
        </w:rPr>
        <w:t xml:space="preserve">the </w:t>
      </w:r>
      <w:r w:rsidRPr="00F470F1">
        <w:rPr>
          <w:rFonts w:ascii="Calibri" w:eastAsia="Calibri" w:hAnsi="Calibri" w:cs="Calibri"/>
          <w:sz w:val="24"/>
          <w:szCs w:val="24"/>
          <w:lang w:val="en"/>
        </w:rPr>
        <w:t>economy.</w:t>
      </w:r>
    </w:p>
    <w:p w14:paraId="75B1D29B" w14:textId="77777777" w:rsidR="00F470F1" w:rsidRPr="00F470F1" w:rsidRDefault="00F470F1" w:rsidP="00F470F1">
      <w:pPr>
        <w:spacing w:after="0" w:line="240" w:lineRule="auto"/>
        <w:rPr>
          <w:rFonts w:ascii="Calibri" w:eastAsia="Calibri" w:hAnsi="Calibri" w:cs="Calibri"/>
          <w:b/>
          <w:sz w:val="24"/>
          <w:szCs w:val="24"/>
          <w:lang w:val="en"/>
        </w:rPr>
      </w:pPr>
    </w:p>
    <w:p w14:paraId="14CAC475" w14:textId="3A449FC3"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U.S. Small Business Administration </w:t>
      </w:r>
      <w:r w:rsidRPr="00C23064">
        <w:rPr>
          <w:rFonts w:ascii="Calibri" w:eastAsia="Calibri" w:hAnsi="Calibri" w:cs="Calibri"/>
          <w:b/>
          <w:sz w:val="24"/>
          <w:szCs w:val="24"/>
          <w:lang w:val="en"/>
        </w:rPr>
        <w:t>(</w:t>
      </w:r>
      <w:hyperlink r:id="rId133" w:history="1">
        <w:r w:rsidRPr="009847B8">
          <w:rPr>
            <w:rStyle w:val="Hyperlink"/>
          </w:rPr>
          <w:t>SBA</w:t>
        </w:r>
      </w:hyperlink>
      <w:r w:rsidRPr="002302D8">
        <w:rPr>
          <w:rFonts w:ascii="Calibri" w:eastAsia="Calibri" w:hAnsi="Calibri" w:cs="Calibri"/>
          <w:b/>
          <w:sz w:val="24"/>
          <w:szCs w:val="24"/>
          <w:lang w:val="en"/>
        </w:rPr>
        <w:t>)</w:t>
      </w:r>
    </w:p>
    <w:p w14:paraId="36392670" w14:textId="706EE280"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Guidance and resource information to owners and operators of small businesses.</w:t>
      </w:r>
    </w:p>
    <w:p w14:paraId="4B6BBD14" w14:textId="77777777" w:rsidR="00F470F1" w:rsidRPr="00F470F1" w:rsidRDefault="00F470F1" w:rsidP="00F470F1">
      <w:pPr>
        <w:spacing w:after="0" w:line="240" w:lineRule="auto"/>
        <w:rPr>
          <w:rFonts w:ascii="Calibri" w:eastAsia="Calibri" w:hAnsi="Calibri" w:cs="Calibri"/>
          <w:b/>
          <w:sz w:val="24"/>
          <w:szCs w:val="24"/>
          <w:lang w:val="en"/>
        </w:rPr>
      </w:pPr>
    </w:p>
    <w:p w14:paraId="498478C5" w14:textId="5A60B77B"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U.S. Chamber of Commerce – Institute for Competitive Workforce </w:t>
      </w:r>
      <w:r w:rsidRPr="002302D8">
        <w:rPr>
          <w:rFonts w:ascii="Calibri" w:eastAsia="Calibri" w:hAnsi="Calibri" w:cs="Calibri"/>
          <w:b/>
          <w:sz w:val="24"/>
          <w:szCs w:val="24"/>
          <w:lang w:val="en"/>
        </w:rPr>
        <w:t>(</w:t>
      </w:r>
      <w:hyperlink r:id="rId134" w:history="1">
        <w:r w:rsidRPr="009847B8">
          <w:rPr>
            <w:rStyle w:val="Hyperlink"/>
          </w:rPr>
          <w:t>ICW</w:t>
        </w:r>
      </w:hyperlink>
      <w:r w:rsidRPr="00C23064">
        <w:rPr>
          <w:rFonts w:ascii="Calibri" w:eastAsia="Calibri" w:hAnsi="Calibri" w:cs="Calibri"/>
          <w:b/>
          <w:sz w:val="24"/>
          <w:szCs w:val="24"/>
          <w:lang w:val="en"/>
        </w:rPr>
        <w:t>)</w:t>
      </w:r>
    </w:p>
    <w:p w14:paraId="4FDF11D8" w14:textId="0DA2E963" w:rsidR="008544AA" w:rsidRPr="00F470F1" w:rsidRDefault="008544AA" w:rsidP="01476CFA">
      <w:pPr>
        <w:spacing w:after="0" w:line="240" w:lineRule="auto"/>
        <w:rPr>
          <w:rFonts w:ascii="Calibri" w:eastAsia="Calibri" w:hAnsi="Calibri" w:cs="Calibri"/>
          <w:sz w:val="24"/>
          <w:szCs w:val="24"/>
        </w:rPr>
      </w:pPr>
      <w:r w:rsidRPr="01476CFA">
        <w:rPr>
          <w:rFonts w:ascii="Calibri" w:eastAsia="Calibri" w:hAnsi="Calibri" w:cs="Calibri"/>
          <w:sz w:val="24"/>
          <w:szCs w:val="24"/>
        </w:rPr>
        <w:t>Develops workforce strategies for businesses, chambers of commerce, and communities to hire, train, retain, and advance skilled workers in the 21st century.</w:t>
      </w:r>
    </w:p>
    <w:p w14:paraId="1690DBFE" w14:textId="77777777" w:rsidR="00F470F1" w:rsidRPr="00F470F1" w:rsidRDefault="00F470F1" w:rsidP="00F470F1">
      <w:pPr>
        <w:spacing w:after="0" w:line="240" w:lineRule="auto"/>
        <w:rPr>
          <w:rFonts w:ascii="Calibri" w:eastAsia="Calibri" w:hAnsi="Calibri" w:cs="Calibri"/>
          <w:b/>
          <w:sz w:val="24"/>
          <w:szCs w:val="24"/>
          <w:lang w:val="en"/>
        </w:rPr>
      </w:pPr>
    </w:p>
    <w:p w14:paraId="3BBC5C9E" w14:textId="537A5161"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U.S. Department of Labor Employment and Training Administration (</w:t>
      </w:r>
      <w:hyperlink r:id="rId135" w:history="1">
        <w:r w:rsidRPr="009847B8">
          <w:rPr>
            <w:rStyle w:val="Hyperlink"/>
          </w:rPr>
          <w:t>DOLETA</w:t>
        </w:r>
      </w:hyperlink>
      <w:r w:rsidRPr="002302D8">
        <w:rPr>
          <w:rFonts w:ascii="Calibri" w:eastAsia="Calibri" w:hAnsi="Calibri" w:cs="Calibri"/>
          <w:b/>
          <w:sz w:val="24"/>
          <w:szCs w:val="24"/>
          <w:lang w:val="en"/>
        </w:rPr>
        <w:t>)</w:t>
      </w:r>
    </w:p>
    <w:p w14:paraId="7C946F95" w14:textId="17FAFA74"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The U.S. DOLETA is the federal agent for the WIOA program.</w:t>
      </w:r>
    </w:p>
    <w:p w14:paraId="33553ADC" w14:textId="77777777" w:rsidR="00F470F1" w:rsidRPr="00F470F1" w:rsidRDefault="00F470F1" w:rsidP="00F470F1">
      <w:pPr>
        <w:spacing w:after="0" w:line="240" w:lineRule="auto"/>
        <w:rPr>
          <w:rFonts w:ascii="Calibri" w:eastAsia="Calibri" w:hAnsi="Calibri" w:cs="Calibri"/>
          <w:b/>
          <w:sz w:val="24"/>
          <w:szCs w:val="24"/>
          <w:lang w:val="en"/>
        </w:rPr>
      </w:pPr>
    </w:p>
    <w:p w14:paraId="6589969F" w14:textId="40C3D1D2" w:rsidR="008544AA" w:rsidRPr="002302D8"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Workforce Development Solicitation for Proposals (</w:t>
      </w:r>
      <w:hyperlink r:id="rId136" w:history="1">
        <w:r w:rsidRPr="009847B8">
          <w:rPr>
            <w:rStyle w:val="Hyperlink"/>
          </w:rPr>
          <w:t>SFP</w:t>
        </w:r>
      </w:hyperlink>
      <w:r w:rsidRPr="00C23064">
        <w:rPr>
          <w:rFonts w:ascii="Calibri" w:eastAsia="Calibri" w:hAnsi="Calibri" w:cs="Calibri"/>
          <w:b/>
          <w:sz w:val="24"/>
          <w:szCs w:val="24"/>
          <w:lang w:val="en"/>
        </w:rPr>
        <w:t>)</w:t>
      </w:r>
    </w:p>
    <w:p w14:paraId="218771FF" w14:textId="78827E0A"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WIOA-funded SFPs and related information can be accessed from the EDD’s SFP page.</w:t>
      </w:r>
    </w:p>
    <w:p w14:paraId="28B525B4" w14:textId="77777777" w:rsidR="00F470F1" w:rsidRPr="00F470F1" w:rsidRDefault="00F470F1" w:rsidP="00F470F1">
      <w:pPr>
        <w:spacing w:after="0" w:line="240" w:lineRule="auto"/>
        <w:rPr>
          <w:rFonts w:ascii="Calibri" w:eastAsia="Calibri" w:hAnsi="Calibri" w:cs="Calibri"/>
          <w:b/>
          <w:sz w:val="24"/>
          <w:szCs w:val="24"/>
          <w:lang w:val="en"/>
        </w:rPr>
      </w:pPr>
    </w:p>
    <w:p w14:paraId="642D0B0B" w14:textId="6A12ECB4" w:rsidR="008544AA" w:rsidRPr="00F470F1" w:rsidRDefault="008544AA" w:rsidP="01476CFA">
      <w:pPr>
        <w:spacing w:after="0" w:line="240" w:lineRule="auto"/>
        <w:rPr>
          <w:rFonts w:ascii="Calibri" w:eastAsia="Arial" w:hAnsi="Calibri" w:cs="Calibri"/>
          <w:sz w:val="24"/>
          <w:szCs w:val="24"/>
        </w:rPr>
      </w:pPr>
      <w:proofErr w:type="spellStart"/>
      <w:r w:rsidRPr="01476CFA">
        <w:rPr>
          <w:rFonts w:ascii="Calibri" w:eastAsia="Calibri" w:hAnsi="Calibri" w:cs="Calibri"/>
          <w:b/>
          <w:bCs/>
          <w:sz w:val="24"/>
          <w:szCs w:val="24"/>
          <w:lang w:val="en"/>
        </w:rPr>
        <w:t>WorkforceGPS</w:t>
      </w:r>
      <w:proofErr w:type="spellEnd"/>
      <w:r w:rsidRPr="01476CFA">
        <w:rPr>
          <w:rFonts w:ascii="Calibri" w:eastAsia="Calibri" w:hAnsi="Calibri" w:cs="Calibri"/>
          <w:color w:val="0000FF"/>
          <w:sz w:val="24"/>
          <w:szCs w:val="24"/>
          <w:lang w:val="en"/>
        </w:rPr>
        <w:t xml:space="preserve"> </w:t>
      </w:r>
      <w:r w:rsidRPr="002302D8">
        <w:rPr>
          <w:rFonts w:ascii="Calibri" w:eastAsia="Calibri" w:hAnsi="Calibri" w:cs="Calibri"/>
          <w:b/>
          <w:bCs/>
          <w:sz w:val="24"/>
          <w:szCs w:val="24"/>
          <w:lang w:val="en"/>
        </w:rPr>
        <w:t>(</w:t>
      </w:r>
      <w:hyperlink r:id="rId137">
        <w:proofErr w:type="spellStart"/>
        <w:r w:rsidRPr="009847B8">
          <w:rPr>
            <w:rStyle w:val="Hyperlink"/>
          </w:rPr>
          <w:t>WorkforceGPS</w:t>
        </w:r>
        <w:proofErr w:type="spellEnd"/>
      </w:hyperlink>
      <w:r w:rsidRPr="00C23064">
        <w:rPr>
          <w:rFonts w:ascii="Calibri" w:eastAsia="Calibri" w:hAnsi="Calibri" w:cs="Calibri"/>
          <w:b/>
          <w:bCs/>
          <w:sz w:val="24"/>
          <w:szCs w:val="24"/>
          <w:lang w:val="en"/>
        </w:rPr>
        <w:t>)</w:t>
      </w:r>
    </w:p>
    <w:p w14:paraId="34600290" w14:textId="5FD13867" w:rsidR="008544AA" w:rsidRPr="00F470F1" w:rsidRDefault="008544AA" w:rsidP="00F470F1">
      <w:pPr>
        <w:spacing w:after="0" w:line="240" w:lineRule="auto"/>
        <w:rPr>
          <w:rFonts w:ascii="Calibri" w:eastAsia="Calibri" w:hAnsi="Calibri" w:cs="Calibri"/>
          <w:b/>
          <w:sz w:val="24"/>
          <w:szCs w:val="24"/>
          <w:lang w:val="en"/>
        </w:rPr>
      </w:pPr>
      <w:r w:rsidRPr="00F470F1">
        <w:rPr>
          <w:rFonts w:ascii="Calibri" w:eastAsia="Calibri" w:hAnsi="Calibri" w:cs="Calibri"/>
          <w:sz w:val="24"/>
          <w:szCs w:val="24"/>
          <w:lang w:val="en"/>
        </w:rPr>
        <w:t>An integrated workforce system network sponsored by the DOL Employment and Training Administration.</w:t>
      </w:r>
    </w:p>
    <w:p w14:paraId="3E580B58" w14:textId="77777777" w:rsidR="00F470F1" w:rsidRPr="00F470F1" w:rsidRDefault="00F470F1" w:rsidP="00F470F1">
      <w:pPr>
        <w:spacing w:after="0" w:line="240" w:lineRule="auto"/>
        <w:rPr>
          <w:rFonts w:ascii="Calibri" w:eastAsia="Calibri" w:hAnsi="Calibri" w:cs="Calibri"/>
          <w:b/>
          <w:sz w:val="24"/>
          <w:szCs w:val="24"/>
          <w:lang w:val="en"/>
        </w:rPr>
      </w:pPr>
    </w:p>
    <w:p w14:paraId="624F0D1A" w14:textId="08C9BCAE" w:rsidR="008544AA" w:rsidRPr="00F470F1" w:rsidRDefault="008544AA" w:rsidP="00F470F1">
      <w:pPr>
        <w:spacing w:after="0" w:line="240" w:lineRule="auto"/>
        <w:rPr>
          <w:rFonts w:ascii="Calibri" w:eastAsia="Arial" w:hAnsi="Calibri" w:cs="Calibri"/>
          <w:b/>
          <w:sz w:val="24"/>
          <w:szCs w:val="24"/>
          <w:lang w:val="en"/>
        </w:rPr>
      </w:pPr>
      <w:r w:rsidRPr="00F470F1">
        <w:rPr>
          <w:rFonts w:ascii="Calibri" w:eastAsia="Calibri" w:hAnsi="Calibri" w:cs="Calibri"/>
          <w:b/>
          <w:sz w:val="24"/>
          <w:szCs w:val="24"/>
          <w:lang w:val="en"/>
        </w:rPr>
        <w:t xml:space="preserve">Workforce Innovation and Opportunity Act </w:t>
      </w:r>
      <w:r w:rsidRPr="00C23064">
        <w:rPr>
          <w:rFonts w:ascii="Calibri" w:eastAsia="Calibri" w:hAnsi="Calibri" w:cs="Calibri"/>
          <w:b/>
          <w:sz w:val="24"/>
          <w:szCs w:val="24"/>
          <w:lang w:val="en"/>
        </w:rPr>
        <w:t>(</w:t>
      </w:r>
      <w:hyperlink r:id="rId138" w:history="1">
        <w:r w:rsidRPr="009847B8">
          <w:rPr>
            <w:rStyle w:val="Hyperlink"/>
          </w:rPr>
          <w:t>WIOA</w:t>
        </w:r>
      </w:hyperlink>
      <w:r w:rsidRPr="002302D8">
        <w:rPr>
          <w:rFonts w:ascii="Calibri" w:eastAsia="Calibri" w:hAnsi="Calibri" w:cs="Calibri"/>
          <w:b/>
          <w:sz w:val="24"/>
          <w:szCs w:val="24"/>
          <w:lang w:val="en"/>
        </w:rPr>
        <w:t>)</w:t>
      </w:r>
    </w:p>
    <w:p w14:paraId="0DB68088" w14:textId="77777777" w:rsidR="008544AA" w:rsidRPr="00F470F1" w:rsidRDefault="008544AA" w:rsidP="00F470F1">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t xml:space="preserve">The act governing the funds </w:t>
      </w:r>
      <w:proofErr w:type="gramStart"/>
      <w:r w:rsidRPr="00F470F1">
        <w:rPr>
          <w:rFonts w:ascii="Calibri" w:eastAsia="Calibri" w:hAnsi="Calibri" w:cs="Calibri"/>
          <w:sz w:val="24"/>
          <w:szCs w:val="24"/>
          <w:lang w:val="en"/>
        </w:rPr>
        <w:t>made</w:t>
      </w:r>
      <w:proofErr w:type="gramEnd"/>
      <w:r w:rsidRPr="00F470F1">
        <w:rPr>
          <w:rFonts w:ascii="Calibri" w:eastAsia="Calibri" w:hAnsi="Calibri" w:cs="Calibri"/>
          <w:sz w:val="24"/>
          <w:szCs w:val="24"/>
          <w:lang w:val="en"/>
        </w:rPr>
        <w:t xml:space="preserve"> available in this SFP.</w:t>
      </w:r>
    </w:p>
    <w:p w14:paraId="2D6D8BF8" w14:textId="77777777" w:rsidR="008544AA" w:rsidRPr="00F470F1" w:rsidRDefault="008544AA" w:rsidP="008544AA">
      <w:pPr>
        <w:spacing w:after="0" w:line="240" w:lineRule="auto"/>
        <w:rPr>
          <w:rFonts w:ascii="Calibri" w:eastAsia="Calibri" w:hAnsi="Calibri" w:cs="Calibri"/>
          <w:sz w:val="24"/>
          <w:szCs w:val="24"/>
          <w:lang w:val="en"/>
        </w:rPr>
      </w:pPr>
      <w:r w:rsidRPr="00F470F1">
        <w:rPr>
          <w:rFonts w:ascii="Calibri" w:eastAsia="Calibri" w:hAnsi="Calibri" w:cs="Calibri"/>
          <w:sz w:val="24"/>
          <w:szCs w:val="24"/>
          <w:lang w:val="en"/>
        </w:rPr>
        <w:br w:type="page"/>
      </w:r>
      <w:bookmarkStart w:id="222" w:name="_1rvwp1q"/>
      <w:bookmarkEnd w:id="222"/>
    </w:p>
    <w:p w14:paraId="5E9F6329" w14:textId="77777777" w:rsidR="008544AA" w:rsidRPr="00DC1DE3" w:rsidRDefault="008544AA" w:rsidP="01476CFA">
      <w:pPr>
        <w:pStyle w:val="Heading2"/>
        <w:numPr>
          <w:ilvl w:val="0"/>
          <w:numId w:val="0"/>
        </w:numPr>
        <w:rPr>
          <w:rFonts w:eastAsia="Arial"/>
        </w:rPr>
      </w:pPr>
      <w:bookmarkStart w:id="223" w:name="_Toc117246195"/>
      <w:bookmarkStart w:id="224" w:name="_Toc130496204"/>
      <w:bookmarkStart w:id="225" w:name="_Toc167356453"/>
      <w:bookmarkStart w:id="226" w:name="_Toc167894700"/>
      <w:r w:rsidRPr="01476CFA">
        <w:rPr>
          <w:rFonts w:eastAsia="Arial"/>
        </w:rPr>
        <w:lastRenderedPageBreak/>
        <w:t>Appendix F: CalJOBS</w:t>
      </w:r>
      <w:r w:rsidRPr="01476CFA">
        <w:rPr>
          <w:rFonts w:eastAsia="Arial"/>
          <w:vertAlign w:val="superscript"/>
        </w:rPr>
        <w:t>SM</w:t>
      </w:r>
      <w:r w:rsidRPr="01476CFA">
        <w:rPr>
          <w:rFonts w:eastAsia="Arial"/>
        </w:rPr>
        <w:t xml:space="preserve"> Workstation and Software Requirements</w:t>
      </w:r>
      <w:bookmarkEnd w:id="223"/>
      <w:bookmarkEnd w:id="224"/>
      <w:bookmarkEnd w:id="225"/>
      <w:bookmarkEnd w:id="226"/>
    </w:p>
    <w:p w14:paraId="23AC1355" w14:textId="77777777" w:rsidR="008544AA" w:rsidRPr="00DC1DE3" w:rsidRDefault="008544AA" w:rsidP="008544AA">
      <w:pPr>
        <w:spacing w:after="0" w:line="240" w:lineRule="auto"/>
        <w:rPr>
          <w:rFonts w:eastAsia="Calibri" w:cstheme="minorHAnsi"/>
          <w:b/>
          <w:sz w:val="24"/>
          <w:szCs w:val="24"/>
          <w:lang w:val="en"/>
        </w:rPr>
      </w:pPr>
      <w:bookmarkStart w:id="227" w:name="_4bvk7pj"/>
      <w:bookmarkEnd w:id="227"/>
    </w:p>
    <w:p w14:paraId="1B6E6BE3" w14:textId="4A4896ED" w:rsidR="008544AA" w:rsidRPr="00943164" w:rsidRDefault="008544AA" w:rsidP="00943164">
      <w:pPr>
        <w:pStyle w:val="BodyText"/>
        <w:spacing w:after="0"/>
        <w:rPr>
          <w:b/>
          <w:bCs/>
        </w:rPr>
      </w:pPr>
      <w:r w:rsidRPr="00943164">
        <w:rPr>
          <w:b/>
          <w:bCs/>
        </w:rPr>
        <w:t xml:space="preserve">Figure </w:t>
      </w:r>
      <w:r w:rsidR="00943164" w:rsidRPr="00943164">
        <w:rPr>
          <w:b/>
          <w:bCs/>
        </w:rPr>
        <w:t>F.</w:t>
      </w:r>
      <w:r w:rsidRPr="00943164">
        <w:rPr>
          <w:b/>
          <w:bCs/>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DC1DE3"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DC1DE3" w:rsidRDefault="008544AA" w:rsidP="00943164">
            <w:pPr>
              <w:pStyle w:val="BodyText"/>
              <w:spacing w:after="0"/>
            </w:pPr>
            <w:r w:rsidRPr="00DC1DE3">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DC1DE3" w:rsidRDefault="008544AA" w:rsidP="00943164">
            <w:pPr>
              <w:pStyle w:val="BodyText"/>
              <w:spacing w:after="0"/>
            </w:pPr>
            <w:r w:rsidRPr="00DC1DE3">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DC1DE3" w:rsidRDefault="008544AA" w:rsidP="00943164">
            <w:pPr>
              <w:pStyle w:val="BodyText"/>
              <w:spacing w:after="0"/>
            </w:pPr>
            <w:r w:rsidRPr="00DC1DE3">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DC1DE3" w:rsidRDefault="008544AA" w:rsidP="00943164">
            <w:pPr>
              <w:pStyle w:val="BodyText"/>
              <w:spacing w:after="0"/>
            </w:pPr>
            <w:r w:rsidRPr="00DC1DE3">
              <w:t>Connectivity</w:t>
            </w:r>
          </w:p>
        </w:tc>
      </w:tr>
      <w:tr w:rsidR="008544AA" w:rsidRPr="00DC1DE3"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DC1DE3" w:rsidRDefault="008544AA" w:rsidP="00943164">
            <w:pPr>
              <w:pStyle w:val="BodyText"/>
            </w:pPr>
            <w:r w:rsidRPr="00DC1DE3">
              <w:t xml:space="preserve">Client </w:t>
            </w:r>
            <w:r w:rsidRPr="00DC1DE3">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DC1DE3" w:rsidRDefault="008544AA" w:rsidP="00943164">
            <w:pPr>
              <w:pStyle w:val="BodyText"/>
            </w:pPr>
            <w:r w:rsidRPr="00DC1DE3">
              <w:t>Processor: PIII or higher</w:t>
            </w:r>
          </w:p>
          <w:p w14:paraId="079BB42C" w14:textId="77777777" w:rsidR="008544AA" w:rsidRPr="00DC1DE3" w:rsidRDefault="008544AA" w:rsidP="00943164">
            <w:pPr>
              <w:pStyle w:val="BodyText"/>
            </w:pPr>
            <w:r w:rsidRPr="00DC1DE3">
              <w:t>Memory: 2 GB of RAM or higher</w:t>
            </w:r>
          </w:p>
          <w:p w14:paraId="7B5B9E86" w14:textId="77777777" w:rsidR="008544AA" w:rsidRPr="00DC1DE3" w:rsidRDefault="008544AA" w:rsidP="00943164">
            <w:pPr>
              <w:pStyle w:val="BodyText"/>
            </w:pPr>
            <w:r w:rsidRPr="00DC1DE3">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DC1DE3" w:rsidRDefault="008544AA" w:rsidP="00943164">
            <w:pPr>
              <w:pStyle w:val="BodyText"/>
            </w:pPr>
            <w:r w:rsidRPr="00DC1DE3">
              <w:t>Operating System:</w:t>
            </w:r>
          </w:p>
          <w:p w14:paraId="3E3BF33C" w14:textId="77777777" w:rsidR="008544AA" w:rsidRPr="00DC1DE3" w:rsidRDefault="008544AA" w:rsidP="00943164">
            <w:pPr>
              <w:pStyle w:val="BodyText"/>
            </w:pPr>
            <w:r w:rsidRPr="00DC1DE3">
              <w:t>Microsoft Windows 7</w:t>
            </w:r>
          </w:p>
          <w:p w14:paraId="1CEF0B15" w14:textId="77777777" w:rsidR="008544AA" w:rsidRPr="00DC1DE3" w:rsidRDefault="008544AA" w:rsidP="00943164">
            <w:pPr>
              <w:pStyle w:val="BodyText"/>
            </w:pPr>
            <w:r w:rsidRPr="00DC1DE3">
              <w:t>Macintosh OS X v10. 4.8 (Panther) or higher</w:t>
            </w:r>
          </w:p>
          <w:p w14:paraId="1988E6A5" w14:textId="77777777" w:rsidR="008544AA" w:rsidRPr="00DC1DE3" w:rsidRDefault="008544AA" w:rsidP="00943164">
            <w:pPr>
              <w:pStyle w:val="BodyText"/>
            </w:pPr>
            <w:r w:rsidRPr="00DC1DE3">
              <w:t>3rd-Party Software (described after the table):</w:t>
            </w:r>
          </w:p>
          <w:p w14:paraId="3404FC64" w14:textId="77777777" w:rsidR="008544AA" w:rsidRPr="00DC1DE3" w:rsidRDefault="008544AA" w:rsidP="00943164">
            <w:pPr>
              <w:pStyle w:val="BodyText"/>
            </w:pPr>
            <w:proofErr w:type="spellStart"/>
            <w:r w:rsidRPr="01476CFA">
              <w:rPr>
                <w:lang w:val="en-US"/>
              </w:rPr>
              <w:t>Meadco</w:t>
            </w:r>
            <w:proofErr w:type="spellEnd"/>
            <w:r w:rsidRPr="01476CFA">
              <w:rPr>
                <w:lang w:val="en-US"/>
              </w:rPr>
              <w:t xml:space="preserve"> </w:t>
            </w:r>
            <w:proofErr w:type="spellStart"/>
            <w:r w:rsidRPr="01476CFA">
              <w:rPr>
                <w:lang w:val="en-US"/>
              </w:rPr>
              <w:t>ScriptX</w:t>
            </w:r>
            <w:proofErr w:type="spellEnd"/>
            <w:r w:rsidRPr="01476CFA">
              <w:rPr>
                <w:lang w:val="en-US"/>
              </w:rPr>
              <w:t xml:space="preserve"> ActiveX 7.4/ Object¹/ Microsoft Silverlight 3² </w:t>
            </w:r>
          </w:p>
          <w:p w14:paraId="3E5367DD" w14:textId="77777777" w:rsidR="008544AA" w:rsidRPr="00DC1DE3" w:rsidRDefault="008544AA" w:rsidP="00943164">
            <w:pPr>
              <w:pStyle w:val="BodyText"/>
            </w:pPr>
            <w:proofErr w:type="spellStart"/>
            <w:r w:rsidRPr="01476CFA">
              <w:rPr>
                <w:lang w:val="en-US"/>
              </w:rPr>
              <w:t>DynamSoft</w:t>
            </w:r>
            <w:proofErr w:type="spellEnd"/>
            <w:r w:rsidRPr="01476CFA">
              <w:rPr>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DC1DE3" w:rsidRDefault="008544AA" w:rsidP="00943164">
            <w:pPr>
              <w:pStyle w:val="BodyText"/>
            </w:pPr>
            <w:r w:rsidRPr="00DC1DE3">
              <w:t>Minimum:</w:t>
            </w:r>
          </w:p>
          <w:p w14:paraId="26C2CF54" w14:textId="77777777" w:rsidR="008544AA" w:rsidRPr="00DC1DE3" w:rsidRDefault="008544AA" w:rsidP="00943164">
            <w:pPr>
              <w:pStyle w:val="BodyText"/>
            </w:pPr>
            <w:r w:rsidRPr="00DC1DE3">
              <w:t>Dedicated broadband or high-speed access, 380k or higher</w:t>
            </w:r>
          </w:p>
        </w:tc>
      </w:tr>
      <w:tr w:rsidR="008544AA" w:rsidRPr="00F470F1"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F470F1" w:rsidRDefault="008544AA" w:rsidP="00943164">
            <w:pPr>
              <w:pStyle w:val="BodyText"/>
            </w:pPr>
            <w:r w:rsidRPr="00F470F1">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F470F1" w:rsidRDefault="008544AA" w:rsidP="00943164">
            <w:pPr>
              <w:pStyle w:val="BodyText"/>
            </w:pPr>
            <w:r w:rsidRPr="00F470F1">
              <w:t>Processor: PIII or higher</w:t>
            </w:r>
          </w:p>
          <w:p w14:paraId="503A9A2F" w14:textId="77777777" w:rsidR="008544AA" w:rsidRPr="00F470F1" w:rsidRDefault="008544AA" w:rsidP="00943164">
            <w:pPr>
              <w:pStyle w:val="BodyText"/>
            </w:pPr>
            <w:r w:rsidRPr="00F470F1">
              <w:t>Memory: 2GB of RAM or higher</w:t>
            </w:r>
            <w:r w:rsidRPr="00F470F1">
              <w:br/>
            </w:r>
          </w:p>
          <w:p w14:paraId="7339D629" w14:textId="77777777" w:rsidR="008544AA" w:rsidRPr="00F470F1" w:rsidRDefault="008544AA" w:rsidP="00943164">
            <w:pPr>
              <w:pStyle w:val="BodyText"/>
            </w:pPr>
            <w:r w:rsidRPr="00F470F1">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F470F1" w:rsidRDefault="008544AA" w:rsidP="00943164">
            <w:pPr>
              <w:pStyle w:val="BodyText"/>
            </w:pPr>
            <w:r w:rsidRPr="00F470F1">
              <w:t>Operating System:</w:t>
            </w:r>
          </w:p>
          <w:p w14:paraId="1DBEE9B2" w14:textId="77777777" w:rsidR="008544AA" w:rsidRPr="00F470F1" w:rsidRDefault="008544AA" w:rsidP="00943164">
            <w:pPr>
              <w:pStyle w:val="BodyText"/>
            </w:pPr>
            <w:r w:rsidRPr="00F470F1">
              <w:t>Microsoft Windows 7</w:t>
            </w:r>
          </w:p>
          <w:p w14:paraId="40181C25" w14:textId="77777777" w:rsidR="008544AA" w:rsidRPr="00F470F1" w:rsidRDefault="008544AA" w:rsidP="00943164">
            <w:pPr>
              <w:pStyle w:val="BodyText"/>
            </w:pPr>
            <w:r w:rsidRPr="00F470F1">
              <w:t xml:space="preserve">Macintosh OS X v10. 4.8 (Panther) or higher. </w:t>
            </w:r>
          </w:p>
          <w:p w14:paraId="77FC800B" w14:textId="77777777" w:rsidR="008544AA" w:rsidRPr="00F470F1" w:rsidRDefault="008544AA" w:rsidP="00943164">
            <w:pPr>
              <w:pStyle w:val="BodyText"/>
            </w:pPr>
            <w:r w:rsidRPr="00F470F1">
              <w:t xml:space="preserve">JAWS for Windows software for visually impaired access (optional) </w:t>
            </w:r>
          </w:p>
          <w:p w14:paraId="2CC92693" w14:textId="77777777" w:rsidR="008544AA" w:rsidRPr="00F470F1" w:rsidRDefault="008544AA" w:rsidP="00943164">
            <w:pPr>
              <w:pStyle w:val="BodyText"/>
            </w:pPr>
            <w:r w:rsidRPr="00F470F1">
              <w:t>3rd-Party Software (described after the table):</w:t>
            </w:r>
          </w:p>
          <w:p w14:paraId="3BD9A38E" w14:textId="77777777" w:rsidR="008544AA" w:rsidRPr="00F470F1" w:rsidRDefault="008544AA" w:rsidP="00943164">
            <w:pPr>
              <w:pStyle w:val="BodyText"/>
            </w:pPr>
            <w:proofErr w:type="spellStart"/>
            <w:r w:rsidRPr="01476CFA">
              <w:rPr>
                <w:lang w:val="en-US"/>
              </w:rPr>
              <w:t>Meadco</w:t>
            </w:r>
            <w:proofErr w:type="spellEnd"/>
            <w:r w:rsidRPr="01476CFA">
              <w:rPr>
                <w:lang w:val="en-US"/>
              </w:rPr>
              <w:t xml:space="preserve"> </w:t>
            </w:r>
            <w:proofErr w:type="spellStart"/>
            <w:r w:rsidRPr="01476CFA">
              <w:rPr>
                <w:lang w:val="en-US"/>
              </w:rPr>
              <w:t>ScriptX</w:t>
            </w:r>
            <w:proofErr w:type="spellEnd"/>
            <w:r w:rsidRPr="01476CFA">
              <w:rPr>
                <w:lang w:val="en-US"/>
              </w:rPr>
              <w:t xml:space="preserve"> ActiveX 7.4/ Object</w:t>
            </w:r>
          </w:p>
          <w:p w14:paraId="2764435F" w14:textId="77777777" w:rsidR="008544AA" w:rsidRPr="00F470F1" w:rsidRDefault="008544AA" w:rsidP="00943164">
            <w:pPr>
              <w:pStyle w:val="BodyText"/>
            </w:pPr>
            <w:r w:rsidRPr="00F470F1">
              <w:t>Microsoft Silverlight 3</w:t>
            </w:r>
          </w:p>
          <w:p w14:paraId="4C79639C" w14:textId="77777777" w:rsidR="008544AA" w:rsidRPr="00F470F1" w:rsidRDefault="008544AA" w:rsidP="00943164">
            <w:pPr>
              <w:pStyle w:val="BodyText"/>
            </w:pPr>
            <w:proofErr w:type="spellStart"/>
            <w:r w:rsidRPr="01476CFA">
              <w:rPr>
                <w:lang w:val="en-US"/>
              </w:rPr>
              <w:t>DynamSoft</w:t>
            </w:r>
            <w:proofErr w:type="spellEnd"/>
            <w:r w:rsidRPr="01476CFA">
              <w:rPr>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F470F1" w:rsidRDefault="008544AA" w:rsidP="00943164">
            <w:pPr>
              <w:pStyle w:val="BodyText"/>
            </w:pPr>
            <w:r w:rsidRPr="00F470F1">
              <w:t>Minimum:</w:t>
            </w:r>
          </w:p>
          <w:p w14:paraId="5F4B14C0" w14:textId="77777777" w:rsidR="008544AA" w:rsidRPr="00F470F1" w:rsidRDefault="008544AA" w:rsidP="00943164">
            <w:pPr>
              <w:pStyle w:val="BodyText"/>
            </w:pPr>
            <w:r w:rsidRPr="00F470F1">
              <w:t>Dedicated broadband or high-speed access, 380Kbps or higher</w:t>
            </w:r>
          </w:p>
        </w:tc>
      </w:tr>
    </w:tbl>
    <w:p w14:paraId="55086D34" w14:textId="77777777" w:rsidR="008544AA" w:rsidRPr="00943164" w:rsidRDefault="008544AA" w:rsidP="00943164">
      <w:pPr>
        <w:pStyle w:val="BodyText"/>
        <w:rPr>
          <w:b/>
          <w:bCs/>
        </w:rPr>
      </w:pPr>
    </w:p>
    <w:p w14:paraId="3F524F7D" w14:textId="77777777" w:rsidR="008544AA" w:rsidRPr="00943164" w:rsidRDefault="008544AA" w:rsidP="00943164">
      <w:pPr>
        <w:pStyle w:val="BodyText"/>
        <w:rPr>
          <w:b/>
          <w:bCs/>
        </w:rPr>
      </w:pPr>
      <w:r w:rsidRPr="00943164">
        <w:rPr>
          <w:b/>
          <w:bCs/>
        </w:rPr>
        <w:br w:type="page"/>
      </w:r>
    </w:p>
    <w:p w14:paraId="53C041F4" w14:textId="77777777" w:rsidR="008544AA" w:rsidRPr="00943164" w:rsidRDefault="008544AA" w:rsidP="00943164">
      <w:pPr>
        <w:pStyle w:val="BodyText"/>
        <w:rPr>
          <w:b/>
          <w:bCs/>
        </w:rPr>
      </w:pPr>
      <w:r w:rsidRPr="00943164">
        <w:rPr>
          <w:b/>
          <w:bCs/>
        </w:rPr>
        <w:lastRenderedPageBreak/>
        <w:t>Supported Browsers</w:t>
      </w:r>
    </w:p>
    <w:p w14:paraId="11AF1BCA" w14:textId="32B0EC21" w:rsidR="008544AA" w:rsidRPr="00DC1DE3" w:rsidRDefault="008544AA" w:rsidP="00943164">
      <w:pPr>
        <w:pStyle w:val="BodyText"/>
      </w:pPr>
      <w:r w:rsidRPr="00DC1DE3">
        <w:t xml:space="preserve">For best results, use </w:t>
      </w:r>
      <w:r w:rsidR="002938F3">
        <w:t>the</w:t>
      </w:r>
      <w:r w:rsidRPr="00DC1DE3">
        <w:t xml:space="preserve"> current version of one of the following supported browsers:</w:t>
      </w:r>
    </w:p>
    <w:p w14:paraId="05C9C850" w14:textId="77777777" w:rsidR="008544AA" w:rsidRPr="00943164" w:rsidRDefault="008544AA" w:rsidP="00943164">
      <w:pPr>
        <w:pStyle w:val="BodyText"/>
        <w:rPr>
          <w:b/>
          <w:bCs/>
        </w:rPr>
      </w:pPr>
      <w:r w:rsidRPr="00943164">
        <w:rPr>
          <w:b/>
          <w:bCs/>
        </w:rPr>
        <w:t xml:space="preserve">Desktop Browsers </w:t>
      </w:r>
    </w:p>
    <w:p w14:paraId="291653D2" w14:textId="68804844" w:rsidR="008544AA" w:rsidRPr="000621DA" w:rsidRDefault="008544AA" w:rsidP="00943164">
      <w:pPr>
        <w:pStyle w:val="ListParagraph"/>
        <w:rPr>
          <w:rFonts w:eastAsia="Arial" w:cstheme="minorHAnsi"/>
          <w:lang w:val="en"/>
        </w:rPr>
      </w:pPr>
      <w:r w:rsidRPr="00DC1DE3">
        <w:rPr>
          <w:rFonts w:eastAsia="Calibri" w:cstheme="minorHAns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C1DE3">
        <w:rPr>
          <w:rFonts w:eastAsia="Calibri" w:cstheme="minorHAnsi"/>
          <w:lang w:val="en"/>
        </w:rPr>
        <w:t xml:space="preserve">  </w:t>
      </w:r>
      <w:hyperlink r:id="rId140" w:history="1">
        <w:r w:rsidRPr="009847B8">
          <w:rPr>
            <w:rStyle w:val="Hyperlink"/>
          </w:rPr>
          <w:t>Google Chrome | Download Latest Version</w:t>
        </w:r>
      </w:hyperlink>
    </w:p>
    <w:p w14:paraId="589A5FF3" w14:textId="6D9219AB" w:rsidR="008544AA" w:rsidRPr="000621DA" w:rsidRDefault="008544AA" w:rsidP="00943164">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0621DA">
        <w:rPr>
          <w:rFonts w:eastAsia="Calibri" w:cstheme="minorHAnsi"/>
          <w:lang w:val="en"/>
        </w:rPr>
        <w:t xml:space="preserve">  </w:t>
      </w:r>
      <w:hyperlink r:id="rId142" w:history="1">
        <w:r w:rsidRPr="009847B8">
          <w:rPr>
            <w:rStyle w:val="Hyperlink"/>
          </w:rPr>
          <w:t>Mozilla Firefox | Download Latest Version</w:t>
        </w:r>
      </w:hyperlink>
    </w:p>
    <w:p w14:paraId="355FE41D" w14:textId="22B7D207" w:rsidR="008544AA" w:rsidRPr="000621DA" w:rsidRDefault="008544AA" w:rsidP="00943164">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02CE7F6D" wp14:editId="175E802B">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0621DA">
        <w:rPr>
          <w:rFonts w:eastAsia="Calibri" w:cstheme="minorHAnsi"/>
          <w:lang w:val="en"/>
        </w:rPr>
        <w:t xml:space="preserve">  </w:t>
      </w:r>
      <w:hyperlink r:id="rId144" w:anchor="safari" w:history="1">
        <w:r w:rsidRPr="009847B8">
          <w:rPr>
            <w:rStyle w:val="Hyperlink"/>
          </w:rPr>
          <w:t>Apple Safari | Download Latest Version</w:t>
        </w:r>
      </w:hyperlink>
    </w:p>
    <w:p w14:paraId="3ABF0986" w14:textId="1B9C34BB" w:rsidR="008544AA" w:rsidRPr="000621DA" w:rsidRDefault="008544AA" w:rsidP="00943164">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2C862A33" wp14:editId="6F652C39">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0621DA">
        <w:rPr>
          <w:rFonts w:eastAsia="Calibri" w:cstheme="minorHAnsi"/>
          <w:lang w:val="en"/>
        </w:rPr>
        <w:t xml:space="preserve">  </w:t>
      </w:r>
      <w:hyperlink r:id="rId146" w:history="1">
        <w:r w:rsidRPr="009847B8">
          <w:rPr>
            <w:rStyle w:val="Hyperlink"/>
          </w:rPr>
          <w:t>Opera | Download Latest Version</w:t>
        </w:r>
      </w:hyperlink>
    </w:p>
    <w:p w14:paraId="4DDD1D1D" w14:textId="6654E169" w:rsidR="008544AA" w:rsidRPr="000621DA" w:rsidRDefault="008544AA" w:rsidP="00943164">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5246A297" wp14:editId="15C6317C">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0621DA">
        <w:rPr>
          <w:rFonts w:eastAsia="Calibri" w:cstheme="minorHAnsi"/>
          <w:lang w:val="en"/>
        </w:rPr>
        <w:t xml:space="preserve">  </w:t>
      </w:r>
      <w:hyperlink r:id="rId148" w:history="1">
        <w:r w:rsidRPr="009847B8">
          <w:rPr>
            <w:rStyle w:val="Hyperlink"/>
          </w:rPr>
          <w:t>Microsoft Edge | Download the Latest version</w:t>
        </w:r>
      </w:hyperlink>
    </w:p>
    <w:p w14:paraId="36B2CDA8" w14:textId="57FEF26C" w:rsidR="008544AA" w:rsidRPr="000655E5" w:rsidRDefault="008544AA" w:rsidP="000655E5">
      <w:pPr>
        <w:pStyle w:val="BodyText"/>
        <w:rPr>
          <w:b/>
          <w:bCs/>
        </w:rPr>
      </w:pPr>
      <w:r w:rsidRPr="000655E5">
        <w:rPr>
          <w:b/>
          <w:bCs/>
        </w:rPr>
        <w:t>Mobile Browsers</w:t>
      </w:r>
    </w:p>
    <w:p w14:paraId="048883FF" w14:textId="77777777" w:rsidR="008544AA" w:rsidRPr="00DC1DE3" w:rsidRDefault="008544AA" w:rsidP="000655E5">
      <w:pPr>
        <w:pStyle w:val="BodyText"/>
      </w:pPr>
      <w:r w:rsidRPr="00DC1DE3">
        <w:t>For iOS and Android mobile phones and tablets, use a current version of one of the following supported browsers:</w:t>
      </w:r>
    </w:p>
    <w:p w14:paraId="043C7893" w14:textId="77777777" w:rsidR="008544AA" w:rsidRPr="000655E5" w:rsidRDefault="008544AA" w:rsidP="000655E5">
      <w:pPr>
        <w:pStyle w:val="BodyText"/>
        <w:rPr>
          <w:b/>
          <w:bCs/>
        </w:rPr>
      </w:pPr>
      <w:r w:rsidRPr="000655E5">
        <w:rPr>
          <w:b/>
          <w:bCs/>
        </w:rPr>
        <w:t xml:space="preserve">iOS </w:t>
      </w:r>
    </w:p>
    <w:p w14:paraId="1EEA55F4" w14:textId="5F9027B3" w:rsidR="008544AA" w:rsidRPr="000621DA" w:rsidRDefault="008544AA" w:rsidP="000655E5">
      <w:pPr>
        <w:pStyle w:val="ListParagraph"/>
        <w:rPr>
          <w:rFonts w:eastAsia="Arial" w:cstheme="minorHAnsi"/>
          <w:lang w:val="en"/>
        </w:rPr>
      </w:pPr>
      <w:r w:rsidRPr="00DC1DE3">
        <w:rPr>
          <w:rFonts w:eastAsia="Calibri" w:cstheme="minorHAns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C1DE3">
        <w:rPr>
          <w:rFonts w:eastAsia="Calibri" w:cstheme="minorHAnsi"/>
          <w:lang w:val="en"/>
        </w:rPr>
        <w:t xml:space="preserve">  </w:t>
      </w:r>
      <w:hyperlink r:id="rId149" w:anchor="safari" w:history="1">
        <w:r w:rsidRPr="009847B8">
          <w:rPr>
            <w:rStyle w:val="Hyperlink"/>
          </w:rPr>
          <w:t>Safari for iOS</w:t>
        </w:r>
      </w:hyperlink>
    </w:p>
    <w:p w14:paraId="1EF02E1C" w14:textId="7FD11A69" w:rsidR="008544AA" w:rsidRPr="000621DA" w:rsidRDefault="008544AA" w:rsidP="000655E5">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6092DA44" wp14:editId="3EAD348F">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0621DA">
        <w:rPr>
          <w:rFonts w:eastAsia="Calibri" w:cstheme="minorHAnsi"/>
          <w:lang w:val="en"/>
        </w:rPr>
        <w:t xml:space="preserve">  </w:t>
      </w:r>
      <w:hyperlink r:id="rId150" w:history="1">
        <w:r w:rsidRPr="009847B8">
          <w:rPr>
            <w:rStyle w:val="Hyperlink"/>
          </w:rPr>
          <w:t>Google Chrome for iOS</w:t>
        </w:r>
      </w:hyperlink>
    </w:p>
    <w:p w14:paraId="7F25B20C" w14:textId="150F7049" w:rsidR="008544AA" w:rsidRPr="000621DA" w:rsidRDefault="008544AA" w:rsidP="000655E5">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0621DA">
        <w:rPr>
          <w:rFonts w:eastAsia="Calibri" w:cstheme="minorHAnsi"/>
          <w:lang w:val="en"/>
        </w:rPr>
        <w:t xml:space="preserve">  </w:t>
      </w:r>
      <w:hyperlink r:id="rId151" w:history="1">
        <w:r w:rsidRPr="009847B8">
          <w:rPr>
            <w:rStyle w:val="Hyperlink"/>
          </w:rPr>
          <w:t>Firefox for iOS</w:t>
        </w:r>
      </w:hyperlink>
    </w:p>
    <w:p w14:paraId="642C7A4E" w14:textId="77777777" w:rsidR="008544AA" w:rsidRPr="000621DA" w:rsidRDefault="008544AA" w:rsidP="000655E5">
      <w:pPr>
        <w:pStyle w:val="BodyText"/>
        <w:rPr>
          <w:b/>
          <w:bCs/>
        </w:rPr>
      </w:pPr>
      <w:r w:rsidRPr="000621DA">
        <w:rPr>
          <w:b/>
          <w:bCs/>
        </w:rPr>
        <w:t xml:space="preserve">Android </w:t>
      </w:r>
    </w:p>
    <w:p w14:paraId="195CFD98" w14:textId="54E2939F" w:rsidR="008544AA" w:rsidRPr="000621DA" w:rsidRDefault="008544AA" w:rsidP="000655E5">
      <w:pPr>
        <w:pStyle w:val="ListParagraph"/>
        <w:rPr>
          <w:rFonts w:eastAsia="Arial" w:cstheme="minorHAnsi"/>
          <w:lang w:val="en"/>
        </w:rPr>
      </w:pPr>
      <w:r w:rsidRPr="000621DA">
        <w:rPr>
          <w:rFonts w:eastAsia="Calibri" w:cstheme="minorHAnsi"/>
          <w:noProof/>
          <w:color w:val="0000FF"/>
          <w:shd w:val="clear" w:color="auto" w:fill="E6E6E6"/>
        </w:rPr>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0621DA">
        <w:rPr>
          <w:rFonts w:eastAsia="Calibri" w:cstheme="minorHAnsi"/>
          <w:lang w:val="en"/>
        </w:rPr>
        <w:t xml:space="preserve">  </w:t>
      </w:r>
      <w:hyperlink r:id="rId152" w:history="1">
        <w:r w:rsidRPr="009847B8">
          <w:rPr>
            <w:rStyle w:val="Hyperlink"/>
          </w:rPr>
          <w:t>Google Chrome for Android</w:t>
        </w:r>
      </w:hyperlink>
    </w:p>
    <w:p w14:paraId="1F798258" w14:textId="77777777" w:rsidR="008544AA" w:rsidRPr="002302D8" w:rsidRDefault="008544AA" w:rsidP="000655E5">
      <w:pPr>
        <w:pStyle w:val="ListParagraph"/>
        <w:rPr>
          <w:rFonts w:eastAsia="Arial" w:cstheme="minorHAnsi"/>
          <w:lang w:val="en"/>
        </w:rPr>
      </w:pPr>
      <w:r w:rsidRPr="002302D8">
        <w:rPr>
          <w:rFonts w:eastAsia="Calibri" w:cstheme="minorHAnsi"/>
          <w:noProof/>
          <w:color w:val="0000FF"/>
          <w:shd w:val="clear" w:color="auto" w:fill="E6E6E6"/>
        </w:rPr>
        <w:lastRenderedPageBreak/>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2302D8">
        <w:rPr>
          <w:rFonts w:eastAsia="Calibri" w:cstheme="minorHAnsi"/>
          <w:lang w:val="en"/>
        </w:rPr>
        <w:t xml:space="preserve">  </w:t>
      </w:r>
      <w:hyperlink r:id="rId153" w:history="1">
        <w:r w:rsidRPr="009847B8">
          <w:rPr>
            <w:rStyle w:val="Hyperlink"/>
          </w:rPr>
          <w:t>Firefox for Android</w:t>
        </w:r>
      </w:hyperlink>
      <w:r w:rsidRPr="002302D8">
        <w:rPr>
          <w:rFonts w:eastAsia="Calibri" w:cstheme="minorHAnsi"/>
          <w:lang w:val="en"/>
        </w:rPr>
        <w:t xml:space="preserve"> </w:t>
      </w:r>
    </w:p>
    <w:p w14:paraId="138A2072" w14:textId="77777777" w:rsidR="008544AA" w:rsidRPr="00DC1DE3" w:rsidRDefault="008544AA" w:rsidP="008544AA">
      <w:pPr>
        <w:spacing w:after="0" w:line="240" w:lineRule="auto"/>
        <w:rPr>
          <w:rFonts w:eastAsia="Calibri" w:cstheme="minorHAnsi"/>
          <w:sz w:val="24"/>
          <w:szCs w:val="24"/>
          <w:lang w:val="en"/>
        </w:rPr>
      </w:pPr>
    </w:p>
    <w:p w14:paraId="350B6AEA" w14:textId="77777777" w:rsidR="008544AA" w:rsidRPr="00DC1DE3" w:rsidRDefault="008544AA" w:rsidP="000655E5">
      <w:pPr>
        <w:pStyle w:val="Heading4"/>
      </w:pPr>
      <w:r w:rsidRPr="00DC1DE3">
        <w:t>Client Workstations (Third-Party Software)</w:t>
      </w:r>
    </w:p>
    <w:p w14:paraId="12116103" w14:textId="77777777" w:rsidR="008544AA" w:rsidRPr="00DC1DE3" w:rsidRDefault="008544AA" w:rsidP="000655E5">
      <w:pPr>
        <w:pStyle w:val="BodyText"/>
      </w:pPr>
      <w:r w:rsidRPr="01476CFA">
        <w:rPr>
          <w:lang w:val="en-US"/>
        </w:rPr>
        <w:t xml:space="preserve">As indicated in the preceding table, specific </w:t>
      </w:r>
      <w:proofErr w:type="gramStart"/>
      <w:r w:rsidRPr="01476CFA">
        <w:rPr>
          <w:lang w:val="en-US"/>
        </w:rPr>
        <w:t>freely available</w:t>
      </w:r>
      <w:proofErr w:type="gramEnd"/>
      <w:r w:rsidRPr="01476CFA">
        <w:rPr>
          <w:lang w:val="en-US"/>
        </w:rPr>
        <w:t xml:space="preserve"> third-party software is required on client workstations to maximize </w:t>
      </w:r>
      <w:proofErr w:type="gramStart"/>
      <w:r w:rsidRPr="01476CFA">
        <w:rPr>
          <w:lang w:val="en-US"/>
        </w:rPr>
        <w:t>all of</w:t>
      </w:r>
      <w:proofErr w:type="gramEnd"/>
      <w:r w:rsidRPr="01476CFA">
        <w:rPr>
          <w:lang w:val="en-US"/>
        </w:rPr>
        <w:t xml:space="preserve"> the features in the Virtual </w:t>
      </w:r>
      <w:proofErr w:type="spellStart"/>
      <w:r w:rsidRPr="01476CFA">
        <w:rPr>
          <w:lang w:val="en-US"/>
        </w:rPr>
        <w:t>OneStop</w:t>
      </w:r>
      <w:proofErr w:type="spellEnd"/>
      <w:r w:rsidRPr="01476CFA">
        <w:rPr>
          <w:lang w:val="en-US"/>
        </w:rPr>
        <w:t xml:space="preserve"> suite. </w:t>
      </w:r>
    </w:p>
    <w:p w14:paraId="4650DD87" w14:textId="50B27DD1" w:rsidR="008544AA" w:rsidRPr="00DC1DE3" w:rsidRDefault="008544AA" w:rsidP="000655E5">
      <w:pPr>
        <w:pStyle w:val="BodyText"/>
        <w:spacing w:after="0"/>
        <w:rPr>
          <w:b/>
        </w:rPr>
      </w:pPr>
      <w:r w:rsidRPr="00DC1DE3">
        <w:rPr>
          <w:b/>
        </w:rPr>
        <w:t xml:space="preserve">Figure </w:t>
      </w:r>
      <w:r w:rsidR="000655E5">
        <w:rPr>
          <w:b/>
        </w:rPr>
        <w:t>F.</w:t>
      </w:r>
      <w:r w:rsidRPr="00DC1DE3">
        <w:rPr>
          <w:b/>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0655E5"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0655E5" w:rsidRDefault="008544AA" w:rsidP="000655E5">
            <w:pPr>
              <w:pStyle w:val="BodyText"/>
              <w:spacing w:after="0"/>
              <w:rPr>
                <w:b/>
                <w:bCs/>
              </w:rPr>
            </w:pPr>
            <w:r w:rsidRPr="000655E5">
              <w:rPr>
                <w:b/>
                <w:bCs/>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0655E5" w:rsidRDefault="008544AA" w:rsidP="000655E5">
            <w:pPr>
              <w:pStyle w:val="BodyText"/>
              <w:spacing w:after="0"/>
              <w:rPr>
                <w:b/>
                <w:bCs/>
              </w:rPr>
            </w:pPr>
            <w:r w:rsidRPr="000655E5">
              <w:rPr>
                <w:b/>
                <w:bCs/>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0655E5" w:rsidRDefault="008544AA" w:rsidP="000655E5">
            <w:pPr>
              <w:pStyle w:val="BodyText"/>
              <w:spacing w:after="0"/>
              <w:rPr>
                <w:b/>
                <w:bCs/>
              </w:rPr>
            </w:pPr>
            <w:r w:rsidRPr="000655E5">
              <w:rPr>
                <w:b/>
                <w:bCs/>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0655E5" w:rsidRDefault="008544AA" w:rsidP="000655E5">
            <w:pPr>
              <w:pStyle w:val="BodyText"/>
              <w:spacing w:after="0"/>
              <w:rPr>
                <w:b/>
                <w:bCs/>
              </w:rPr>
            </w:pPr>
          </w:p>
        </w:tc>
      </w:tr>
      <w:tr w:rsidR="008544AA" w:rsidRPr="00DC1DE3"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DC1DE3" w:rsidRDefault="008544AA" w:rsidP="000655E5">
            <w:pPr>
              <w:pStyle w:val="BodyText"/>
            </w:pPr>
            <w:r w:rsidRPr="00DC1DE3">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DC1DE3" w:rsidRDefault="008544AA" w:rsidP="000655E5">
            <w:pPr>
              <w:pStyle w:val="BodyText"/>
            </w:pPr>
            <w:r w:rsidRPr="00DC1DE3">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DC1DE3" w:rsidRDefault="008544AA" w:rsidP="000655E5">
            <w:pPr>
              <w:pStyle w:val="BodyText"/>
            </w:pPr>
            <w:r w:rsidRPr="00DC1DE3">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2302D8" w:rsidRDefault="008544AA" w:rsidP="000655E5">
            <w:pPr>
              <w:pStyle w:val="BodyText"/>
              <w:rPr>
                <w:color w:val="0563C1"/>
              </w:rPr>
            </w:pPr>
            <w:hyperlink r:id="rId154" w:history="1">
              <w:r w:rsidRPr="00B00128">
                <w:rPr>
                  <w:color w:val="467886"/>
                </w:rPr>
                <w:t>Adobe Acrobat Reader</w:t>
              </w:r>
            </w:hyperlink>
          </w:p>
        </w:tc>
      </w:tr>
      <w:tr w:rsidR="008544AA" w:rsidRPr="00DC1DE3"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DC1DE3" w:rsidRDefault="008544AA" w:rsidP="000655E5">
            <w:pPr>
              <w:pStyle w:val="BodyText"/>
            </w:pPr>
            <w:r w:rsidRPr="00DC1DE3">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DC1DE3" w:rsidRDefault="008544AA" w:rsidP="000655E5">
            <w:pPr>
              <w:pStyle w:val="BodyText"/>
            </w:pPr>
            <w:r w:rsidRPr="00DC1DE3">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DC1DE3" w:rsidRDefault="008544AA" w:rsidP="000655E5">
            <w:pPr>
              <w:pStyle w:val="BodyText"/>
            </w:pPr>
            <w:r w:rsidRPr="00DC1DE3">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2302D8" w:rsidRDefault="008544AA" w:rsidP="000655E5">
            <w:pPr>
              <w:pStyle w:val="BodyText"/>
            </w:pPr>
            <w:hyperlink r:id="rId155" w:history="1">
              <w:r w:rsidRPr="00B00128">
                <w:rPr>
                  <w:color w:val="467886"/>
                </w:rPr>
                <w:t>Adobe Flash</w:t>
              </w:r>
            </w:hyperlink>
          </w:p>
        </w:tc>
      </w:tr>
      <w:tr w:rsidR="008544AA" w:rsidRPr="00DC1DE3"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DC1DE3" w:rsidRDefault="008544AA" w:rsidP="000655E5">
            <w:pPr>
              <w:pStyle w:val="BodyText"/>
            </w:pPr>
            <w:proofErr w:type="spellStart"/>
            <w:r w:rsidRPr="01476CFA">
              <w:rPr>
                <w:lang w:val="en-US"/>
              </w:rPr>
              <w:t>Meadco</w:t>
            </w:r>
            <w:proofErr w:type="spellEnd"/>
            <w:r w:rsidRPr="01476CFA">
              <w:rPr>
                <w:lang w:val="en-US"/>
              </w:rPr>
              <w:t xml:space="preserve"> </w:t>
            </w:r>
            <w:proofErr w:type="spellStart"/>
            <w:r w:rsidRPr="01476CFA">
              <w:rPr>
                <w:lang w:val="en-US"/>
              </w:rPr>
              <w:t>ScriptX</w:t>
            </w:r>
            <w:proofErr w:type="spellEnd"/>
            <w:r w:rsidRPr="01476CFA">
              <w:rPr>
                <w:lang w:val="en-US"/>
              </w:rPr>
              <w:t xml:space="preserve">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DC1DE3" w:rsidRDefault="008544AA" w:rsidP="000655E5">
            <w:pPr>
              <w:pStyle w:val="BodyText"/>
            </w:pPr>
            <w:r w:rsidRPr="00DC1DE3">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DC1DE3" w:rsidRDefault="008544AA" w:rsidP="000655E5">
            <w:pPr>
              <w:pStyle w:val="BodyText"/>
            </w:pPr>
            <w:r w:rsidRPr="00DC1DE3">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2302D8" w:rsidRDefault="008544AA" w:rsidP="000655E5">
            <w:pPr>
              <w:pStyle w:val="BodyText"/>
            </w:pPr>
            <w:hyperlink r:id="rId156" w:history="1">
              <w:proofErr w:type="spellStart"/>
              <w:r w:rsidRPr="00B00128">
                <w:rPr>
                  <w:color w:val="467886"/>
                </w:rPr>
                <w:t>Meadco</w:t>
              </w:r>
              <w:proofErr w:type="spellEnd"/>
              <w:r w:rsidRPr="00B00128">
                <w:rPr>
                  <w:color w:val="467886"/>
                </w:rPr>
                <w:t xml:space="preserve"> </w:t>
              </w:r>
              <w:proofErr w:type="spellStart"/>
              <w:r w:rsidRPr="00B00128">
                <w:rPr>
                  <w:color w:val="467886"/>
                </w:rPr>
                <w:t>ScriptX</w:t>
              </w:r>
              <w:proofErr w:type="spellEnd"/>
            </w:hyperlink>
          </w:p>
        </w:tc>
      </w:tr>
      <w:tr w:rsidR="008544AA" w:rsidRPr="00DC1DE3"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DC1DE3" w:rsidRDefault="008544AA" w:rsidP="000655E5">
            <w:pPr>
              <w:pStyle w:val="BodyText"/>
            </w:pPr>
            <w:r w:rsidRPr="01476CFA">
              <w:rPr>
                <w:lang w:val="en-US"/>
              </w:rPr>
              <w:t xml:space="preserve">Microsoft </w:t>
            </w:r>
            <w:proofErr w:type="spellStart"/>
            <w:r w:rsidRPr="01476CFA">
              <w:rPr>
                <w:lang w:val="en-US"/>
              </w:rPr>
              <w:t>RSClientPrint</w:t>
            </w:r>
            <w:proofErr w:type="spellEnd"/>
            <w:r w:rsidRPr="01476CFA">
              <w:rPr>
                <w:lang w:val="en-US"/>
              </w:rPr>
              <w:t xml:space="preserve">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DC1DE3" w:rsidRDefault="008544AA" w:rsidP="000655E5">
            <w:pPr>
              <w:pStyle w:val="BodyText"/>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DC1DE3" w:rsidRDefault="008544AA" w:rsidP="000655E5">
            <w:pPr>
              <w:pStyle w:val="BodyText"/>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DC1DE3" w:rsidRDefault="008544AA" w:rsidP="000655E5">
            <w:pPr>
              <w:pStyle w:val="BodyText"/>
            </w:pPr>
            <w:r w:rsidRPr="01476CFA">
              <w:rPr>
                <w:lang w:val="en-US"/>
              </w:rPr>
              <w:t>Downloading and installing the ActiveX control RSClientPrint.cab requires administrator permissions on the client machine.</w:t>
            </w:r>
          </w:p>
          <w:p w14:paraId="7C390E46" w14:textId="77777777" w:rsidR="008544AA" w:rsidRPr="00DC1DE3" w:rsidRDefault="008544AA" w:rsidP="000655E5">
            <w:pPr>
              <w:pStyle w:val="BodyText"/>
            </w:pPr>
            <w:r w:rsidRPr="00DC1DE3">
              <w:t>A user with permissions would opt to install when prompted by their browser to download the Active X control.</w:t>
            </w:r>
          </w:p>
        </w:tc>
      </w:tr>
      <w:tr w:rsidR="008544AA" w:rsidRPr="00DC1DE3"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DC1DE3" w:rsidRDefault="008544AA" w:rsidP="000655E5">
            <w:pPr>
              <w:pStyle w:val="BodyText"/>
            </w:pPr>
            <w:proofErr w:type="spellStart"/>
            <w:r w:rsidRPr="01476CFA">
              <w:rPr>
                <w:lang w:val="en-US"/>
              </w:rPr>
              <w:t>DynamSoft</w:t>
            </w:r>
            <w:proofErr w:type="spellEnd"/>
            <w:r w:rsidRPr="01476CFA">
              <w:rPr>
                <w:lang w:val="en-US"/>
              </w:rPr>
              <w:t xml:space="preserve">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DC1DE3" w:rsidRDefault="008544AA" w:rsidP="000655E5">
            <w:pPr>
              <w:pStyle w:val="BodyText"/>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DC1DE3" w:rsidRDefault="008544AA" w:rsidP="000655E5">
            <w:pPr>
              <w:pStyle w:val="BodyText"/>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2302D8" w:rsidRDefault="008544AA" w:rsidP="000655E5">
            <w:pPr>
              <w:pStyle w:val="BodyText"/>
              <w:rPr>
                <w:color w:val="0563C1"/>
              </w:rPr>
            </w:pPr>
            <w:hyperlink r:id="rId157" w:history="1">
              <w:proofErr w:type="spellStart"/>
              <w:r w:rsidRPr="00B00128">
                <w:rPr>
                  <w:color w:val="467886"/>
                </w:rPr>
                <w:t>DynamSoft</w:t>
              </w:r>
              <w:proofErr w:type="spellEnd"/>
            </w:hyperlink>
          </w:p>
          <w:p w14:paraId="64788EAE" w14:textId="77777777" w:rsidR="008544AA" w:rsidRPr="00DC1DE3" w:rsidRDefault="008544AA" w:rsidP="000655E5">
            <w:pPr>
              <w:pStyle w:val="BodyText"/>
            </w:pPr>
            <w:r w:rsidRPr="00DC1DE3">
              <w:t>Download DynamicWebTWAINHTML5Edition.exe</w:t>
            </w:r>
          </w:p>
        </w:tc>
      </w:tr>
    </w:tbl>
    <w:p w14:paraId="16E3C41E" w14:textId="77777777" w:rsidR="008544AA" w:rsidRPr="00DC1DE3" w:rsidRDefault="008544AA" w:rsidP="000655E5">
      <w:pPr>
        <w:pStyle w:val="BodyText"/>
      </w:pPr>
    </w:p>
    <w:p w14:paraId="3AE77F67" w14:textId="77777777" w:rsidR="008544AA" w:rsidRPr="00DC1DE3" w:rsidRDefault="008544AA" w:rsidP="000655E5">
      <w:pPr>
        <w:pStyle w:val="BodyText"/>
      </w:pPr>
      <w:proofErr w:type="spellStart"/>
      <w:r w:rsidRPr="01476CFA">
        <w:rPr>
          <w:lang w:val="en-US"/>
        </w:rPr>
        <w:t>Meadco</w:t>
      </w:r>
      <w:proofErr w:type="spellEnd"/>
      <w:r w:rsidRPr="01476CFA">
        <w:rPr>
          <w:lang w:val="en-US"/>
        </w:rPr>
        <w:t xml:space="preserve"> </w:t>
      </w:r>
      <w:proofErr w:type="spellStart"/>
      <w:r w:rsidRPr="01476CFA">
        <w:rPr>
          <w:lang w:val="en-US"/>
        </w:rPr>
        <w:t>ScriptX</w:t>
      </w:r>
      <w:proofErr w:type="spellEnd"/>
      <w:r w:rsidRPr="01476CFA">
        <w:rPr>
          <w:lang w:val="en-US"/>
        </w:rPr>
        <w:t xml:space="preserve"> 7.4: </w:t>
      </w:r>
      <w:proofErr w:type="spellStart"/>
      <w:r w:rsidRPr="01476CFA">
        <w:rPr>
          <w:lang w:val="en-US"/>
        </w:rPr>
        <w:t>ScriptX</w:t>
      </w:r>
      <w:proofErr w:type="spellEnd"/>
      <w:r w:rsidRPr="01476CFA">
        <w:rPr>
          <w:lang w:val="en-US"/>
        </w:rPr>
        <w:t xml:space="preserve"> provides for the closely controlled printing of HTML- and XML-based documents. It is a client-side ActiveX object used throughout Virtual </w:t>
      </w:r>
      <w:proofErr w:type="spellStart"/>
      <w:r w:rsidRPr="01476CFA">
        <w:rPr>
          <w:lang w:val="en-US"/>
        </w:rPr>
        <w:t>OneStop</w:t>
      </w:r>
      <w:proofErr w:type="spellEnd"/>
      <w:r w:rsidRPr="01476CFA">
        <w:rPr>
          <w:lang w:val="en-US"/>
        </w:rPr>
        <w:t xml:space="preserve"> to ensure the consistent formatting and appearance of printed output from any local or networked printer, regardless of the printing attributes already set in that computer’s browser. It temporarily controls printer settings such as margin sizes, header and footer information, page numbering, and whether to print in Landscape or Portrait mode. The control is in place at the time of printing a browser window or framed content; all settings are automatically restored to default settings, and no permanent changes are saved. </w:t>
      </w:r>
      <w:proofErr w:type="spellStart"/>
      <w:r w:rsidRPr="01476CFA">
        <w:rPr>
          <w:lang w:val="en-US"/>
        </w:rPr>
        <w:t>ScriptX</w:t>
      </w:r>
      <w:proofErr w:type="spellEnd"/>
      <w:r w:rsidRPr="01476CFA">
        <w:rPr>
          <w:lang w:val="en-US"/>
        </w:rPr>
        <w:t xml:space="preserve"> v7.5 or later is required when working with Internet Explorer 8 on Windows XP, Windows Vista, and Windows 7.</w:t>
      </w:r>
    </w:p>
    <w:p w14:paraId="5E0F6502" w14:textId="77777777" w:rsidR="008544AA" w:rsidRPr="00DC1DE3" w:rsidRDefault="008544AA" w:rsidP="000655E5">
      <w:pPr>
        <w:pStyle w:val="BodyText"/>
      </w:pPr>
    </w:p>
    <w:p w14:paraId="0FA2D625" w14:textId="1B63C70F" w:rsidR="008544AA" w:rsidRPr="00DC1DE3" w:rsidRDefault="008544AA" w:rsidP="000655E5">
      <w:pPr>
        <w:pStyle w:val="BodyText"/>
      </w:pPr>
      <w:r w:rsidRPr="01476CFA">
        <w:rPr>
          <w:lang w:val="en-US"/>
        </w:rPr>
        <w:lastRenderedPageBreak/>
        <w:t xml:space="preserve">Adobe Acrobat Reader 11: Certain documents (such as User Guides and Quick Reference Cards) are available to our customers on our external OPC website </w:t>
      </w:r>
      <w:proofErr w:type="gramStart"/>
      <w:r w:rsidRPr="01476CFA">
        <w:rPr>
          <w:lang w:val="en-US"/>
        </w:rPr>
        <w:t>as</w:t>
      </w:r>
      <w:proofErr w:type="gramEnd"/>
      <w:r w:rsidRPr="01476CFA">
        <w:rPr>
          <w:lang w:val="en-US"/>
        </w:rPr>
        <w:t xml:space="preserve"> Adobe Acrobat files. They are also frequently attached as some resources </w:t>
      </w:r>
      <w:r w:rsidR="004E020B" w:rsidRPr="01476CFA">
        <w:rPr>
          <w:lang w:val="en-US"/>
        </w:rPr>
        <w:t>are available</w:t>
      </w:r>
      <w:r w:rsidRPr="01476CFA">
        <w:rPr>
          <w:lang w:val="en-US"/>
        </w:rPr>
        <w:t xml:space="preserve"> on the Staff Online Resources page in Virtual LMI. These files can be read with Adobe Acrobat Reader 6.0 or higher; however, it is recommended that this recent version of Adobe Acrobat Reader be installed. Acrobat Reader is free browser software.</w:t>
      </w:r>
    </w:p>
    <w:p w14:paraId="50CAFECC" w14:textId="77777777" w:rsidR="008544AA" w:rsidRPr="00DC1DE3" w:rsidRDefault="008544AA" w:rsidP="000655E5">
      <w:pPr>
        <w:pStyle w:val="BodyText"/>
      </w:pPr>
      <w:r w:rsidRPr="00DC1DE3">
        <w:t xml:space="preserve">Adobe Flash 11: The Training/Learning Center Videos for Virtual </w:t>
      </w:r>
      <w:proofErr w:type="spellStart"/>
      <w:r w:rsidRPr="00DC1DE3">
        <w:t>OneStop</w:t>
      </w:r>
      <w:proofErr w:type="spellEnd"/>
      <w:r w:rsidRPr="00DC1DE3">
        <w:t xml:space="preserve">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DC1DE3" w:rsidRDefault="008544AA" w:rsidP="000655E5">
      <w:pPr>
        <w:pStyle w:val="BodyText"/>
      </w:pPr>
      <w:proofErr w:type="spellStart"/>
      <w:r w:rsidRPr="01476CFA">
        <w:rPr>
          <w:lang w:val="en-US"/>
        </w:rPr>
        <w:t>RSClientPrint</w:t>
      </w:r>
      <w:proofErr w:type="spellEnd"/>
      <w:r w:rsidRPr="01476CFA">
        <w:rPr>
          <w:lang w:val="en-US"/>
        </w:rPr>
        <w:t xml:space="preserve">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DC1DE3" w:rsidRDefault="008544AA" w:rsidP="000655E5">
      <w:pPr>
        <w:pStyle w:val="BodyText"/>
      </w:pPr>
      <w:r w:rsidRPr="01476CFA">
        <w:rPr>
          <w:lang w:val="en-US"/>
        </w:rPr>
        <w:t>Downloading and installing the ActiveX control RSClientPrint.cab requires administrator permissions on the client machine.</w:t>
      </w:r>
    </w:p>
    <w:p w14:paraId="5F69747F" w14:textId="77777777" w:rsidR="008544AA" w:rsidRPr="00DC1DE3" w:rsidRDefault="008544AA" w:rsidP="000655E5">
      <w:pPr>
        <w:pStyle w:val="BodyText"/>
      </w:pPr>
      <w:r w:rsidRPr="01476CFA">
        <w:rPr>
          <w:lang w:val="en-US"/>
        </w:rPr>
        <w:t xml:space="preserve">VOS uses </w:t>
      </w:r>
      <w:proofErr w:type="spellStart"/>
      <w:r w:rsidRPr="01476CFA">
        <w:rPr>
          <w:lang w:val="en-US"/>
        </w:rPr>
        <w:t>CKEditor</w:t>
      </w:r>
      <w:proofErr w:type="spellEnd"/>
      <w:r w:rsidRPr="01476CFA">
        <w:rPr>
          <w:lang w:val="en-US"/>
        </w:rPr>
        <w:t xml:space="preserve"> version 4.3.1</w:t>
      </w:r>
    </w:p>
    <w:p w14:paraId="0676E1A1" w14:textId="77777777" w:rsidR="008544AA" w:rsidRPr="00DC1DE3" w:rsidRDefault="008544AA" w:rsidP="000655E5">
      <w:pPr>
        <w:pStyle w:val="BodyText"/>
      </w:pPr>
      <w:r w:rsidRPr="01476CFA">
        <w:rPr>
          <w:lang w:val="en-US"/>
        </w:rPr>
        <w:t xml:space="preserve">The version 14.0 Virtual One Stop (VOS) currently uses version 4.3.1 of </w:t>
      </w:r>
      <w:proofErr w:type="spellStart"/>
      <w:r w:rsidRPr="01476CFA">
        <w:rPr>
          <w:lang w:val="en-US"/>
        </w:rPr>
        <w:t>CKEditor</w:t>
      </w:r>
      <w:proofErr w:type="spellEnd"/>
      <w:r w:rsidRPr="01476CFA">
        <w:rPr>
          <w:lang w:val="en-US"/>
        </w:rPr>
        <w:t xml:space="preserve">. </w:t>
      </w:r>
      <w:proofErr w:type="spellStart"/>
      <w:r w:rsidRPr="01476CFA">
        <w:rPr>
          <w:lang w:val="en-US"/>
        </w:rPr>
        <w:t>CKEditor</w:t>
      </w:r>
      <w:proofErr w:type="spellEnd"/>
      <w:r w:rsidRPr="01476CFA">
        <w:rPr>
          <w:lang w:val="en-US"/>
        </w:rPr>
        <w:t xml:space="preserve"> is used within the VOS system to allow you to use common word processing features in the system with such things as job descriptions, resumes, and cover letters.</w:t>
      </w:r>
    </w:p>
    <w:p w14:paraId="22F6C0D2" w14:textId="77777777" w:rsidR="008544AA" w:rsidRPr="00DC1DE3" w:rsidRDefault="008544AA" w:rsidP="000655E5">
      <w:pPr>
        <w:pStyle w:val="BodyText"/>
      </w:pPr>
      <w:proofErr w:type="spellStart"/>
      <w:r w:rsidRPr="01476CFA">
        <w:rPr>
          <w:lang w:val="en-US"/>
        </w:rPr>
        <w:t>CKEditor</w:t>
      </w:r>
      <w:proofErr w:type="spellEnd"/>
      <w:r w:rsidRPr="01476CFA">
        <w:rPr>
          <w:lang w:val="en-US"/>
        </w:rPr>
        <w:t xml:space="preserve"> supports all popular browsers, including Chrome, Firefox, Internet Explorer, Opera, and Safari. However, Internet Explorer 7 (or lower) and Firefox 3.6 are no longer supported (</w:t>
      </w:r>
      <w:proofErr w:type="spellStart"/>
      <w:r w:rsidRPr="01476CFA">
        <w:rPr>
          <w:lang w:val="en-US"/>
        </w:rPr>
        <w:t>CKEditor</w:t>
      </w:r>
      <w:proofErr w:type="spellEnd"/>
      <w:r w:rsidRPr="01476CFA">
        <w:rPr>
          <w:lang w:val="en-US"/>
        </w:rPr>
        <w:t xml:space="preserve"> 4.1.3 was the last version to support Internet Explorer 7 and Firefox 3.6).</w:t>
      </w:r>
    </w:p>
    <w:p w14:paraId="6C759D6F" w14:textId="77777777" w:rsidR="008544AA" w:rsidRPr="00DC1DE3" w:rsidRDefault="008544AA" w:rsidP="000655E5">
      <w:pPr>
        <w:pStyle w:val="BodyText"/>
      </w:pPr>
      <w:r w:rsidRPr="00DC1DE3">
        <w:t>It should also be noted that while the latest version of Safari is actively supported, earlier versions may have compatibility issues.</w:t>
      </w:r>
    </w:p>
    <w:p w14:paraId="7BBC2594" w14:textId="77777777" w:rsidR="008544AA" w:rsidRPr="00DC1DE3" w:rsidRDefault="008544AA" w:rsidP="000655E5">
      <w:pPr>
        <w:pStyle w:val="BodyText"/>
      </w:pPr>
      <w:r w:rsidRPr="00DC1DE3">
        <w:t>If using these unsupported browser versions, the browser should be updated to avoid compatibility issues.</w:t>
      </w:r>
    </w:p>
    <w:sectPr w:rsidR="008544AA" w:rsidRPr="00DC1DE3" w:rsidSect="00B54F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8A5A" w14:textId="77777777" w:rsidR="00DE3CF2" w:rsidRDefault="00DE3CF2" w:rsidP="00FC67D0">
      <w:pPr>
        <w:spacing w:after="0" w:line="240" w:lineRule="auto"/>
      </w:pPr>
      <w:r>
        <w:separator/>
      </w:r>
    </w:p>
    <w:p w14:paraId="030E5F36" w14:textId="77777777" w:rsidR="00DE3CF2" w:rsidRDefault="00DE3CF2"/>
  </w:endnote>
  <w:endnote w:type="continuationSeparator" w:id="0">
    <w:p w14:paraId="6D6D8665" w14:textId="77777777" w:rsidR="00DE3CF2" w:rsidRDefault="00DE3CF2" w:rsidP="00FC67D0">
      <w:pPr>
        <w:spacing w:after="0" w:line="240" w:lineRule="auto"/>
      </w:pPr>
      <w:r>
        <w:continuationSeparator/>
      </w:r>
    </w:p>
    <w:p w14:paraId="1DC9D0BF" w14:textId="77777777" w:rsidR="00DE3CF2" w:rsidRDefault="00DE3CF2"/>
  </w:endnote>
  <w:endnote w:type="continuationNotice" w:id="1">
    <w:p w14:paraId="2FD3ADC4" w14:textId="77777777" w:rsidR="00DE3CF2" w:rsidRDefault="00DE3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6C3A" w14:textId="77777777" w:rsidR="00B54F78" w:rsidRDefault="00B54F78">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5890C8E" w14:textId="4DF8E634" w:rsidR="007B2644" w:rsidRDefault="0035337F">
    <w:r>
      <w:t>EPTA PY 25-26 SFP                                                                                                                               December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35BB" w14:textId="7CFB4B0E" w:rsidR="0035337F" w:rsidRDefault="0035337F">
    <w:pPr>
      <w:pStyle w:val="Footer"/>
    </w:pPr>
    <w:r>
      <w:t>EPTA PY 25-26 SFP</w:t>
    </w:r>
    <w:r>
      <w:ptab w:relativeTo="margin" w:alignment="center" w:leader="none"/>
    </w:r>
    <w:r>
      <w:ptab w:relativeTo="margin" w:alignment="right" w:leader="none"/>
    </w: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D3AB" w14:textId="77777777" w:rsidR="00DE3CF2" w:rsidRDefault="00DE3CF2" w:rsidP="00FC67D0">
      <w:pPr>
        <w:spacing w:after="0" w:line="240" w:lineRule="auto"/>
      </w:pPr>
      <w:r>
        <w:separator/>
      </w:r>
    </w:p>
    <w:p w14:paraId="039510A1" w14:textId="77777777" w:rsidR="00DE3CF2" w:rsidRDefault="00DE3CF2"/>
  </w:footnote>
  <w:footnote w:type="continuationSeparator" w:id="0">
    <w:p w14:paraId="3CD4DFDC" w14:textId="77777777" w:rsidR="00DE3CF2" w:rsidRDefault="00DE3CF2" w:rsidP="00FC67D0">
      <w:pPr>
        <w:spacing w:after="0" w:line="240" w:lineRule="auto"/>
      </w:pPr>
      <w:r>
        <w:continuationSeparator/>
      </w:r>
    </w:p>
    <w:p w14:paraId="4D9CC434" w14:textId="77777777" w:rsidR="00DE3CF2" w:rsidRDefault="00DE3CF2"/>
  </w:footnote>
  <w:footnote w:type="continuationNotice" w:id="1">
    <w:p w14:paraId="68BF2724" w14:textId="77777777" w:rsidR="00DE3CF2" w:rsidRDefault="00DE3CF2">
      <w:pPr>
        <w:spacing w:after="0" w:line="240" w:lineRule="auto"/>
      </w:pPr>
    </w:p>
  </w:footnote>
  <w:footnote w:id="2">
    <w:p w14:paraId="040A0CF6" w14:textId="035C0C78" w:rsidR="00356D4A" w:rsidRDefault="00356D4A">
      <w:pPr>
        <w:pStyle w:val="FootnoteText"/>
      </w:pPr>
    </w:p>
  </w:footnote>
  <w:footnote w:id="3">
    <w:p w14:paraId="01C8095E" w14:textId="3B83699E" w:rsidR="00356D4A" w:rsidRDefault="00356D4A" w:rsidP="008544AA">
      <w:pPr>
        <w:pStyle w:val="FootnoteText"/>
        <w:rPr>
          <w:rStyle w:val="FootnoteReference"/>
          <w:rFonts w:ascii="Calibri" w:hAnsi="Calibri" w:cs="Calibri"/>
          <w:sz w:val="24"/>
        </w:rPr>
      </w:pPr>
    </w:p>
    <w:p w14:paraId="21BA55DB" w14:textId="55F32C7F" w:rsidR="008544AA" w:rsidRDefault="008544AA" w:rsidP="008544AA">
      <w:pPr>
        <w:pStyle w:val="FootnoteText"/>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34B"/>
    <w:multiLevelType w:val="multilevel"/>
    <w:tmpl w:val="E0A22B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2176E"/>
    <w:multiLevelType w:val="hybridMultilevel"/>
    <w:tmpl w:val="330C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1BEC"/>
    <w:multiLevelType w:val="hybridMultilevel"/>
    <w:tmpl w:val="D4F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17C"/>
    <w:multiLevelType w:val="hybridMultilevel"/>
    <w:tmpl w:val="418E444E"/>
    <w:lvl w:ilvl="0" w:tplc="75D6068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186E"/>
    <w:multiLevelType w:val="hybridMultilevel"/>
    <w:tmpl w:val="F3F2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E7155"/>
    <w:multiLevelType w:val="hybridMultilevel"/>
    <w:tmpl w:val="50DE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05A8D"/>
    <w:multiLevelType w:val="hybridMultilevel"/>
    <w:tmpl w:val="5E622890"/>
    <w:lvl w:ilvl="0" w:tplc="8814FC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32F"/>
    <w:multiLevelType w:val="hybridMultilevel"/>
    <w:tmpl w:val="F9FE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A1093"/>
    <w:multiLevelType w:val="hybridMultilevel"/>
    <w:tmpl w:val="137A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33776"/>
    <w:multiLevelType w:val="hybridMultilevel"/>
    <w:tmpl w:val="9AA2AD9A"/>
    <w:lvl w:ilvl="0" w:tplc="DF7ADF80">
      <w:start w:val="2"/>
      <w:numFmt w:val="decimal"/>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17491"/>
    <w:multiLevelType w:val="hybridMultilevel"/>
    <w:tmpl w:val="7684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C3590"/>
    <w:multiLevelType w:val="hybridMultilevel"/>
    <w:tmpl w:val="2DE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715D1"/>
    <w:multiLevelType w:val="hybridMultilevel"/>
    <w:tmpl w:val="20F81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3B2940"/>
    <w:multiLevelType w:val="hybridMultilevel"/>
    <w:tmpl w:val="72C8F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E00522"/>
    <w:multiLevelType w:val="hybridMultilevel"/>
    <w:tmpl w:val="390AC058"/>
    <w:lvl w:ilvl="0" w:tplc="1B666BFE">
      <w:start w:val="1"/>
      <w:numFmt w:val="upperLetter"/>
      <w:pStyle w:val="Heading3"/>
      <w:lvlText w:val="%1."/>
      <w:lvlJc w:val="left"/>
      <w:pPr>
        <w:ind w:left="720" w:hanging="360"/>
      </w:pPr>
      <w:rPr>
        <w:rFonts w:hint="default"/>
        <w:sz w:val="28"/>
        <w:szCs w:val="28"/>
      </w:rPr>
    </w:lvl>
    <w:lvl w:ilvl="1" w:tplc="1458C9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E06FC"/>
    <w:multiLevelType w:val="hybridMultilevel"/>
    <w:tmpl w:val="3186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74979"/>
    <w:multiLevelType w:val="hybridMultilevel"/>
    <w:tmpl w:val="B88E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0466F"/>
    <w:multiLevelType w:val="hybridMultilevel"/>
    <w:tmpl w:val="C74EB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410C02"/>
    <w:multiLevelType w:val="hybridMultilevel"/>
    <w:tmpl w:val="CB503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8396A"/>
    <w:multiLevelType w:val="hybridMultilevel"/>
    <w:tmpl w:val="23B6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A30DA"/>
    <w:multiLevelType w:val="hybridMultilevel"/>
    <w:tmpl w:val="934E8A7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F36AD"/>
    <w:multiLevelType w:val="hybridMultilevel"/>
    <w:tmpl w:val="6D9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73DD6"/>
    <w:multiLevelType w:val="hybridMultilevel"/>
    <w:tmpl w:val="D346B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C32541"/>
    <w:multiLevelType w:val="hybridMultilevel"/>
    <w:tmpl w:val="AA749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C82140"/>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E60CE5"/>
    <w:multiLevelType w:val="hybridMultilevel"/>
    <w:tmpl w:val="D5BA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36043"/>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8E663F"/>
    <w:multiLevelType w:val="hybridMultilevel"/>
    <w:tmpl w:val="7A929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C259E2"/>
    <w:multiLevelType w:val="hybridMultilevel"/>
    <w:tmpl w:val="C5EA46B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013136"/>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CC11BD"/>
    <w:multiLevelType w:val="hybridMultilevel"/>
    <w:tmpl w:val="532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224B63"/>
    <w:multiLevelType w:val="hybridMultilevel"/>
    <w:tmpl w:val="B30C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9630BA"/>
    <w:multiLevelType w:val="hybridMultilevel"/>
    <w:tmpl w:val="180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20E64"/>
    <w:multiLevelType w:val="hybridMultilevel"/>
    <w:tmpl w:val="9FF4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21E6A"/>
    <w:multiLevelType w:val="hybridMultilevel"/>
    <w:tmpl w:val="8BC0EB8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8" w15:restartNumberingAfterBreak="0">
    <w:nsid w:val="5A495A63"/>
    <w:multiLevelType w:val="hybridMultilevel"/>
    <w:tmpl w:val="B23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3041C"/>
    <w:multiLevelType w:val="hybridMultilevel"/>
    <w:tmpl w:val="A7E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0E479F"/>
    <w:multiLevelType w:val="hybridMultilevel"/>
    <w:tmpl w:val="EA74F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F21BBC"/>
    <w:multiLevelType w:val="hybridMultilevel"/>
    <w:tmpl w:val="FA32E2E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2" w15:restartNumberingAfterBreak="0">
    <w:nsid w:val="6F6A0932"/>
    <w:multiLevelType w:val="hybridMultilevel"/>
    <w:tmpl w:val="DF1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A0F4C"/>
    <w:multiLevelType w:val="hybridMultilevel"/>
    <w:tmpl w:val="26CC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E03B2"/>
    <w:multiLevelType w:val="hybridMultilevel"/>
    <w:tmpl w:val="D646C012"/>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5" w15:restartNumberingAfterBreak="0">
    <w:nsid w:val="75F34F55"/>
    <w:multiLevelType w:val="hybridMultilevel"/>
    <w:tmpl w:val="FD1CA31E"/>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6" w15:restartNumberingAfterBreak="0">
    <w:nsid w:val="761B3590"/>
    <w:multiLevelType w:val="hybridMultilevel"/>
    <w:tmpl w:val="0F84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BB3FCD"/>
    <w:multiLevelType w:val="hybridMultilevel"/>
    <w:tmpl w:val="1EDA0820"/>
    <w:lvl w:ilvl="0" w:tplc="FFFFFFF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3646E5"/>
    <w:multiLevelType w:val="hybridMultilevel"/>
    <w:tmpl w:val="F9781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607CB2"/>
    <w:multiLevelType w:val="hybridMultilevel"/>
    <w:tmpl w:val="3040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71370">
    <w:abstractNumId w:val="5"/>
  </w:num>
  <w:num w:numId="2" w16cid:durableId="591814336">
    <w:abstractNumId w:val="31"/>
  </w:num>
  <w:num w:numId="3" w16cid:durableId="65303799">
    <w:abstractNumId w:val="28"/>
  </w:num>
  <w:num w:numId="4" w16cid:durableId="510336298">
    <w:abstractNumId w:val="3"/>
  </w:num>
  <w:num w:numId="5" w16cid:durableId="1407268508">
    <w:abstractNumId w:val="10"/>
  </w:num>
  <w:num w:numId="6" w16cid:durableId="715934385">
    <w:abstractNumId w:val="15"/>
    <w:lvlOverride w:ilvl="0">
      <w:startOverride w:val="1"/>
    </w:lvlOverride>
  </w:num>
  <w:num w:numId="7" w16cid:durableId="1430350006">
    <w:abstractNumId w:val="15"/>
    <w:lvlOverride w:ilvl="0">
      <w:startOverride w:val="1"/>
    </w:lvlOverride>
  </w:num>
  <w:num w:numId="8" w16cid:durableId="1501122778">
    <w:abstractNumId w:val="15"/>
    <w:lvlOverride w:ilvl="0">
      <w:startOverride w:val="1"/>
    </w:lvlOverride>
  </w:num>
  <w:num w:numId="9" w16cid:durableId="1261983791">
    <w:abstractNumId w:val="15"/>
    <w:lvlOverride w:ilvl="0">
      <w:startOverride w:val="1"/>
    </w:lvlOverride>
  </w:num>
  <w:num w:numId="10" w16cid:durableId="2065060315">
    <w:abstractNumId w:val="15"/>
    <w:lvlOverride w:ilvl="0">
      <w:startOverride w:val="1"/>
    </w:lvlOverride>
  </w:num>
  <w:num w:numId="11" w16cid:durableId="2030138798">
    <w:abstractNumId w:val="30"/>
  </w:num>
  <w:num w:numId="12" w16cid:durableId="1535072487">
    <w:abstractNumId w:val="47"/>
  </w:num>
  <w:num w:numId="13" w16cid:durableId="1256742125">
    <w:abstractNumId w:val="15"/>
    <w:lvlOverride w:ilvl="0">
      <w:startOverride w:val="1"/>
    </w:lvlOverride>
  </w:num>
  <w:num w:numId="14" w16cid:durableId="94137096">
    <w:abstractNumId w:val="15"/>
    <w:lvlOverride w:ilvl="0">
      <w:startOverride w:val="1"/>
    </w:lvlOverride>
  </w:num>
  <w:num w:numId="15" w16cid:durableId="1948082163">
    <w:abstractNumId w:val="7"/>
  </w:num>
  <w:num w:numId="16" w16cid:durableId="755176915">
    <w:abstractNumId w:val="32"/>
  </w:num>
  <w:num w:numId="17" w16cid:durableId="1261068351">
    <w:abstractNumId w:val="26"/>
  </w:num>
  <w:num w:numId="18" w16cid:durableId="1194151487">
    <w:abstractNumId w:val="25"/>
  </w:num>
  <w:num w:numId="19" w16cid:durableId="131993391">
    <w:abstractNumId w:val="15"/>
  </w:num>
  <w:num w:numId="20" w16cid:durableId="1842230753">
    <w:abstractNumId w:val="22"/>
  </w:num>
  <w:num w:numId="21" w16cid:durableId="823812243">
    <w:abstractNumId w:val="19"/>
  </w:num>
  <w:num w:numId="22" w16cid:durableId="1711609398">
    <w:abstractNumId w:val="24"/>
  </w:num>
  <w:num w:numId="23" w16cid:durableId="1500996315">
    <w:abstractNumId w:val="23"/>
  </w:num>
  <w:num w:numId="24" w16cid:durableId="68044355">
    <w:abstractNumId w:val="21"/>
  </w:num>
  <w:num w:numId="25" w16cid:durableId="1825118170">
    <w:abstractNumId w:val="17"/>
  </w:num>
  <w:num w:numId="26" w16cid:durableId="595094862">
    <w:abstractNumId w:val="4"/>
  </w:num>
  <w:num w:numId="27" w16cid:durableId="996684468">
    <w:abstractNumId w:val="34"/>
  </w:num>
  <w:num w:numId="28" w16cid:durableId="1594824107">
    <w:abstractNumId w:val="49"/>
  </w:num>
  <w:num w:numId="29" w16cid:durableId="1823888354">
    <w:abstractNumId w:val="33"/>
  </w:num>
  <w:num w:numId="30" w16cid:durableId="1098058946">
    <w:abstractNumId w:val="9"/>
  </w:num>
  <w:num w:numId="31" w16cid:durableId="1736049234">
    <w:abstractNumId w:val="20"/>
  </w:num>
  <w:num w:numId="32" w16cid:durableId="1861165889">
    <w:abstractNumId w:val="12"/>
  </w:num>
  <w:num w:numId="33" w16cid:durableId="1861896001">
    <w:abstractNumId w:val="27"/>
  </w:num>
  <w:num w:numId="34" w16cid:durableId="575090437">
    <w:abstractNumId w:val="8"/>
  </w:num>
  <w:num w:numId="35" w16cid:durableId="524248520">
    <w:abstractNumId w:val="46"/>
  </w:num>
  <w:num w:numId="36" w16cid:durableId="671224832">
    <w:abstractNumId w:val="43"/>
  </w:num>
  <w:num w:numId="37" w16cid:durableId="1767964875">
    <w:abstractNumId w:val="6"/>
  </w:num>
  <w:num w:numId="38" w16cid:durableId="324359764">
    <w:abstractNumId w:val="2"/>
  </w:num>
  <w:num w:numId="39" w16cid:durableId="371151374">
    <w:abstractNumId w:val="11"/>
  </w:num>
  <w:num w:numId="40" w16cid:durableId="1642420150">
    <w:abstractNumId w:val="16"/>
  </w:num>
  <w:num w:numId="41" w16cid:durableId="2042433392">
    <w:abstractNumId w:val="39"/>
  </w:num>
  <w:num w:numId="42" w16cid:durableId="21132137">
    <w:abstractNumId w:val="0"/>
  </w:num>
  <w:num w:numId="43" w16cid:durableId="1670214358">
    <w:abstractNumId w:val="35"/>
  </w:num>
  <w:num w:numId="44" w16cid:durableId="1015184364">
    <w:abstractNumId w:val="36"/>
  </w:num>
  <w:num w:numId="45" w16cid:durableId="1390684702">
    <w:abstractNumId w:val="1"/>
  </w:num>
  <w:num w:numId="46" w16cid:durableId="1048338603">
    <w:abstractNumId w:val="38"/>
  </w:num>
  <w:num w:numId="47" w16cid:durableId="1479614044">
    <w:abstractNumId w:val="42"/>
  </w:num>
  <w:num w:numId="48" w16cid:durableId="907156539">
    <w:abstractNumId w:val="29"/>
  </w:num>
  <w:num w:numId="49" w16cid:durableId="1449853058">
    <w:abstractNumId w:val="14"/>
  </w:num>
  <w:num w:numId="50" w16cid:durableId="587156405">
    <w:abstractNumId w:val="18"/>
  </w:num>
  <w:num w:numId="51" w16cid:durableId="1563173459">
    <w:abstractNumId w:val="45"/>
  </w:num>
  <w:num w:numId="52" w16cid:durableId="1534228567">
    <w:abstractNumId w:val="48"/>
  </w:num>
  <w:num w:numId="53" w16cid:durableId="1169829224">
    <w:abstractNumId w:val="13"/>
  </w:num>
  <w:num w:numId="54" w16cid:durableId="703871992">
    <w:abstractNumId w:val="40"/>
  </w:num>
  <w:num w:numId="55" w16cid:durableId="405539733">
    <w:abstractNumId w:val="44"/>
  </w:num>
  <w:num w:numId="56" w16cid:durableId="356082340">
    <w:abstractNumId w:val="41"/>
  </w:num>
  <w:num w:numId="57" w16cid:durableId="20937751">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zQ0NDUxtTQxNzFV0lEKTi0uzszPAykwt6wFAF/2UmMtAAAA"/>
  </w:docVars>
  <w:rsids>
    <w:rsidRoot w:val="002B0D2A"/>
    <w:rsid w:val="00000025"/>
    <w:rsid w:val="00001AF4"/>
    <w:rsid w:val="00003C4F"/>
    <w:rsid w:val="00003FA0"/>
    <w:rsid w:val="00006B6B"/>
    <w:rsid w:val="0001121A"/>
    <w:rsid w:val="00012FC7"/>
    <w:rsid w:val="00014D72"/>
    <w:rsid w:val="000156CE"/>
    <w:rsid w:val="00016B79"/>
    <w:rsid w:val="000228EA"/>
    <w:rsid w:val="00023276"/>
    <w:rsid w:val="00023511"/>
    <w:rsid w:val="00024A60"/>
    <w:rsid w:val="000255D4"/>
    <w:rsid w:val="00027CB7"/>
    <w:rsid w:val="000316AD"/>
    <w:rsid w:val="00034807"/>
    <w:rsid w:val="0003491F"/>
    <w:rsid w:val="000364FA"/>
    <w:rsid w:val="0003651C"/>
    <w:rsid w:val="000461D9"/>
    <w:rsid w:val="000502E0"/>
    <w:rsid w:val="00050876"/>
    <w:rsid w:val="00052135"/>
    <w:rsid w:val="0005291C"/>
    <w:rsid w:val="000541C2"/>
    <w:rsid w:val="00054E75"/>
    <w:rsid w:val="00054FF2"/>
    <w:rsid w:val="00056C38"/>
    <w:rsid w:val="00061111"/>
    <w:rsid w:val="000621DA"/>
    <w:rsid w:val="0006315C"/>
    <w:rsid w:val="00064B73"/>
    <w:rsid w:val="0006537B"/>
    <w:rsid w:val="000654E8"/>
    <w:rsid w:val="000655E5"/>
    <w:rsid w:val="00072599"/>
    <w:rsid w:val="00073F95"/>
    <w:rsid w:val="0007435F"/>
    <w:rsid w:val="00075464"/>
    <w:rsid w:val="0007649B"/>
    <w:rsid w:val="00080D80"/>
    <w:rsid w:val="0008227A"/>
    <w:rsid w:val="000822FE"/>
    <w:rsid w:val="000826D0"/>
    <w:rsid w:val="0008594D"/>
    <w:rsid w:val="00086CF0"/>
    <w:rsid w:val="000920D7"/>
    <w:rsid w:val="00094E0C"/>
    <w:rsid w:val="00097021"/>
    <w:rsid w:val="00097025"/>
    <w:rsid w:val="000975E1"/>
    <w:rsid w:val="00097735"/>
    <w:rsid w:val="000A1F52"/>
    <w:rsid w:val="000A3797"/>
    <w:rsid w:val="000A46D7"/>
    <w:rsid w:val="000A5121"/>
    <w:rsid w:val="000B05FF"/>
    <w:rsid w:val="000B0D84"/>
    <w:rsid w:val="000B1B5E"/>
    <w:rsid w:val="000B24D3"/>
    <w:rsid w:val="000B344E"/>
    <w:rsid w:val="000B38A1"/>
    <w:rsid w:val="000B3C87"/>
    <w:rsid w:val="000B3D8E"/>
    <w:rsid w:val="000B6392"/>
    <w:rsid w:val="000B69C2"/>
    <w:rsid w:val="000B71BB"/>
    <w:rsid w:val="000B76D6"/>
    <w:rsid w:val="000C2232"/>
    <w:rsid w:val="000C2687"/>
    <w:rsid w:val="000C26DD"/>
    <w:rsid w:val="000C271D"/>
    <w:rsid w:val="000C39F0"/>
    <w:rsid w:val="000C3EC4"/>
    <w:rsid w:val="000C4ACF"/>
    <w:rsid w:val="000D2FB7"/>
    <w:rsid w:val="000D4B34"/>
    <w:rsid w:val="000D5B0E"/>
    <w:rsid w:val="000D5FEF"/>
    <w:rsid w:val="000D62BC"/>
    <w:rsid w:val="000D76F2"/>
    <w:rsid w:val="000E231F"/>
    <w:rsid w:val="000E27FB"/>
    <w:rsid w:val="000E5A3D"/>
    <w:rsid w:val="000E5B64"/>
    <w:rsid w:val="000E63FF"/>
    <w:rsid w:val="000F0355"/>
    <w:rsid w:val="000F402C"/>
    <w:rsid w:val="000F5868"/>
    <w:rsid w:val="000F5E2F"/>
    <w:rsid w:val="00102A6F"/>
    <w:rsid w:val="00107205"/>
    <w:rsid w:val="00113FDF"/>
    <w:rsid w:val="001142C6"/>
    <w:rsid w:val="001161D9"/>
    <w:rsid w:val="00116A94"/>
    <w:rsid w:val="001179CF"/>
    <w:rsid w:val="00117B79"/>
    <w:rsid w:val="001212B1"/>
    <w:rsid w:val="00122285"/>
    <w:rsid w:val="001228D1"/>
    <w:rsid w:val="00125290"/>
    <w:rsid w:val="00126676"/>
    <w:rsid w:val="001304BF"/>
    <w:rsid w:val="00137533"/>
    <w:rsid w:val="00137F70"/>
    <w:rsid w:val="00141020"/>
    <w:rsid w:val="00141E14"/>
    <w:rsid w:val="0014312F"/>
    <w:rsid w:val="00146010"/>
    <w:rsid w:val="001508B3"/>
    <w:rsid w:val="00151071"/>
    <w:rsid w:val="00151B7D"/>
    <w:rsid w:val="00153CEE"/>
    <w:rsid w:val="00172F4F"/>
    <w:rsid w:val="001736CE"/>
    <w:rsid w:val="00174C0E"/>
    <w:rsid w:val="00174C51"/>
    <w:rsid w:val="0017638E"/>
    <w:rsid w:val="00176A29"/>
    <w:rsid w:val="00176BB7"/>
    <w:rsid w:val="00177B5C"/>
    <w:rsid w:val="0018139E"/>
    <w:rsid w:val="001824C3"/>
    <w:rsid w:val="00185549"/>
    <w:rsid w:val="00186D21"/>
    <w:rsid w:val="0019139B"/>
    <w:rsid w:val="0019439A"/>
    <w:rsid w:val="00196503"/>
    <w:rsid w:val="001A1371"/>
    <w:rsid w:val="001A3BFE"/>
    <w:rsid w:val="001A4472"/>
    <w:rsid w:val="001A4542"/>
    <w:rsid w:val="001A4A1F"/>
    <w:rsid w:val="001A7E7D"/>
    <w:rsid w:val="001B024F"/>
    <w:rsid w:val="001B3EC1"/>
    <w:rsid w:val="001B49AA"/>
    <w:rsid w:val="001B5CA4"/>
    <w:rsid w:val="001B76B1"/>
    <w:rsid w:val="001B7C32"/>
    <w:rsid w:val="001C2CE0"/>
    <w:rsid w:val="001C3BB2"/>
    <w:rsid w:val="001C5257"/>
    <w:rsid w:val="001C5616"/>
    <w:rsid w:val="001C7600"/>
    <w:rsid w:val="001D1507"/>
    <w:rsid w:val="001D3457"/>
    <w:rsid w:val="001D54C5"/>
    <w:rsid w:val="001D54FE"/>
    <w:rsid w:val="001D732D"/>
    <w:rsid w:val="001E1171"/>
    <w:rsid w:val="001E6DD6"/>
    <w:rsid w:val="001E76AD"/>
    <w:rsid w:val="001E772D"/>
    <w:rsid w:val="001F1568"/>
    <w:rsid w:val="001F4014"/>
    <w:rsid w:val="001F5FE8"/>
    <w:rsid w:val="001F6C53"/>
    <w:rsid w:val="001F70C4"/>
    <w:rsid w:val="001F7532"/>
    <w:rsid w:val="00202B06"/>
    <w:rsid w:val="0020385C"/>
    <w:rsid w:val="00205B44"/>
    <w:rsid w:val="00206475"/>
    <w:rsid w:val="002073D1"/>
    <w:rsid w:val="002104AB"/>
    <w:rsid w:val="00213092"/>
    <w:rsid w:val="00213A79"/>
    <w:rsid w:val="00216CCD"/>
    <w:rsid w:val="002175B5"/>
    <w:rsid w:val="00217671"/>
    <w:rsid w:val="002219EB"/>
    <w:rsid w:val="002220BC"/>
    <w:rsid w:val="00222D55"/>
    <w:rsid w:val="00224092"/>
    <w:rsid w:val="00225C6F"/>
    <w:rsid w:val="00226A21"/>
    <w:rsid w:val="0022708B"/>
    <w:rsid w:val="002302D8"/>
    <w:rsid w:val="00232864"/>
    <w:rsid w:val="00232E00"/>
    <w:rsid w:val="002349F3"/>
    <w:rsid w:val="00237265"/>
    <w:rsid w:val="00237A39"/>
    <w:rsid w:val="002406C3"/>
    <w:rsid w:val="00240936"/>
    <w:rsid w:val="002410A7"/>
    <w:rsid w:val="002419DF"/>
    <w:rsid w:val="00241EF4"/>
    <w:rsid w:val="00250A77"/>
    <w:rsid w:val="00252DBE"/>
    <w:rsid w:val="00255184"/>
    <w:rsid w:val="002614F4"/>
    <w:rsid w:val="002615BB"/>
    <w:rsid w:val="00262373"/>
    <w:rsid w:val="00263268"/>
    <w:rsid w:val="00264C46"/>
    <w:rsid w:val="00267DD6"/>
    <w:rsid w:val="00270C17"/>
    <w:rsid w:val="00270E57"/>
    <w:rsid w:val="00270F3F"/>
    <w:rsid w:val="00281333"/>
    <w:rsid w:val="00281622"/>
    <w:rsid w:val="002816DB"/>
    <w:rsid w:val="00285F6D"/>
    <w:rsid w:val="0028672B"/>
    <w:rsid w:val="00291014"/>
    <w:rsid w:val="002938F3"/>
    <w:rsid w:val="002A1C88"/>
    <w:rsid w:val="002A53BD"/>
    <w:rsid w:val="002A76BF"/>
    <w:rsid w:val="002A7BA7"/>
    <w:rsid w:val="002B0069"/>
    <w:rsid w:val="002B0700"/>
    <w:rsid w:val="002B0D2A"/>
    <w:rsid w:val="002B6EDF"/>
    <w:rsid w:val="002B6FFE"/>
    <w:rsid w:val="002C2334"/>
    <w:rsid w:val="002C2B93"/>
    <w:rsid w:val="002C30AC"/>
    <w:rsid w:val="002C366F"/>
    <w:rsid w:val="002C38EA"/>
    <w:rsid w:val="002C6186"/>
    <w:rsid w:val="002D1618"/>
    <w:rsid w:val="002D4B2F"/>
    <w:rsid w:val="002D5878"/>
    <w:rsid w:val="002D6657"/>
    <w:rsid w:val="002D7B8E"/>
    <w:rsid w:val="002E2913"/>
    <w:rsid w:val="002E59D4"/>
    <w:rsid w:val="002E5EFE"/>
    <w:rsid w:val="002E6CDA"/>
    <w:rsid w:val="002E71CA"/>
    <w:rsid w:val="002E7EDD"/>
    <w:rsid w:val="002F011B"/>
    <w:rsid w:val="002F2481"/>
    <w:rsid w:val="002F34E8"/>
    <w:rsid w:val="002F668C"/>
    <w:rsid w:val="00301C8D"/>
    <w:rsid w:val="00303168"/>
    <w:rsid w:val="003036B3"/>
    <w:rsid w:val="003040B5"/>
    <w:rsid w:val="0030571A"/>
    <w:rsid w:val="00305BF0"/>
    <w:rsid w:val="003068C2"/>
    <w:rsid w:val="00307A47"/>
    <w:rsid w:val="003117B7"/>
    <w:rsid w:val="00312640"/>
    <w:rsid w:val="003135AF"/>
    <w:rsid w:val="003135C9"/>
    <w:rsid w:val="003154FF"/>
    <w:rsid w:val="0031616A"/>
    <w:rsid w:val="003327A5"/>
    <w:rsid w:val="00335924"/>
    <w:rsid w:val="0033630C"/>
    <w:rsid w:val="00337045"/>
    <w:rsid w:val="00340F72"/>
    <w:rsid w:val="00341F38"/>
    <w:rsid w:val="00345885"/>
    <w:rsid w:val="003458C5"/>
    <w:rsid w:val="0034591D"/>
    <w:rsid w:val="00346717"/>
    <w:rsid w:val="0035337F"/>
    <w:rsid w:val="00353548"/>
    <w:rsid w:val="00356979"/>
    <w:rsid w:val="00356D4A"/>
    <w:rsid w:val="00361ADE"/>
    <w:rsid w:val="00361D57"/>
    <w:rsid w:val="00361D6A"/>
    <w:rsid w:val="0036536D"/>
    <w:rsid w:val="00365D2C"/>
    <w:rsid w:val="00371A69"/>
    <w:rsid w:val="003749A1"/>
    <w:rsid w:val="00375307"/>
    <w:rsid w:val="003801ED"/>
    <w:rsid w:val="003802E3"/>
    <w:rsid w:val="0038169D"/>
    <w:rsid w:val="00381807"/>
    <w:rsid w:val="00382343"/>
    <w:rsid w:val="003869E0"/>
    <w:rsid w:val="003878AC"/>
    <w:rsid w:val="0039082C"/>
    <w:rsid w:val="003916D1"/>
    <w:rsid w:val="00393361"/>
    <w:rsid w:val="0039716A"/>
    <w:rsid w:val="003A21DD"/>
    <w:rsid w:val="003A2ABF"/>
    <w:rsid w:val="003A2EC4"/>
    <w:rsid w:val="003B197A"/>
    <w:rsid w:val="003B2E04"/>
    <w:rsid w:val="003B3C88"/>
    <w:rsid w:val="003B498D"/>
    <w:rsid w:val="003B61A8"/>
    <w:rsid w:val="003B7B85"/>
    <w:rsid w:val="003C29E9"/>
    <w:rsid w:val="003C3107"/>
    <w:rsid w:val="003C542E"/>
    <w:rsid w:val="003D05B3"/>
    <w:rsid w:val="003D4842"/>
    <w:rsid w:val="003D4F93"/>
    <w:rsid w:val="003D5874"/>
    <w:rsid w:val="003D5AD4"/>
    <w:rsid w:val="003E4AEB"/>
    <w:rsid w:val="003E623C"/>
    <w:rsid w:val="003E66B0"/>
    <w:rsid w:val="003F2C1C"/>
    <w:rsid w:val="003F46DF"/>
    <w:rsid w:val="003F4C07"/>
    <w:rsid w:val="003F6810"/>
    <w:rsid w:val="003F6B39"/>
    <w:rsid w:val="003F76C2"/>
    <w:rsid w:val="00402D3D"/>
    <w:rsid w:val="00402E42"/>
    <w:rsid w:val="00404DB9"/>
    <w:rsid w:val="00406467"/>
    <w:rsid w:val="004104C8"/>
    <w:rsid w:val="004106C9"/>
    <w:rsid w:val="00410D44"/>
    <w:rsid w:val="00411300"/>
    <w:rsid w:val="00412B9A"/>
    <w:rsid w:val="00413F0E"/>
    <w:rsid w:val="004161D3"/>
    <w:rsid w:val="004205FF"/>
    <w:rsid w:val="00420DA8"/>
    <w:rsid w:val="00434EEC"/>
    <w:rsid w:val="00435131"/>
    <w:rsid w:val="0043765F"/>
    <w:rsid w:val="004413BA"/>
    <w:rsid w:val="00441B09"/>
    <w:rsid w:val="00444B2B"/>
    <w:rsid w:val="00445C3D"/>
    <w:rsid w:val="00446CD9"/>
    <w:rsid w:val="00455FFA"/>
    <w:rsid w:val="004565E0"/>
    <w:rsid w:val="00460205"/>
    <w:rsid w:val="0046226D"/>
    <w:rsid w:val="00462ED6"/>
    <w:rsid w:val="004644A7"/>
    <w:rsid w:val="004663F8"/>
    <w:rsid w:val="0047449C"/>
    <w:rsid w:val="004757D9"/>
    <w:rsid w:val="00482377"/>
    <w:rsid w:val="004836CB"/>
    <w:rsid w:val="0048507D"/>
    <w:rsid w:val="00486A84"/>
    <w:rsid w:val="00487F6B"/>
    <w:rsid w:val="004934DD"/>
    <w:rsid w:val="00493B7D"/>
    <w:rsid w:val="00495FAB"/>
    <w:rsid w:val="0049609B"/>
    <w:rsid w:val="004A10F0"/>
    <w:rsid w:val="004B4868"/>
    <w:rsid w:val="004C0B40"/>
    <w:rsid w:val="004C5FBE"/>
    <w:rsid w:val="004C6428"/>
    <w:rsid w:val="004C67E7"/>
    <w:rsid w:val="004C773C"/>
    <w:rsid w:val="004D2218"/>
    <w:rsid w:val="004D5880"/>
    <w:rsid w:val="004E020B"/>
    <w:rsid w:val="004E0C75"/>
    <w:rsid w:val="004E13D0"/>
    <w:rsid w:val="004E2D12"/>
    <w:rsid w:val="004E5F7B"/>
    <w:rsid w:val="00502A63"/>
    <w:rsid w:val="00503C53"/>
    <w:rsid w:val="00504A49"/>
    <w:rsid w:val="00507468"/>
    <w:rsid w:val="0051023C"/>
    <w:rsid w:val="00510FF7"/>
    <w:rsid w:val="00512E42"/>
    <w:rsid w:val="00513A3D"/>
    <w:rsid w:val="00513ABB"/>
    <w:rsid w:val="005141CF"/>
    <w:rsid w:val="005153C1"/>
    <w:rsid w:val="005177D7"/>
    <w:rsid w:val="0052155C"/>
    <w:rsid w:val="0052322A"/>
    <w:rsid w:val="00526515"/>
    <w:rsid w:val="00526EB1"/>
    <w:rsid w:val="00527A00"/>
    <w:rsid w:val="00530AD8"/>
    <w:rsid w:val="00530B99"/>
    <w:rsid w:val="00531EA2"/>
    <w:rsid w:val="005323E4"/>
    <w:rsid w:val="0053530A"/>
    <w:rsid w:val="005364BE"/>
    <w:rsid w:val="00541D1C"/>
    <w:rsid w:val="00543289"/>
    <w:rsid w:val="00544317"/>
    <w:rsid w:val="00544A1E"/>
    <w:rsid w:val="00547829"/>
    <w:rsid w:val="0055121C"/>
    <w:rsid w:val="00554447"/>
    <w:rsid w:val="005554E7"/>
    <w:rsid w:val="00556FAC"/>
    <w:rsid w:val="00560843"/>
    <w:rsid w:val="00561869"/>
    <w:rsid w:val="0056697C"/>
    <w:rsid w:val="00566B11"/>
    <w:rsid w:val="00570230"/>
    <w:rsid w:val="00570A23"/>
    <w:rsid w:val="005725CD"/>
    <w:rsid w:val="0057287D"/>
    <w:rsid w:val="00572C11"/>
    <w:rsid w:val="00575935"/>
    <w:rsid w:val="0057774B"/>
    <w:rsid w:val="00577993"/>
    <w:rsid w:val="00577B40"/>
    <w:rsid w:val="005839A1"/>
    <w:rsid w:val="005848F4"/>
    <w:rsid w:val="005861D0"/>
    <w:rsid w:val="0058695E"/>
    <w:rsid w:val="0058765B"/>
    <w:rsid w:val="00591189"/>
    <w:rsid w:val="00593241"/>
    <w:rsid w:val="00596F06"/>
    <w:rsid w:val="005A27A8"/>
    <w:rsid w:val="005A2EF6"/>
    <w:rsid w:val="005A3EAF"/>
    <w:rsid w:val="005A5601"/>
    <w:rsid w:val="005B092E"/>
    <w:rsid w:val="005B220D"/>
    <w:rsid w:val="005B23EA"/>
    <w:rsid w:val="005B34FE"/>
    <w:rsid w:val="005B3820"/>
    <w:rsid w:val="005B7723"/>
    <w:rsid w:val="005C081A"/>
    <w:rsid w:val="005C1696"/>
    <w:rsid w:val="005C19FC"/>
    <w:rsid w:val="005C205E"/>
    <w:rsid w:val="005C2538"/>
    <w:rsid w:val="005C7F79"/>
    <w:rsid w:val="005D583A"/>
    <w:rsid w:val="005D6E12"/>
    <w:rsid w:val="005E305E"/>
    <w:rsid w:val="005E4D60"/>
    <w:rsid w:val="005E53B7"/>
    <w:rsid w:val="005E7739"/>
    <w:rsid w:val="005E7C94"/>
    <w:rsid w:val="005F0B53"/>
    <w:rsid w:val="005F1246"/>
    <w:rsid w:val="005F232B"/>
    <w:rsid w:val="005F6152"/>
    <w:rsid w:val="00600A1F"/>
    <w:rsid w:val="0060258D"/>
    <w:rsid w:val="0060283B"/>
    <w:rsid w:val="00602C76"/>
    <w:rsid w:val="00604BE1"/>
    <w:rsid w:val="00604F0B"/>
    <w:rsid w:val="00611313"/>
    <w:rsid w:val="006113A6"/>
    <w:rsid w:val="00613162"/>
    <w:rsid w:val="00620D7F"/>
    <w:rsid w:val="00621327"/>
    <w:rsid w:val="006213B1"/>
    <w:rsid w:val="006260A2"/>
    <w:rsid w:val="0062633F"/>
    <w:rsid w:val="0063249C"/>
    <w:rsid w:val="00632C8F"/>
    <w:rsid w:val="006335CA"/>
    <w:rsid w:val="00633E67"/>
    <w:rsid w:val="00633F23"/>
    <w:rsid w:val="00634DE3"/>
    <w:rsid w:val="006356CC"/>
    <w:rsid w:val="00636646"/>
    <w:rsid w:val="006378EC"/>
    <w:rsid w:val="00640009"/>
    <w:rsid w:val="00640307"/>
    <w:rsid w:val="006455D4"/>
    <w:rsid w:val="00645858"/>
    <w:rsid w:val="00646151"/>
    <w:rsid w:val="00647BDA"/>
    <w:rsid w:val="006515ED"/>
    <w:rsid w:val="0065213E"/>
    <w:rsid w:val="00655E16"/>
    <w:rsid w:val="00662D65"/>
    <w:rsid w:val="00666A25"/>
    <w:rsid w:val="00680566"/>
    <w:rsid w:val="00680774"/>
    <w:rsid w:val="0068121A"/>
    <w:rsid w:val="00682443"/>
    <w:rsid w:val="00683186"/>
    <w:rsid w:val="00684366"/>
    <w:rsid w:val="00686059"/>
    <w:rsid w:val="00690693"/>
    <w:rsid w:val="00691BAA"/>
    <w:rsid w:val="0069351D"/>
    <w:rsid w:val="006939CE"/>
    <w:rsid w:val="0069461F"/>
    <w:rsid w:val="00697B90"/>
    <w:rsid w:val="00697F6A"/>
    <w:rsid w:val="006A0B36"/>
    <w:rsid w:val="006A6026"/>
    <w:rsid w:val="006A7082"/>
    <w:rsid w:val="006B0417"/>
    <w:rsid w:val="006B27D5"/>
    <w:rsid w:val="006B3DA7"/>
    <w:rsid w:val="006B410E"/>
    <w:rsid w:val="006B5330"/>
    <w:rsid w:val="006B74FF"/>
    <w:rsid w:val="006B7C12"/>
    <w:rsid w:val="006C0264"/>
    <w:rsid w:val="006C02FC"/>
    <w:rsid w:val="006C1536"/>
    <w:rsid w:val="006C33D7"/>
    <w:rsid w:val="006C5BCA"/>
    <w:rsid w:val="006C6F87"/>
    <w:rsid w:val="006D0826"/>
    <w:rsid w:val="006D171A"/>
    <w:rsid w:val="006D18DF"/>
    <w:rsid w:val="006D1BEC"/>
    <w:rsid w:val="006D287A"/>
    <w:rsid w:val="006D7394"/>
    <w:rsid w:val="006D773E"/>
    <w:rsid w:val="006E259A"/>
    <w:rsid w:val="006E67FB"/>
    <w:rsid w:val="006E6A21"/>
    <w:rsid w:val="006E7719"/>
    <w:rsid w:val="006F115E"/>
    <w:rsid w:val="006F1BDB"/>
    <w:rsid w:val="006F1F9C"/>
    <w:rsid w:val="006F3BA3"/>
    <w:rsid w:val="006F41B5"/>
    <w:rsid w:val="006F5C48"/>
    <w:rsid w:val="006F68D6"/>
    <w:rsid w:val="00702A80"/>
    <w:rsid w:val="00703470"/>
    <w:rsid w:val="00703597"/>
    <w:rsid w:val="00706F7A"/>
    <w:rsid w:val="00707BC8"/>
    <w:rsid w:val="00707E6F"/>
    <w:rsid w:val="0071270A"/>
    <w:rsid w:val="00712F21"/>
    <w:rsid w:val="00713090"/>
    <w:rsid w:val="007134DF"/>
    <w:rsid w:val="00717C2C"/>
    <w:rsid w:val="0072088B"/>
    <w:rsid w:val="00720F1F"/>
    <w:rsid w:val="00721983"/>
    <w:rsid w:val="007233AF"/>
    <w:rsid w:val="00723B83"/>
    <w:rsid w:val="00731090"/>
    <w:rsid w:val="00733A63"/>
    <w:rsid w:val="00733CB4"/>
    <w:rsid w:val="00733F25"/>
    <w:rsid w:val="00737A61"/>
    <w:rsid w:val="00740ADD"/>
    <w:rsid w:val="00742E8A"/>
    <w:rsid w:val="00746042"/>
    <w:rsid w:val="00747A3E"/>
    <w:rsid w:val="00754372"/>
    <w:rsid w:val="00755C30"/>
    <w:rsid w:val="00757542"/>
    <w:rsid w:val="00762632"/>
    <w:rsid w:val="00762B97"/>
    <w:rsid w:val="00763B60"/>
    <w:rsid w:val="00764B85"/>
    <w:rsid w:val="00764CC1"/>
    <w:rsid w:val="00771972"/>
    <w:rsid w:val="00775C81"/>
    <w:rsid w:val="00776FC9"/>
    <w:rsid w:val="00777145"/>
    <w:rsid w:val="007809A0"/>
    <w:rsid w:val="00782336"/>
    <w:rsid w:val="00782D06"/>
    <w:rsid w:val="00782DB5"/>
    <w:rsid w:val="00782E4D"/>
    <w:rsid w:val="00783B8C"/>
    <w:rsid w:val="007840E2"/>
    <w:rsid w:val="00784359"/>
    <w:rsid w:val="007847E9"/>
    <w:rsid w:val="0078664C"/>
    <w:rsid w:val="00786BE3"/>
    <w:rsid w:val="007878C5"/>
    <w:rsid w:val="007902EA"/>
    <w:rsid w:val="007904CA"/>
    <w:rsid w:val="00793A61"/>
    <w:rsid w:val="007964E0"/>
    <w:rsid w:val="00797153"/>
    <w:rsid w:val="0079782B"/>
    <w:rsid w:val="007A40F3"/>
    <w:rsid w:val="007A4246"/>
    <w:rsid w:val="007B105D"/>
    <w:rsid w:val="007B17E6"/>
    <w:rsid w:val="007B2644"/>
    <w:rsid w:val="007B2BE9"/>
    <w:rsid w:val="007B412E"/>
    <w:rsid w:val="007B4B71"/>
    <w:rsid w:val="007B6C9A"/>
    <w:rsid w:val="007B6D7C"/>
    <w:rsid w:val="007B7B17"/>
    <w:rsid w:val="007C07BA"/>
    <w:rsid w:val="007C2300"/>
    <w:rsid w:val="007D0394"/>
    <w:rsid w:val="007D206B"/>
    <w:rsid w:val="007D42F4"/>
    <w:rsid w:val="007D4702"/>
    <w:rsid w:val="007E14E1"/>
    <w:rsid w:val="007E5C14"/>
    <w:rsid w:val="007F07DD"/>
    <w:rsid w:val="007F1A03"/>
    <w:rsid w:val="007F2212"/>
    <w:rsid w:val="007F4233"/>
    <w:rsid w:val="007F47AE"/>
    <w:rsid w:val="007F50DF"/>
    <w:rsid w:val="007F6E19"/>
    <w:rsid w:val="007F72DB"/>
    <w:rsid w:val="00801EE9"/>
    <w:rsid w:val="00806531"/>
    <w:rsid w:val="0081202A"/>
    <w:rsid w:val="00812D9A"/>
    <w:rsid w:val="00813781"/>
    <w:rsid w:val="00815478"/>
    <w:rsid w:val="00816385"/>
    <w:rsid w:val="0082412A"/>
    <w:rsid w:val="008253D6"/>
    <w:rsid w:val="0082547F"/>
    <w:rsid w:val="00825B58"/>
    <w:rsid w:val="00826FCC"/>
    <w:rsid w:val="0083115A"/>
    <w:rsid w:val="00832384"/>
    <w:rsid w:val="00833F77"/>
    <w:rsid w:val="008340B1"/>
    <w:rsid w:val="00834621"/>
    <w:rsid w:val="00842137"/>
    <w:rsid w:val="00843924"/>
    <w:rsid w:val="00844447"/>
    <w:rsid w:val="00846A03"/>
    <w:rsid w:val="00850059"/>
    <w:rsid w:val="008504EA"/>
    <w:rsid w:val="0085146A"/>
    <w:rsid w:val="008517EC"/>
    <w:rsid w:val="008544AA"/>
    <w:rsid w:val="00856866"/>
    <w:rsid w:val="00856C79"/>
    <w:rsid w:val="008630AB"/>
    <w:rsid w:val="00863284"/>
    <w:rsid w:val="00863CBB"/>
    <w:rsid w:val="00863DB6"/>
    <w:rsid w:val="0086490E"/>
    <w:rsid w:val="0086524D"/>
    <w:rsid w:val="00865680"/>
    <w:rsid w:val="00870B6B"/>
    <w:rsid w:val="00872D7C"/>
    <w:rsid w:val="00875A40"/>
    <w:rsid w:val="00877B15"/>
    <w:rsid w:val="00882D8A"/>
    <w:rsid w:val="0088590C"/>
    <w:rsid w:val="00894EC7"/>
    <w:rsid w:val="008961C5"/>
    <w:rsid w:val="0089756A"/>
    <w:rsid w:val="008A4C0A"/>
    <w:rsid w:val="008A5BCD"/>
    <w:rsid w:val="008A5C4E"/>
    <w:rsid w:val="008B1235"/>
    <w:rsid w:val="008B1CAC"/>
    <w:rsid w:val="008B52DD"/>
    <w:rsid w:val="008B55D1"/>
    <w:rsid w:val="008C03DD"/>
    <w:rsid w:val="008C1096"/>
    <w:rsid w:val="008C2D2B"/>
    <w:rsid w:val="008C2DC4"/>
    <w:rsid w:val="008C5A7B"/>
    <w:rsid w:val="008C7B7D"/>
    <w:rsid w:val="008C7E8D"/>
    <w:rsid w:val="008D11B6"/>
    <w:rsid w:val="008D1D1F"/>
    <w:rsid w:val="008D3143"/>
    <w:rsid w:val="008D3B58"/>
    <w:rsid w:val="008D4C5C"/>
    <w:rsid w:val="008E0092"/>
    <w:rsid w:val="008E0B47"/>
    <w:rsid w:val="008E4C61"/>
    <w:rsid w:val="008E506B"/>
    <w:rsid w:val="008E5340"/>
    <w:rsid w:val="008F070F"/>
    <w:rsid w:val="008F3EE0"/>
    <w:rsid w:val="008F44F6"/>
    <w:rsid w:val="008F564F"/>
    <w:rsid w:val="00900481"/>
    <w:rsid w:val="00900D72"/>
    <w:rsid w:val="0090102E"/>
    <w:rsid w:val="00902E85"/>
    <w:rsid w:val="00903549"/>
    <w:rsid w:val="00905DB5"/>
    <w:rsid w:val="00907169"/>
    <w:rsid w:val="00911F54"/>
    <w:rsid w:val="00912B82"/>
    <w:rsid w:val="00913128"/>
    <w:rsid w:val="009135B2"/>
    <w:rsid w:val="00913F5A"/>
    <w:rsid w:val="00914178"/>
    <w:rsid w:val="00916101"/>
    <w:rsid w:val="00920E8B"/>
    <w:rsid w:val="00924E9F"/>
    <w:rsid w:val="0092697E"/>
    <w:rsid w:val="00927064"/>
    <w:rsid w:val="00931254"/>
    <w:rsid w:val="00933544"/>
    <w:rsid w:val="00935B73"/>
    <w:rsid w:val="00936E65"/>
    <w:rsid w:val="00940DC5"/>
    <w:rsid w:val="00941408"/>
    <w:rsid w:val="00941E72"/>
    <w:rsid w:val="00943164"/>
    <w:rsid w:val="00944205"/>
    <w:rsid w:val="00944D27"/>
    <w:rsid w:val="00950C8C"/>
    <w:rsid w:val="009524FE"/>
    <w:rsid w:val="00952BE3"/>
    <w:rsid w:val="00952FC8"/>
    <w:rsid w:val="00953B58"/>
    <w:rsid w:val="009551BC"/>
    <w:rsid w:val="00955B17"/>
    <w:rsid w:val="0095670B"/>
    <w:rsid w:val="009571DC"/>
    <w:rsid w:val="009572BF"/>
    <w:rsid w:val="00957505"/>
    <w:rsid w:val="00963396"/>
    <w:rsid w:val="009643EB"/>
    <w:rsid w:val="0096676D"/>
    <w:rsid w:val="00973D55"/>
    <w:rsid w:val="0097409E"/>
    <w:rsid w:val="009743D1"/>
    <w:rsid w:val="00977C55"/>
    <w:rsid w:val="009847B8"/>
    <w:rsid w:val="00985987"/>
    <w:rsid w:val="00986380"/>
    <w:rsid w:val="009918ED"/>
    <w:rsid w:val="009919E3"/>
    <w:rsid w:val="00993C6F"/>
    <w:rsid w:val="009A0B25"/>
    <w:rsid w:val="009A322C"/>
    <w:rsid w:val="009A36DF"/>
    <w:rsid w:val="009A6A5B"/>
    <w:rsid w:val="009B2BED"/>
    <w:rsid w:val="009B32AD"/>
    <w:rsid w:val="009B365E"/>
    <w:rsid w:val="009B43CD"/>
    <w:rsid w:val="009B5FA4"/>
    <w:rsid w:val="009C0D72"/>
    <w:rsid w:val="009C2EF3"/>
    <w:rsid w:val="009C4038"/>
    <w:rsid w:val="009C4B13"/>
    <w:rsid w:val="009C7824"/>
    <w:rsid w:val="009D21B7"/>
    <w:rsid w:val="009D2427"/>
    <w:rsid w:val="009D2B91"/>
    <w:rsid w:val="009D2B9F"/>
    <w:rsid w:val="009D2CFA"/>
    <w:rsid w:val="009D345A"/>
    <w:rsid w:val="009D40B6"/>
    <w:rsid w:val="009D4F1B"/>
    <w:rsid w:val="009D57E6"/>
    <w:rsid w:val="009E131D"/>
    <w:rsid w:val="009E2D30"/>
    <w:rsid w:val="009E32AB"/>
    <w:rsid w:val="009E3393"/>
    <w:rsid w:val="009E4B6B"/>
    <w:rsid w:val="009E7C8F"/>
    <w:rsid w:val="009F0E40"/>
    <w:rsid w:val="009F188C"/>
    <w:rsid w:val="009F1CE5"/>
    <w:rsid w:val="009F1DB6"/>
    <w:rsid w:val="009F35A2"/>
    <w:rsid w:val="009F586E"/>
    <w:rsid w:val="009F5ED8"/>
    <w:rsid w:val="00A011F2"/>
    <w:rsid w:val="00A03223"/>
    <w:rsid w:val="00A040FC"/>
    <w:rsid w:val="00A075CD"/>
    <w:rsid w:val="00A07A2E"/>
    <w:rsid w:val="00A10AE1"/>
    <w:rsid w:val="00A141CE"/>
    <w:rsid w:val="00A14E68"/>
    <w:rsid w:val="00A15F37"/>
    <w:rsid w:val="00A17FD2"/>
    <w:rsid w:val="00A2080B"/>
    <w:rsid w:val="00A236C7"/>
    <w:rsid w:val="00A26064"/>
    <w:rsid w:val="00A27B3B"/>
    <w:rsid w:val="00A303E6"/>
    <w:rsid w:val="00A33D98"/>
    <w:rsid w:val="00A341F1"/>
    <w:rsid w:val="00A40746"/>
    <w:rsid w:val="00A4089F"/>
    <w:rsid w:val="00A449A7"/>
    <w:rsid w:val="00A544A1"/>
    <w:rsid w:val="00A56E5D"/>
    <w:rsid w:val="00A57AD7"/>
    <w:rsid w:val="00A62F12"/>
    <w:rsid w:val="00A63DC3"/>
    <w:rsid w:val="00A64847"/>
    <w:rsid w:val="00A70156"/>
    <w:rsid w:val="00A704ED"/>
    <w:rsid w:val="00A734C0"/>
    <w:rsid w:val="00A757C2"/>
    <w:rsid w:val="00A75B8E"/>
    <w:rsid w:val="00A7777B"/>
    <w:rsid w:val="00A8300A"/>
    <w:rsid w:val="00A83FDB"/>
    <w:rsid w:val="00A85B88"/>
    <w:rsid w:val="00A92205"/>
    <w:rsid w:val="00A940CB"/>
    <w:rsid w:val="00AA00C8"/>
    <w:rsid w:val="00AA19A6"/>
    <w:rsid w:val="00AB2B92"/>
    <w:rsid w:val="00AB72A6"/>
    <w:rsid w:val="00AB7A57"/>
    <w:rsid w:val="00AC016E"/>
    <w:rsid w:val="00AC2CC1"/>
    <w:rsid w:val="00AC3037"/>
    <w:rsid w:val="00AC3AB1"/>
    <w:rsid w:val="00AC5564"/>
    <w:rsid w:val="00AC5D08"/>
    <w:rsid w:val="00AC66BC"/>
    <w:rsid w:val="00AC6CAE"/>
    <w:rsid w:val="00AD1994"/>
    <w:rsid w:val="00AD38C9"/>
    <w:rsid w:val="00AD4CF3"/>
    <w:rsid w:val="00AD5827"/>
    <w:rsid w:val="00AD66DF"/>
    <w:rsid w:val="00AD7BB1"/>
    <w:rsid w:val="00AE1A5E"/>
    <w:rsid w:val="00AE24D4"/>
    <w:rsid w:val="00AE4170"/>
    <w:rsid w:val="00AE7F4D"/>
    <w:rsid w:val="00AF26BB"/>
    <w:rsid w:val="00AF3ED9"/>
    <w:rsid w:val="00B00128"/>
    <w:rsid w:val="00B037AE"/>
    <w:rsid w:val="00B1269C"/>
    <w:rsid w:val="00B15116"/>
    <w:rsid w:val="00B206C2"/>
    <w:rsid w:val="00B206CE"/>
    <w:rsid w:val="00B21F05"/>
    <w:rsid w:val="00B22027"/>
    <w:rsid w:val="00B22372"/>
    <w:rsid w:val="00B231FA"/>
    <w:rsid w:val="00B23DF5"/>
    <w:rsid w:val="00B250E1"/>
    <w:rsid w:val="00B259E4"/>
    <w:rsid w:val="00B33A81"/>
    <w:rsid w:val="00B34081"/>
    <w:rsid w:val="00B34A77"/>
    <w:rsid w:val="00B34FAC"/>
    <w:rsid w:val="00B35EA1"/>
    <w:rsid w:val="00B43A74"/>
    <w:rsid w:val="00B526B4"/>
    <w:rsid w:val="00B54D06"/>
    <w:rsid w:val="00B54F78"/>
    <w:rsid w:val="00B56299"/>
    <w:rsid w:val="00B569CD"/>
    <w:rsid w:val="00B64632"/>
    <w:rsid w:val="00B66499"/>
    <w:rsid w:val="00B70A5E"/>
    <w:rsid w:val="00B72172"/>
    <w:rsid w:val="00B739A9"/>
    <w:rsid w:val="00B75D09"/>
    <w:rsid w:val="00B81A1A"/>
    <w:rsid w:val="00B85C84"/>
    <w:rsid w:val="00B9056E"/>
    <w:rsid w:val="00B9084E"/>
    <w:rsid w:val="00B922BF"/>
    <w:rsid w:val="00B9316C"/>
    <w:rsid w:val="00B93AB1"/>
    <w:rsid w:val="00B9572B"/>
    <w:rsid w:val="00BA19FF"/>
    <w:rsid w:val="00BA35FD"/>
    <w:rsid w:val="00BA4660"/>
    <w:rsid w:val="00BA6CB0"/>
    <w:rsid w:val="00BB23F9"/>
    <w:rsid w:val="00BB536F"/>
    <w:rsid w:val="00BB7B73"/>
    <w:rsid w:val="00BC07E4"/>
    <w:rsid w:val="00BC1572"/>
    <w:rsid w:val="00BC1991"/>
    <w:rsid w:val="00BC2D56"/>
    <w:rsid w:val="00BC3407"/>
    <w:rsid w:val="00BC6C3D"/>
    <w:rsid w:val="00BC7B93"/>
    <w:rsid w:val="00BD2CC4"/>
    <w:rsid w:val="00BE05ED"/>
    <w:rsid w:val="00BE29C5"/>
    <w:rsid w:val="00BE421A"/>
    <w:rsid w:val="00BE574C"/>
    <w:rsid w:val="00BE5CBE"/>
    <w:rsid w:val="00BE7A10"/>
    <w:rsid w:val="00BF1198"/>
    <w:rsid w:val="00BF1581"/>
    <w:rsid w:val="00BF27A3"/>
    <w:rsid w:val="00BF29E0"/>
    <w:rsid w:val="00BF35D3"/>
    <w:rsid w:val="00BF3E12"/>
    <w:rsid w:val="00BF4DDB"/>
    <w:rsid w:val="00BF7825"/>
    <w:rsid w:val="00C006EB"/>
    <w:rsid w:val="00C019A9"/>
    <w:rsid w:val="00C035CA"/>
    <w:rsid w:val="00C06B88"/>
    <w:rsid w:val="00C07727"/>
    <w:rsid w:val="00C11942"/>
    <w:rsid w:val="00C11AE9"/>
    <w:rsid w:val="00C140AE"/>
    <w:rsid w:val="00C1412C"/>
    <w:rsid w:val="00C17635"/>
    <w:rsid w:val="00C1779D"/>
    <w:rsid w:val="00C204D9"/>
    <w:rsid w:val="00C23064"/>
    <w:rsid w:val="00C25B49"/>
    <w:rsid w:val="00C27065"/>
    <w:rsid w:val="00C33EAC"/>
    <w:rsid w:val="00C34CBA"/>
    <w:rsid w:val="00C4626B"/>
    <w:rsid w:val="00C46A76"/>
    <w:rsid w:val="00C477FD"/>
    <w:rsid w:val="00C51E74"/>
    <w:rsid w:val="00C53188"/>
    <w:rsid w:val="00C61CB1"/>
    <w:rsid w:val="00C62AC0"/>
    <w:rsid w:val="00C63A1C"/>
    <w:rsid w:val="00C644A3"/>
    <w:rsid w:val="00C72195"/>
    <w:rsid w:val="00C734A0"/>
    <w:rsid w:val="00C76387"/>
    <w:rsid w:val="00C77393"/>
    <w:rsid w:val="00C81BA3"/>
    <w:rsid w:val="00C81F2B"/>
    <w:rsid w:val="00C82AED"/>
    <w:rsid w:val="00C84C8B"/>
    <w:rsid w:val="00C8541E"/>
    <w:rsid w:val="00C87319"/>
    <w:rsid w:val="00C902AD"/>
    <w:rsid w:val="00C909BB"/>
    <w:rsid w:val="00C919DF"/>
    <w:rsid w:val="00C9253E"/>
    <w:rsid w:val="00C979B9"/>
    <w:rsid w:val="00CA1729"/>
    <w:rsid w:val="00CA31A8"/>
    <w:rsid w:val="00CA4E8F"/>
    <w:rsid w:val="00CA5B11"/>
    <w:rsid w:val="00CA62CB"/>
    <w:rsid w:val="00CA64A8"/>
    <w:rsid w:val="00CB3F26"/>
    <w:rsid w:val="00CB4010"/>
    <w:rsid w:val="00CB67C5"/>
    <w:rsid w:val="00CC42D2"/>
    <w:rsid w:val="00CC5ECB"/>
    <w:rsid w:val="00CD76FB"/>
    <w:rsid w:val="00CE6FA6"/>
    <w:rsid w:val="00CF2366"/>
    <w:rsid w:val="00CF25F7"/>
    <w:rsid w:val="00CF2C8D"/>
    <w:rsid w:val="00CF4BCD"/>
    <w:rsid w:val="00CF53A0"/>
    <w:rsid w:val="00CF7E5F"/>
    <w:rsid w:val="00D0273D"/>
    <w:rsid w:val="00D04064"/>
    <w:rsid w:val="00D04854"/>
    <w:rsid w:val="00D07705"/>
    <w:rsid w:val="00D100FC"/>
    <w:rsid w:val="00D112F0"/>
    <w:rsid w:val="00D13334"/>
    <w:rsid w:val="00D15943"/>
    <w:rsid w:val="00D17D9C"/>
    <w:rsid w:val="00D204BA"/>
    <w:rsid w:val="00D21490"/>
    <w:rsid w:val="00D219D8"/>
    <w:rsid w:val="00D26648"/>
    <w:rsid w:val="00D267E6"/>
    <w:rsid w:val="00D33CE6"/>
    <w:rsid w:val="00D3401D"/>
    <w:rsid w:val="00D34E61"/>
    <w:rsid w:val="00D4131E"/>
    <w:rsid w:val="00D432D8"/>
    <w:rsid w:val="00D5472E"/>
    <w:rsid w:val="00D55372"/>
    <w:rsid w:val="00D5774C"/>
    <w:rsid w:val="00D61874"/>
    <w:rsid w:val="00D61D54"/>
    <w:rsid w:val="00D6721C"/>
    <w:rsid w:val="00D70AA6"/>
    <w:rsid w:val="00D7165B"/>
    <w:rsid w:val="00D74357"/>
    <w:rsid w:val="00D7447C"/>
    <w:rsid w:val="00D74826"/>
    <w:rsid w:val="00D757C5"/>
    <w:rsid w:val="00D803F4"/>
    <w:rsid w:val="00D9159D"/>
    <w:rsid w:val="00D918A0"/>
    <w:rsid w:val="00D93EBB"/>
    <w:rsid w:val="00D94688"/>
    <w:rsid w:val="00D954F8"/>
    <w:rsid w:val="00DA10AB"/>
    <w:rsid w:val="00DA2080"/>
    <w:rsid w:val="00DA2FA3"/>
    <w:rsid w:val="00DA50B8"/>
    <w:rsid w:val="00DA5229"/>
    <w:rsid w:val="00DA673E"/>
    <w:rsid w:val="00DB218E"/>
    <w:rsid w:val="00DB35D9"/>
    <w:rsid w:val="00DB462D"/>
    <w:rsid w:val="00DB7824"/>
    <w:rsid w:val="00DB7D51"/>
    <w:rsid w:val="00DC031B"/>
    <w:rsid w:val="00DC4038"/>
    <w:rsid w:val="00DC645F"/>
    <w:rsid w:val="00DC7A3E"/>
    <w:rsid w:val="00DD16BF"/>
    <w:rsid w:val="00DD246F"/>
    <w:rsid w:val="00DD3686"/>
    <w:rsid w:val="00DD584F"/>
    <w:rsid w:val="00DD66A6"/>
    <w:rsid w:val="00DD69F6"/>
    <w:rsid w:val="00DE00C6"/>
    <w:rsid w:val="00DE19D5"/>
    <w:rsid w:val="00DE3CF2"/>
    <w:rsid w:val="00DF145B"/>
    <w:rsid w:val="00DF1BA8"/>
    <w:rsid w:val="00DF5863"/>
    <w:rsid w:val="00E00ABB"/>
    <w:rsid w:val="00E01222"/>
    <w:rsid w:val="00E01E93"/>
    <w:rsid w:val="00E0473B"/>
    <w:rsid w:val="00E04C59"/>
    <w:rsid w:val="00E07406"/>
    <w:rsid w:val="00E10070"/>
    <w:rsid w:val="00E1300F"/>
    <w:rsid w:val="00E134BC"/>
    <w:rsid w:val="00E13F82"/>
    <w:rsid w:val="00E15926"/>
    <w:rsid w:val="00E16E09"/>
    <w:rsid w:val="00E2057B"/>
    <w:rsid w:val="00E21BF4"/>
    <w:rsid w:val="00E224B4"/>
    <w:rsid w:val="00E22B33"/>
    <w:rsid w:val="00E31F2F"/>
    <w:rsid w:val="00E32823"/>
    <w:rsid w:val="00E33ABC"/>
    <w:rsid w:val="00E34864"/>
    <w:rsid w:val="00E34D70"/>
    <w:rsid w:val="00E37842"/>
    <w:rsid w:val="00E418DC"/>
    <w:rsid w:val="00E42B12"/>
    <w:rsid w:val="00E45EFE"/>
    <w:rsid w:val="00E46C9E"/>
    <w:rsid w:val="00E46E70"/>
    <w:rsid w:val="00E51143"/>
    <w:rsid w:val="00E554B4"/>
    <w:rsid w:val="00E55AA3"/>
    <w:rsid w:val="00E573C5"/>
    <w:rsid w:val="00E60407"/>
    <w:rsid w:val="00E61030"/>
    <w:rsid w:val="00E6111E"/>
    <w:rsid w:val="00E6116F"/>
    <w:rsid w:val="00E63439"/>
    <w:rsid w:val="00E65FAE"/>
    <w:rsid w:val="00E6652B"/>
    <w:rsid w:val="00E6690F"/>
    <w:rsid w:val="00E66EBE"/>
    <w:rsid w:val="00E70348"/>
    <w:rsid w:val="00E732F1"/>
    <w:rsid w:val="00E74154"/>
    <w:rsid w:val="00E75083"/>
    <w:rsid w:val="00E76FC3"/>
    <w:rsid w:val="00E77030"/>
    <w:rsid w:val="00E80DAC"/>
    <w:rsid w:val="00E80F60"/>
    <w:rsid w:val="00E81870"/>
    <w:rsid w:val="00E9275C"/>
    <w:rsid w:val="00E940D4"/>
    <w:rsid w:val="00E95667"/>
    <w:rsid w:val="00E973B3"/>
    <w:rsid w:val="00E97C6D"/>
    <w:rsid w:val="00EA04DF"/>
    <w:rsid w:val="00EA101A"/>
    <w:rsid w:val="00EA17B7"/>
    <w:rsid w:val="00EA229A"/>
    <w:rsid w:val="00EA2A13"/>
    <w:rsid w:val="00EA2C47"/>
    <w:rsid w:val="00EA4940"/>
    <w:rsid w:val="00EA6757"/>
    <w:rsid w:val="00EA746D"/>
    <w:rsid w:val="00EB1914"/>
    <w:rsid w:val="00EB2677"/>
    <w:rsid w:val="00EB7B1C"/>
    <w:rsid w:val="00EC0A6A"/>
    <w:rsid w:val="00EC4F36"/>
    <w:rsid w:val="00EC505C"/>
    <w:rsid w:val="00EC6052"/>
    <w:rsid w:val="00EC675A"/>
    <w:rsid w:val="00EC71F8"/>
    <w:rsid w:val="00ED1CF7"/>
    <w:rsid w:val="00ED3D67"/>
    <w:rsid w:val="00ED5A68"/>
    <w:rsid w:val="00EE2987"/>
    <w:rsid w:val="00EE49B5"/>
    <w:rsid w:val="00EE4D1C"/>
    <w:rsid w:val="00EE62DF"/>
    <w:rsid w:val="00EF21FB"/>
    <w:rsid w:val="00EF432E"/>
    <w:rsid w:val="00EF6FD0"/>
    <w:rsid w:val="00F03C25"/>
    <w:rsid w:val="00F05E3F"/>
    <w:rsid w:val="00F07E54"/>
    <w:rsid w:val="00F10F22"/>
    <w:rsid w:val="00F114E6"/>
    <w:rsid w:val="00F11543"/>
    <w:rsid w:val="00F12E11"/>
    <w:rsid w:val="00F262F4"/>
    <w:rsid w:val="00F26E86"/>
    <w:rsid w:val="00F30B58"/>
    <w:rsid w:val="00F32C0B"/>
    <w:rsid w:val="00F34606"/>
    <w:rsid w:val="00F3630E"/>
    <w:rsid w:val="00F470F1"/>
    <w:rsid w:val="00F52FA8"/>
    <w:rsid w:val="00F54641"/>
    <w:rsid w:val="00F56A70"/>
    <w:rsid w:val="00F60FD0"/>
    <w:rsid w:val="00F62258"/>
    <w:rsid w:val="00F62A84"/>
    <w:rsid w:val="00F63CCD"/>
    <w:rsid w:val="00F70610"/>
    <w:rsid w:val="00F7168F"/>
    <w:rsid w:val="00F721E4"/>
    <w:rsid w:val="00F75F09"/>
    <w:rsid w:val="00F76376"/>
    <w:rsid w:val="00F76614"/>
    <w:rsid w:val="00F76972"/>
    <w:rsid w:val="00F77A9F"/>
    <w:rsid w:val="00F80259"/>
    <w:rsid w:val="00F85615"/>
    <w:rsid w:val="00F85FAF"/>
    <w:rsid w:val="00F904F3"/>
    <w:rsid w:val="00F91715"/>
    <w:rsid w:val="00F92897"/>
    <w:rsid w:val="00F93C50"/>
    <w:rsid w:val="00F93CD5"/>
    <w:rsid w:val="00F95940"/>
    <w:rsid w:val="00F96406"/>
    <w:rsid w:val="00F96907"/>
    <w:rsid w:val="00F97725"/>
    <w:rsid w:val="00F97B5D"/>
    <w:rsid w:val="00F97CA1"/>
    <w:rsid w:val="00FA161C"/>
    <w:rsid w:val="00FA162F"/>
    <w:rsid w:val="00FA1F57"/>
    <w:rsid w:val="00FA26BC"/>
    <w:rsid w:val="00FA2FD2"/>
    <w:rsid w:val="00FB0617"/>
    <w:rsid w:val="00FB09B5"/>
    <w:rsid w:val="00FB27F1"/>
    <w:rsid w:val="00FB49FC"/>
    <w:rsid w:val="00FB4DB8"/>
    <w:rsid w:val="00FB75C0"/>
    <w:rsid w:val="00FC0DD8"/>
    <w:rsid w:val="00FC1601"/>
    <w:rsid w:val="00FC4DE1"/>
    <w:rsid w:val="00FC67D0"/>
    <w:rsid w:val="00FD2137"/>
    <w:rsid w:val="00FD2A95"/>
    <w:rsid w:val="00FD349A"/>
    <w:rsid w:val="00FD3D97"/>
    <w:rsid w:val="00FD6EFF"/>
    <w:rsid w:val="00FD7360"/>
    <w:rsid w:val="00FE1410"/>
    <w:rsid w:val="00FE1C20"/>
    <w:rsid w:val="00FE28F1"/>
    <w:rsid w:val="00FF2B31"/>
    <w:rsid w:val="00FF2D86"/>
    <w:rsid w:val="00FF633D"/>
    <w:rsid w:val="01476CFA"/>
    <w:rsid w:val="05307702"/>
    <w:rsid w:val="05E3A93F"/>
    <w:rsid w:val="05FD645D"/>
    <w:rsid w:val="0757F672"/>
    <w:rsid w:val="08419CEB"/>
    <w:rsid w:val="09518C6B"/>
    <w:rsid w:val="0999FF71"/>
    <w:rsid w:val="0BB59C5F"/>
    <w:rsid w:val="0C4F05D5"/>
    <w:rsid w:val="0E66BCFD"/>
    <w:rsid w:val="0FAF94C4"/>
    <w:rsid w:val="1379BA92"/>
    <w:rsid w:val="144DAA9F"/>
    <w:rsid w:val="15A953B0"/>
    <w:rsid w:val="15E0E49B"/>
    <w:rsid w:val="1613A92F"/>
    <w:rsid w:val="167ECD27"/>
    <w:rsid w:val="17894820"/>
    <w:rsid w:val="1A8892E8"/>
    <w:rsid w:val="1BBB7AA8"/>
    <w:rsid w:val="1D9342AF"/>
    <w:rsid w:val="1E3DECE5"/>
    <w:rsid w:val="1E688A1B"/>
    <w:rsid w:val="1E88D79A"/>
    <w:rsid w:val="1E90CE92"/>
    <w:rsid w:val="1EF5C775"/>
    <w:rsid w:val="1FA2BBE6"/>
    <w:rsid w:val="1FFE9563"/>
    <w:rsid w:val="206D9FF2"/>
    <w:rsid w:val="21AB951B"/>
    <w:rsid w:val="23952BC9"/>
    <w:rsid w:val="2736E08F"/>
    <w:rsid w:val="27BF0B66"/>
    <w:rsid w:val="27E54ACE"/>
    <w:rsid w:val="28C55ED6"/>
    <w:rsid w:val="28EFA80E"/>
    <w:rsid w:val="2D40C61A"/>
    <w:rsid w:val="2DA33FA1"/>
    <w:rsid w:val="2DE27620"/>
    <w:rsid w:val="2E574205"/>
    <w:rsid w:val="2E8EBB6C"/>
    <w:rsid w:val="2ED26F21"/>
    <w:rsid w:val="2F84F163"/>
    <w:rsid w:val="315F28DB"/>
    <w:rsid w:val="31FE2F62"/>
    <w:rsid w:val="34EE5365"/>
    <w:rsid w:val="36313989"/>
    <w:rsid w:val="364A6976"/>
    <w:rsid w:val="36832E92"/>
    <w:rsid w:val="3845C696"/>
    <w:rsid w:val="39B4925B"/>
    <w:rsid w:val="3A0706D5"/>
    <w:rsid w:val="3B72A331"/>
    <w:rsid w:val="3BB88C52"/>
    <w:rsid w:val="3BC686F9"/>
    <w:rsid w:val="3CB90132"/>
    <w:rsid w:val="3CECCFBC"/>
    <w:rsid w:val="3DA8AD32"/>
    <w:rsid w:val="3ED129E7"/>
    <w:rsid w:val="4067A909"/>
    <w:rsid w:val="410403EC"/>
    <w:rsid w:val="411ABE9B"/>
    <w:rsid w:val="413AD0AF"/>
    <w:rsid w:val="41B2F589"/>
    <w:rsid w:val="42728C37"/>
    <w:rsid w:val="42B1608D"/>
    <w:rsid w:val="43A375E8"/>
    <w:rsid w:val="43A856AE"/>
    <w:rsid w:val="45152843"/>
    <w:rsid w:val="45B4BD74"/>
    <w:rsid w:val="47879D03"/>
    <w:rsid w:val="4808E176"/>
    <w:rsid w:val="4878C10E"/>
    <w:rsid w:val="4925479F"/>
    <w:rsid w:val="4AB8B6D8"/>
    <w:rsid w:val="4BC51743"/>
    <w:rsid w:val="4C02E664"/>
    <w:rsid w:val="4F6ABB2E"/>
    <w:rsid w:val="50B21EB5"/>
    <w:rsid w:val="50F80CA8"/>
    <w:rsid w:val="5104C596"/>
    <w:rsid w:val="52786593"/>
    <w:rsid w:val="543319F8"/>
    <w:rsid w:val="54FC1336"/>
    <w:rsid w:val="5E1818CA"/>
    <w:rsid w:val="610D23C7"/>
    <w:rsid w:val="627F29BF"/>
    <w:rsid w:val="62BEC624"/>
    <w:rsid w:val="63DB474B"/>
    <w:rsid w:val="64491B9E"/>
    <w:rsid w:val="64B72036"/>
    <w:rsid w:val="6594BCDC"/>
    <w:rsid w:val="674D9645"/>
    <w:rsid w:val="67CE75A8"/>
    <w:rsid w:val="6C15E451"/>
    <w:rsid w:val="6C46B10E"/>
    <w:rsid w:val="6C5DA139"/>
    <w:rsid w:val="6F154B8D"/>
    <w:rsid w:val="7055DD2F"/>
    <w:rsid w:val="718D3C21"/>
    <w:rsid w:val="71F507B5"/>
    <w:rsid w:val="720C32EC"/>
    <w:rsid w:val="720CF3A2"/>
    <w:rsid w:val="726D880B"/>
    <w:rsid w:val="729D4A59"/>
    <w:rsid w:val="749FB698"/>
    <w:rsid w:val="758B2D31"/>
    <w:rsid w:val="78555B09"/>
    <w:rsid w:val="79739689"/>
    <w:rsid w:val="7A0E5DA2"/>
    <w:rsid w:val="7A9FBCEB"/>
    <w:rsid w:val="7BAEE375"/>
    <w:rsid w:val="7C07BB22"/>
    <w:rsid w:val="7DD7DAD9"/>
    <w:rsid w:val="7E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B02519A"/>
  <w15:chartTrackingRefBased/>
  <w15:docId w15:val="{65151B50-A786-4E80-84D7-B4741283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B206CE"/>
    <w:pPr>
      <w:jc w:val="center"/>
      <w:outlineLvl w:val="0"/>
    </w:pPr>
    <w:rPr>
      <w:b/>
      <w:bCs/>
      <w:sz w:val="32"/>
      <w:szCs w:val="32"/>
    </w:rPr>
  </w:style>
  <w:style w:type="paragraph" w:styleId="Heading2">
    <w:name w:val="heading 2"/>
    <w:basedOn w:val="Normal"/>
    <w:next w:val="Normal"/>
    <w:link w:val="Heading2Char"/>
    <w:unhideWhenUsed/>
    <w:qFormat/>
    <w:rsid w:val="00816385"/>
    <w:pPr>
      <w:keepNext/>
      <w:keepLines/>
      <w:numPr>
        <w:numId w:val="5"/>
      </w:numPr>
      <w:pBdr>
        <w:bottom w:val="double" w:sz="12" w:space="12" w:color="CF7F00"/>
      </w:pBdr>
      <w:spacing w:before="40" w:after="0" w:line="240" w:lineRule="auto"/>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nhideWhenUsed/>
    <w:qFormat/>
    <w:rsid w:val="008E506B"/>
    <w:pPr>
      <w:keepNext/>
      <w:keepLines/>
      <w:numPr>
        <w:numId w:val="19"/>
      </w:numPr>
      <w:spacing w:before="480" w:after="8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nhideWhenUsed/>
    <w:qFormat/>
    <w:rsid w:val="0081202A"/>
    <w:pPr>
      <w:keepNext/>
      <w:keepLines/>
      <w:spacing w:after="240" w:line="240" w:lineRule="auto"/>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nhideWhenUsed/>
    <w:qFormat/>
    <w:rsid w:val="003869E0"/>
    <w:pPr>
      <w:outlineLvl w:val="4"/>
    </w:pPr>
    <w:rPr>
      <w:b/>
      <w:color w:val="auto"/>
    </w:rPr>
  </w:style>
  <w:style w:type="paragraph" w:styleId="Heading6">
    <w:name w:val="heading 6"/>
    <w:basedOn w:val="Heading5"/>
    <w:next w:val="Normal"/>
    <w:link w:val="Heading6Char"/>
    <w:unhideWhenUsed/>
    <w:qFormat/>
    <w:rsid w:val="003869E0"/>
    <w:pPr>
      <w:outlineLvl w:val="5"/>
    </w:pPr>
    <w:rPr>
      <w:b w:val="0"/>
    </w:rPr>
  </w:style>
  <w:style w:type="paragraph" w:styleId="Heading7">
    <w:name w:val="heading 7"/>
    <w:basedOn w:val="Normal"/>
    <w:next w:val="Normal"/>
    <w:link w:val="Heading7Char"/>
    <w:uiPriority w:val="9"/>
    <w:semiHidden/>
    <w:unhideWhenUsed/>
    <w:qFormat/>
    <w:rsid w:val="002B0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rsid w:val="008E506B"/>
    <w:rPr>
      <w:rFonts w:ascii="Calibri" w:eastAsiaTheme="majorEastAsia" w:hAnsi="Calibri" w:cs="Calibri"/>
      <w:color w:val="00587C"/>
      <w:sz w:val="28"/>
      <w:szCs w:val="28"/>
    </w:rPr>
  </w:style>
  <w:style w:type="character" w:customStyle="1" w:styleId="Heading4Char">
    <w:name w:val="Heading 4 Char"/>
    <w:basedOn w:val="DefaultParagraphFont"/>
    <w:link w:val="Heading4"/>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3869E0"/>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semiHidden/>
    <w:rsid w:val="002B0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qFormat/>
    <w:rsid w:val="002B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6515ED"/>
    <w:pPr>
      <w:numPr>
        <w:numId w:val="4"/>
      </w:numPr>
    </w:pPr>
    <w:rPr>
      <w:rFonts w:ascii="Calibri" w:hAnsi="Calibri" w:cs="Calibri"/>
      <w:sz w:val="24"/>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rsid w:val="009847B8"/>
    <w:rPr>
      <w:rFonts w:ascii="Calibri" w:hAnsi="Calibri"/>
      <w:color w:val="0070C0"/>
      <w:sz w:val="24"/>
      <w:u w:val="single"/>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semiHidden/>
    <w:unhideWhenUsed/>
    <w:rsid w:val="007C07BA"/>
    <w:rPr>
      <w:sz w:val="16"/>
      <w:szCs w:val="16"/>
    </w:rPr>
  </w:style>
  <w:style w:type="paragraph" w:styleId="CommentText">
    <w:name w:val="annotation text"/>
    <w:basedOn w:val="Normal"/>
    <w:link w:val="CommentTextChar"/>
    <w:uiPriority w:val="99"/>
    <w:unhideWhenUsed/>
    <w:rsid w:val="007C07BA"/>
    <w:pPr>
      <w:spacing w:line="240" w:lineRule="auto"/>
    </w:pPr>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basedOn w:val="Normal"/>
    <w:next w:val="Normal"/>
    <w:autoRedefine/>
    <w:uiPriority w:val="39"/>
    <w:unhideWhenUsed/>
    <w:rsid w:val="00DB462D"/>
    <w:pPr>
      <w:tabs>
        <w:tab w:val="right" w:leader="dot" w:pos="9350"/>
      </w:tabs>
      <w:spacing w:before="360" w:after="0"/>
    </w:pPr>
    <w:rPr>
      <w:rFonts w:ascii="Calibri" w:hAnsi="Calibri"/>
      <w:b/>
      <w:bCs/>
      <w:caps/>
      <w:sz w:val="28"/>
      <w:szCs w:val="24"/>
    </w:rPr>
  </w:style>
  <w:style w:type="paragraph" w:styleId="TOC2">
    <w:name w:val="toc 2"/>
    <w:basedOn w:val="Normal"/>
    <w:next w:val="Normal"/>
    <w:autoRedefine/>
    <w:uiPriority w:val="39"/>
    <w:unhideWhenUsed/>
    <w:rsid w:val="00DB462D"/>
    <w:pPr>
      <w:spacing w:before="240" w:after="0"/>
    </w:pPr>
    <w:rPr>
      <w:rFonts w:ascii="Calibri" w:hAnsi="Calibri"/>
      <w:b/>
      <w:bCs/>
      <w:sz w:val="24"/>
      <w:szCs w:val="20"/>
    </w:rPr>
  </w:style>
  <w:style w:type="paragraph" w:styleId="TOC3">
    <w:name w:val="toc 3"/>
    <w:basedOn w:val="Normal"/>
    <w:next w:val="Normal"/>
    <w:autoRedefine/>
    <w:uiPriority w:val="39"/>
    <w:unhideWhenUsed/>
    <w:rsid w:val="00DB462D"/>
    <w:pPr>
      <w:tabs>
        <w:tab w:val="left" w:pos="880"/>
        <w:tab w:val="right" w:leader="dot" w:pos="9350"/>
      </w:tabs>
      <w:spacing w:after="0"/>
      <w:ind w:left="220"/>
    </w:pPr>
    <w:rPr>
      <w:rFonts w:ascii="Calibri" w:hAnsi="Calibri"/>
      <w:sz w:val="24"/>
      <w:szCs w:val="20"/>
    </w:rPr>
  </w:style>
  <w:style w:type="paragraph" w:styleId="BodyText">
    <w:name w:val="Body Text"/>
    <w:basedOn w:val="Normal"/>
    <w:link w:val="BodyTextChar"/>
    <w:qFormat/>
    <w:rsid w:val="008E506B"/>
    <w:pPr>
      <w:spacing w:after="240" w:line="240" w:lineRule="auto"/>
    </w:pPr>
    <w:rPr>
      <w:rFonts w:ascii="Calibri" w:eastAsia="Calibri" w:hAnsi="Calibri" w:cstheme="minorHAnsi"/>
      <w:sz w:val="24"/>
      <w:szCs w:val="24"/>
      <w:lang w:val="en"/>
    </w:rPr>
  </w:style>
  <w:style w:type="character" w:customStyle="1" w:styleId="BodyTextChar">
    <w:name w:val="Body Text Char"/>
    <w:basedOn w:val="DefaultParagraphFont"/>
    <w:link w:val="BodyText"/>
    <w:rsid w:val="008E506B"/>
    <w:rPr>
      <w:rFonts w:ascii="Calibri" w:eastAsia="Calibri" w:hAnsi="Calibri" w:cstheme="minorHAnsi"/>
      <w:sz w:val="24"/>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iPriority w:val="99"/>
    <w:unhideWhenUsed/>
    <w:rsid w:val="008544AA"/>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pPr>
      <w:spacing w:after="0" w:line="240" w:lineRule="auto"/>
    </w:pPr>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line="240" w:lineRule="auto"/>
    </w:pPr>
    <w:rPr>
      <w:rFonts w:eastAsia="Calibri"/>
      <w:bCs/>
      <w:color w:val="000000"/>
      <w:sz w:val="24"/>
      <w:lang w:val="en"/>
    </w:rPr>
  </w:style>
  <w:style w:type="paragraph" w:customStyle="1" w:styleId="Default">
    <w:name w:val="Default"/>
    <w:basedOn w:val="Normal"/>
    <w:rsid w:val="008544AA"/>
    <w:pPr>
      <w:autoSpaceDE w:val="0"/>
      <w:autoSpaceDN w:val="0"/>
      <w:spacing w:after="0" w:line="240" w:lineRule="auto"/>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pPr>
      <w:spacing w:after="0" w:line="240" w:lineRule="auto"/>
    </w:pPr>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spacing w:after="0"/>
      <w:ind w:left="440"/>
    </w:pPr>
    <w:rPr>
      <w:sz w:val="20"/>
      <w:szCs w:val="20"/>
    </w:rPr>
  </w:style>
  <w:style w:type="paragraph" w:styleId="TOC5">
    <w:name w:val="toc 5"/>
    <w:basedOn w:val="Normal"/>
    <w:next w:val="Normal"/>
    <w:autoRedefine/>
    <w:uiPriority w:val="39"/>
    <w:unhideWhenUsed/>
    <w:rsid w:val="00DB462D"/>
    <w:pPr>
      <w:spacing w:after="0"/>
      <w:ind w:left="660"/>
    </w:pPr>
    <w:rPr>
      <w:sz w:val="20"/>
      <w:szCs w:val="20"/>
    </w:rPr>
  </w:style>
  <w:style w:type="paragraph" w:styleId="TOC6">
    <w:name w:val="toc 6"/>
    <w:basedOn w:val="Normal"/>
    <w:next w:val="Normal"/>
    <w:autoRedefine/>
    <w:uiPriority w:val="39"/>
    <w:unhideWhenUsed/>
    <w:rsid w:val="00DB462D"/>
    <w:pPr>
      <w:spacing w:after="0"/>
      <w:ind w:left="880"/>
    </w:pPr>
    <w:rPr>
      <w:sz w:val="20"/>
      <w:szCs w:val="20"/>
    </w:rPr>
  </w:style>
  <w:style w:type="paragraph" w:styleId="TOC7">
    <w:name w:val="toc 7"/>
    <w:basedOn w:val="Normal"/>
    <w:next w:val="Normal"/>
    <w:autoRedefine/>
    <w:uiPriority w:val="39"/>
    <w:unhideWhenUsed/>
    <w:rsid w:val="00DB462D"/>
    <w:pPr>
      <w:spacing w:after="0"/>
      <w:ind w:left="1100"/>
    </w:pPr>
    <w:rPr>
      <w:sz w:val="20"/>
      <w:szCs w:val="20"/>
    </w:rPr>
  </w:style>
  <w:style w:type="paragraph" w:styleId="TOC8">
    <w:name w:val="toc 8"/>
    <w:basedOn w:val="Normal"/>
    <w:next w:val="Normal"/>
    <w:autoRedefine/>
    <w:uiPriority w:val="39"/>
    <w:unhideWhenUsed/>
    <w:rsid w:val="00DB462D"/>
    <w:pPr>
      <w:spacing w:after="0"/>
      <w:ind w:left="1320"/>
    </w:pPr>
    <w:rPr>
      <w:sz w:val="20"/>
      <w:szCs w:val="20"/>
    </w:rPr>
  </w:style>
  <w:style w:type="paragraph" w:styleId="TOC9">
    <w:name w:val="toc 9"/>
    <w:basedOn w:val="Normal"/>
    <w:next w:val="Normal"/>
    <w:autoRedefine/>
    <w:uiPriority w:val="39"/>
    <w:unhideWhenUsed/>
    <w:rsid w:val="00DB462D"/>
    <w:pPr>
      <w:spacing w:after="0"/>
      <w:ind w:left="154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ir.ca.gov/das/" TargetMode="External"/><Relationship Id="rId21" Type="http://schemas.openxmlformats.org/officeDocument/2006/relationships/footer" Target="footer2.xml"/><Relationship Id="rId42" Type="http://schemas.openxmlformats.org/officeDocument/2006/relationships/hyperlink" Target="https://edd.ca.gov/siteassets/files/jobs_and_training/pubs/wsd16-10.pdf" TargetMode="External"/><Relationship Id="rId63" Type="http://schemas.openxmlformats.org/officeDocument/2006/relationships/hyperlink" Target="http://www.ecfr.gov/cgi-bin/text-idx?SID=6ec4361e10cf3783f38e927f2dde92c0&amp;mc=true&amp;node=pt2.1.200&amp;rgn=div5" TargetMode="External"/><Relationship Id="rId84" Type="http://schemas.openxmlformats.org/officeDocument/2006/relationships/hyperlink" Target="http://www.ecfr.gov/cgi-bin/text-idx?SID=6ec4361e10cf3783f38e927f2dde92c0&amp;mc=true&amp;node=pt2.1.200&amp;rgn=div5" TargetMode="External"/><Relationship Id="rId138" Type="http://schemas.openxmlformats.org/officeDocument/2006/relationships/hyperlink" Target="https://www.doleta.gov/wioa/" TargetMode="External"/><Relationship Id="rId159" Type="http://schemas.openxmlformats.org/officeDocument/2006/relationships/glossaryDocument" Target="glossary/document.xml"/><Relationship Id="rId107" Type="http://schemas.openxmlformats.org/officeDocument/2006/relationships/hyperlink" Target="http://www.ecfr.gov/cgi-bin/text-idx?SID=6ec4361e10cf3783f38e927f2dde92c0&amp;mc=true&amp;node=pt2.1.200&amp;rgn=div5" TargetMode="External"/><Relationship Id="rId11" Type="http://schemas.openxmlformats.org/officeDocument/2006/relationships/image" Target="media/image1.png"/><Relationship Id="rId32" Type="http://schemas.openxmlformats.org/officeDocument/2006/relationships/hyperlink" Target="https://edd.ca.gov/siteassets/files/jobs_and_training/pubs/wsd19-05.pdf" TargetMode="External"/><Relationship Id="rId53" Type="http://schemas.openxmlformats.org/officeDocument/2006/relationships/hyperlink" Target="http://www.ecfr.gov/cgi-bin/text-idx?SID=6ec4361e10cf3783f38e927f2dde92c0&amp;mc=true&amp;node=pt2.1.200&amp;rgn=div5" TargetMode="External"/><Relationship Id="rId74" Type="http://schemas.openxmlformats.org/officeDocument/2006/relationships/hyperlink" Target="http://www.ecfr.gov/cgi-bin/text-idx?SID=6ec4361e10cf3783f38e927f2dde92c0&amp;mc=true&amp;node=pt2.1.200&amp;rgn=div5" TargetMode="External"/><Relationship Id="rId128" Type="http://schemas.openxmlformats.org/officeDocument/2006/relationships/hyperlink" Target="http://www.labormarketinfo.edd.ca.gov/" TargetMode="External"/><Relationship Id="rId149" Type="http://schemas.openxmlformats.org/officeDocument/2006/relationships/hyperlink" Target="http://support.apple.com/downloads/" TargetMode="External"/><Relationship Id="rId5" Type="http://schemas.openxmlformats.org/officeDocument/2006/relationships/numbering" Target="numbering.xml"/><Relationship Id="rId95" Type="http://schemas.openxmlformats.org/officeDocument/2006/relationships/hyperlink" Target="http://www.ecfr.gov/cgi-bin/text-idx?SID=6ec4361e10cf3783f38e927f2dde92c0&amp;mc=true&amp;node=pt2.1.200&amp;rgn=div5" TargetMode="External"/><Relationship Id="rId160" Type="http://schemas.openxmlformats.org/officeDocument/2006/relationships/theme" Target="theme/theme1.xml"/><Relationship Id="rId22" Type="http://schemas.openxmlformats.org/officeDocument/2006/relationships/hyperlink" Target="https://sam.gov/content/entity-registration" TargetMode="External"/><Relationship Id="rId43" Type="http://schemas.openxmlformats.org/officeDocument/2006/relationships/hyperlink" Target="https://edd.ca.gov/siteassets/files/jobs_and_training/pubs/wsd17-08.pdf" TargetMode="External"/><Relationship Id="rId64" Type="http://schemas.openxmlformats.org/officeDocument/2006/relationships/hyperlink" Target="http://www.ecfr.gov/cgi-bin/text-idx?SID=6ec4361e10cf3783f38e927f2dde92c0&amp;mc=true&amp;node=pt2.1.200&amp;rgn=div5" TargetMode="External"/><Relationship Id="rId118" Type="http://schemas.openxmlformats.org/officeDocument/2006/relationships/hyperlink" Target="https://www.dor.ca.gov/" TargetMode="External"/><Relationship Id="rId139" Type="http://schemas.openxmlformats.org/officeDocument/2006/relationships/image" Target="media/image2.png"/><Relationship Id="rId80" Type="http://schemas.openxmlformats.org/officeDocument/2006/relationships/hyperlink" Target="http://www.ecfr.gov/cgi-bin/text-idx?SID=6ec4361e10cf3783f38e927f2dde92c0&amp;mc=true&amp;node=pt2.1.200&amp;rgn=div5" TargetMode="External"/><Relationship Id="rId85" Type="http://schemas.openxmlformats.org/officeDocument/2006/relationships/hyperlink" Target="http://www.ecfr.gov/cgi-bin/text-idx?SID=6ec4361e10cf3783f38e927f2dde92c0&amp;mc=true&amp;node=pt2.1.200&amp;rgn=div5" TargetMode="External"/><Relationship Id="rId150" Type="http://schemas.openxmlformats.org/officeDocument/2006/relationships/hyperlink" Target="https://apps.apple.com/us/app/apple-store/id535886823" TargetMode="External"/><Relationship Id="rId155" Type="http://schemas.openxmlformats.org/officeDocument/2006/relationships/hyperlink" Target="https://get.adobe.com/flashplayer/about/" TargetMode="External"/><Relationship Id="rId12" Type="http://schemas.openxmlformats.org/officeDocument/2006/relationships/hyperlink" Target="https://edd.ca.gov/siteassets/files/jobs_and_training/pubs/wssfp25-02att1.docx" TargetMode="External"/><Relationship Id="rId17" Type="http://schemas.openxmlformats.org/officeDocument/2006/relationships/hyperlink" Target="https://edd.ca.gov/siteassets/files/jobs_and_training/pubs/wssfp25-02att6.docx" TargetMode="External"/><Relationship Id="rId33" Type="http://schemas.openxmlformats.org/officeDocument/2006/relationships/hyperlink" Target="https://edd.ca.gov/siteassets/files/jobs_and_training/pubs/wsd16-05.pdf" TargetMode="External"/><Relationship Id="rId38" Type="http://schemas.openxmlformats.org/officeDocument/2006/relationships/hyperlink" Target="https://www.congress.gov/117/plaws/publ103/PLAW-117publ103.pdf" TargetMode="External"/><Relationship Id="rId59" Type="http://schemas.openxmlformats.org/officeDocument/2006/relationships/hyperlink" Target="http://www.ecfr.gov/cgi-bin/text-idx?SID=6ec4361e10cf3783f38e927f2dde92c0&amp;mc=true&amp;node=pt2.1.200&amp;rgn=div5" TargetMode="External"/><Relationship Id="rId103" Type="http://schemas.openxmlformats.org/officeDocument/2006/relationships/hyperlink" Target="http://www.ecfr.gov/cgi-bin/text-idx?SID=4c7e4586d6f95eb7cada89ad8ba8d225&amp;mc=true&amp;node=se2.1.2900_119&amp;rgn=div8" TargetMode="External"/><Relationship Id="rId108" Type="http://schemas.openxmlformats.org/officeDocument/2006/relationships/hyperlink" Target="http://www.ecfr.gov/cgi-bin/text-idx?SID=6ec4361e10cf3783f38e927f2dde92c0&amp;mc=true&amp;node=pt2.1.200&amp;rgn=div5" TargetMode="External"/><Relationship Id="rId124" Type="http://schemas.openxmlformats.org/officeDocument/2006/relationships/hyperlink" Target="http://calworkforce.org/" TargetMode="External"/><Relationship Id="rId129" Type="http://schemas.openxmlformats.org/officeDocument/2006/relationships/hyperlink" Target="http://www.edd.ca.gov/jobs_and_training/Local_Area_Listing.htm" TargetMode="External"/><Relationship Id="rId54" Type="http://schemas.openxmlformats.org/officeDocument/2006/relationships/hyperlink" Target="http://www.ecfr.gov/cgi-bin/text-idx?SID=6ec4361e10cf3783f38e927f2dde92c0&amp;mc=true&amp;node=pt2.1.200&amp;rgn=div5" TargetMode="External"/><Relationship Id="rId70" Type="http://schemas.openxmlformats.org/officeDocument/2006/relationships/hyperlink" Target="http://www.ecfr.gov/cgi-bin/text-idx?SID=6ec4361e10cf3783f38e927f2dde92c0&amp;mc=true&amp;node=pt2.1.200&amp;rgn=div5" TargetMode="External"/><Relationship Id="rId75" Type="http://schemas.openxmlformats.org/officeDocument/2006/relationships/hyperlink" Target="http://www.ecfr.gov/cgi-bin/text-idx?SID=6ec4361e10cf3783f38e927f2dde92c0&amp;mc=true&amp;node=pt2.1.200&amp;rgn=div5" TargetMode="External"/><Relationship Id="rId91" Type="http://schemas.openxmlformats.org/officeDocument/2006/relationships/hyperlink" Target="http://www.ecfr.gov/cgi-bin/text-idx?SID=6ec4361e10cf3783f38e927f2dde92c0&amp;mc=true&amp;node=pt2.1.200&amp;rgn=div5" TargetMode="External"/><Relationship Id="rId96" Type="http://schemas.openxmlformats.org/officeDocument/2006/relationships/hyperlink" Target="http://www.ecfr.gov/cgi-bin/text-idx?SID=6ec4361e10cf3783f38e927f2dde92c0&amp;mc=true&amp;node=pt2.1.200&amp;rgn=div5" TargetMode="External"/><Relationship Id="rId140" Type="http://schemas.openxmlformats.org/officeDocument/2006/relationships/hyperlink" Target="http://www.google.com/chrome" TargetMode="External"/><Relationship Id="rId145"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dd.ca.gov/Jobs_and_Training/pubs/wsd19-05.pdf" TargetMode="External"/><Relationship Id="rId28" Type="http://schemas.openxmlformats.org/officeDocument/2006/relationships/hyperlink" Target="https://edd.ca.gov/siteassets/files/jobs_and_training/pubs/wsd20-03.pdf" TargetMode="External"/><Relationship Id="rId49" Type="http://schemas.openxmlformats.org/officeDocument/2006/relationships/hyperlink" Target="https://www.ecfr.gov/current/title-2/subtitle-A/chapter-II/part-200?toc=1" TargetMode="External"/><Relationship Id="rId114" Type="http://schemas.openxmlformats.org/officeDocument/2006/relationships/hyperlink" Target="http://www.dof.ca.gov/Forecasting/Demographics/" TargetMode="External"/><Relationship Id="rId119" Type="http://schemas.openxmlformats.org/officeDocument/2006/relationships/hyperlink" Target="http://www.cdss.ca.gov/" TargetMode="External"/><Relationship Id="rId44" Type="http://schemas.openxmlformats.org/officeDocument/2006/relationships/hyperlink" Target="https://www.ecfr.gov/current/title-2/subtitle-A/chapter-II/part-200" TargetMode="External"/><Relationship Id="rId60" Type="http://schemas.openxmlformats.org/officeDocument/2006/relationships/hyperlink" Target="http://www.ecfr.gov/cgi-bin/text-idx?SID=6ec4361e10cf3783f38e927f2dde92c0&amp;mc=true&amp;node=pt2.1.200&amp;rgn=div5" TargetMode="External"/><Relationship Id="rId65" Type="http://schemas.openxmlformats.org/officeDocument/2006/relationships/hyperlink" Target="http://www.ecfr.gov/cgi-bin/text-idx?SID=6ec4361e10cf3783f38e927f2dde92c0&amp;mc=true&amp;node=pt2.1.200&amp;rgn=div5" TargetMode="External"/><Relationship Id="rId81" Type="http://schemas.openxmlformats.org/officeDocument/2006/relationships/hyperlink" Target="http://www.ecfr.gov/cgi-bin/text-idx?SID=6ec4361e10cf3783f38e927f2dde92c0&amp;mc=true&amp;node=pt2.1.200&amp;rgn=div5" TargetMode="External"/><Relationship Id="rId86" Type="http://schemas.openxmlformats.org/officeDocument/2006/relationships/hyperlink" Target="http://www.ecfr.gov/cgi-bin/text-idx?SID=6ec4361e10cf3783f38e927f2dde92c0&amp;mc=true&amp;node=pt2.1.200&amp;rgn=div5" TargetMode="External"/><Relationship Id="rId130" Type="http://schemas.openxmlformats.org/officeDocument/2006/relationships/hyperlink" Target="https://www.whitehouse.gov/" TargetMode="External"/><Relationship Id="rId135" Type="http://schemas.openxmlformats.org/officeDocument/2006/relationships/hyperlink" Target="https://www.doleta.gov/wioa/" TargetMode="External"/><Relationship Id="rId151" Type="http://schemas.openxmlformats.org/officeDocument/2006/relationships/hyperlink" Target="https://apps.apple.com/us/app/firefox-private-safe-browser/id989804926" TargetMode="External"/><Relationship Id="rId156" Type="http://schemas.openxmlformats.org/officeDocument/2006/relationships/hyperlink" Target="http://scriptx.meadroid.com/home.aspx" TargetMode="External"/><Relationship Id="rId13" Type="http://schemas.openxmlformats.org/officeDocument/2006/relationships/hyperlink" Target="https://edd.ca.gov/siteassets/files/jobs_and_training/pubs/wssfp25-02att2.docx" TargetMode="External"/><Relationship Id="rId18" Type="http://schemas.openxmlformats.org/officeDocument/2006/relationships/hyperlink" Target="https://edd.ca.gov/siteassets/files/jobs_and_training/pubs/wssfp25-02att7.docx" TargetMode="External"/><Relationship Id="rId39" Type="http://schemas.openxmlformats.org/officeDocument/2006/relationships/hyperlink" Target="https://www.ecfr.gov/current/title-2/subtitle-A/chapter-II/part-200?toc=1" TargetMode="External"/><Relationship Id="rId109" Type="http://schemas.openxmlformats.org/officeDocument/2006/relationships/hyperlink" Target="http://www.ecfr.gov/cgi-bin/text-idx?SID=6ec4361e10cf3783f38e927f2dde92c0&amp;mc=true&amp;node=pt2.1.200&amp;rgn=div5" TargetMode="External"/><Relationship Id="rId34" Type="http://schemas.openxmlformats.org/officeDocument/2006/relationships/hyperlink" Target="https://www.ecfr.gov/current/title-29" TargetMode="External"/><Relationship Id="rId50" Type="http://schemas.openxmlformats.org/officeDocument/2006/relationships/hyperlink" Target="https://www.ecfr.gov/current/title-2/subtitle-B/chapter-XXIX/part-2900?toc=1" TargetMode="External"/><Relationship Id="rId55" Type="http://schemas.openxmlformats.org/officeDocument/2006/relationships/hyperlink" Target="http://www.ecfr.gov/cgi-bin/text-idx?SID=6ec4361e10cf3783f38e927f2dde92c0&amp;mc=true&amp;node=pt2.1.200&amp;rgn=div5" TargetMode="External"/><Relationship Id="rId76" Type="http://schemas.openxmlformats.org/officeDocument/2006/relationships/hyperlink" Target="http://www.ecfr.gov/cgi-bin/text-idx?SID=6ec4361e10cf3783f38e927f2dde92c0&amp;mc=true&amp;node=pt2.1.200&amp;rgn=div5" TargetMode="External"/><Relationship Id="rId97" Type="http://schemas.openxmlformats.org/officeDocument/2006/relationships/hyperlink" Target="http://www.ecfr.gov/cgi-bin/text-idx?SID=6ec4361e10cf3783f38e927f2dde92c0&amp;mc=true&amp;node=pt2.1.200&amp;rgn=div5" TargetMode="External"/><Relationship Id="rId104" Type="http://schemas.openxmlformats.org/officeDocument/2006/relationships/hyperlink" Target="http://www.ecfr.gov/cgi-bin/text-idx?SID=6ec4361e10cf3783f38e927f2dde92c0&amp;mc=true&amp;node=pt2.1.200&amp;rgn=div5" TargetMode="External"/><Relationship Id="rId120" Type="http://schemas.openxmlformats.org/officeDocument/2006/relationships/hyperlink" Target="http://www.edd.ca.gov/" TargetMode="External"/><Relationship Id="rId125" Type="http://schemas.openxmlformats.org/officeDocument/2006/relationships/hyperlink" Target="http://cwdb.ca.gov/" TargetMode="External"/><Relationship Id="rId141" Type="http://schemas.openxmlformats.org/officeDocument/2006/relationships/image" Target="media/image3.png"/><Relationship Id="rId146" Type="http://schemas.openxmlformats.org/officeDocument/2006/relationships/hyperlink" Target="http://www.opera.com/download" TargetMode="External"/><Relationship Id="rId7" Type="http://schemas.openxmlformats.org/officeDocument/2006/relationships/settings" Target="settings.xml"/><Relationship Id="rId71" Type="http://schemas.openxmlformats.org/officeDocument/2006/relationships/hyperlink" Target="http://www.ecfr.gov/cgi-bin/text-idx?SID=6ec4361e10cf3783f38e927f2dde92c0&amp;mc=true&amp;node=pt2.1.200&amp;rgn=div5" TargetMode="External"/><Relationship Id="rId92" Type="http://schemas.openxmlformats.org/officeDocument/2006/relationships/hyperlink" Target="http://www.ecfr.gov/cgi-bin/text-idx?SID=6ec4361e10cf3783f38e927f2dde92c0&amp;mc=true&amp;node=pt2.1.200&amp;rgn=div5" TargetMode="External"/><Relationship Id="rId2" Type="http://schemas.openxmlformats.org/officeDocument/2006/relationships/customXml" Target="../customXml/item2.xml"/><Relationship Id="rId29" Type="http://schemas.openxmlformats.org/officeDocument/2006/relationships/hyperlink" Target="https://ion.workforcegps.org/resources/2017/07/14/09/08/Work-Based-Learning-Desk-Reference" TargetMode="External"/><Relationship Id="rId24" Type="http://schemas.openxmlformats.org/officeDocument/2006/relationships/hyperlink" Target="https://www.ecfr.gov/cgi-bin/text-idx?SID=daf3e637185a2e94363243de8662115f&amp;mc=true&amp;node=se2.1.200_1306&amp;rgn=div8" TargetMode="External"/><Relationship Id="rId40" Type="http://schemas.openxmlformats.org/officeDocument/2006/relationships/hyperlink" Target="https://www.federalregister.gov/documents/2016/08/19/2016-15975/workforce-innovation-and-opportunity-act" TargetMode="External"/><Relationship Id="rId45" Type="http://schemas.openxmlformats.org/officeDocument/2006/relationships/hyperlink" Target="https://www.ecfr.gov/current/title-2/subtitle-A/chapter-II/part-200/subpart-E/subject-group-ECFRea20080eff2ea53/section-200.407" TargetMode="External"/><Relationship Id="rId66" Type="http://schemas.openxmlformats.org/officeDocument/2006/relationships/hyperlink" Target="http://www.ecfr.gov/cgi-bin/text-idx?SID=4c7e4586d6f95eb7cada89ad8ba8d225&amp;mc=true&amp;node=se2.1.2900_118&amp;rgn=div8" TargetMode="External"/><Relationship Id="rId87" Type="http://schemas.openxmlformats.org/officeDocument/2006/relationships/hyperlink" Target="http://www.ecfr.gov/cgi-bin/text-idx?SID=6ec4361e10cf3783f38e927f2dde92c0&amp;mc=true&amp;node=pt2.1.200&amp;rgn=div5" TargetMode="External"/><Relationship Id="rId110" Type="http://schemas.openxmlformats.org/officeDocument/2006/relationships/hyperlink" Target="https://www.ecfr.gov/current/title-20/chapter-V/part-683/subpart-B/section-683.215" TargetMode="External"/><Relationship Id="rId115" Type="http://schemas.openxmlformats.org/officeDocument/2006/relationships/hyperlink" Target="http://www.dhcs.ca.gov/Pages/default.aspx" TargetMode="External"/><Relationship Id="rId131" Type="http://schemas.openxmlformats.org/officeDocument/2006/relationships/hyperlink" Target="https://www.edd.ca.gov/Jobs_and_Training/Grant_Subrecipient_Resources.htm" TargetMode="External"/><Relationship Id="rId136" Type="http://schemas.openxmlformats.org/officeDocument/2006/relationships/hyperlink" Target="http://www.edd.ca.gov/jobs_and_training/WDSFP_Workforce_Development_Solicitations_for_Proposals.htm" TargetMode="External"/><Relationship Id="rId157" Type="http://schemas.openxmlformats.org/officeDocument/2006/relationships/hyperlink" Target="https://www.dynamsoft.com/" TargetMode="External"/><Relationship Id="rId61" Type="http://schemas.openxmlformats.org/officeDocument/2006/relationships/hyperlink" Target="http://www.ecfr.gov/cgi-bin/text-idx?SID=6ec4361e10cf3783f38e927f2dde92c0&amp;mc=true&amp;node=pt2.1.200&amp;rgn=div5" TargetMode="External"/><Relationship Id="rId82" Type="http://schemas.openxmlformats.org/officeDocument/2006/relationships/hyperlink" Target="http://www.ecfr.gov/cgi-bin/text-idx?SID=6ec4361e10cf3783f38e927f2dde92c0&amp;mc=true&amp;node=pt2.1.200&amp;rgn=div5" TargetMode="External"/><Relationship Id="rId152" Type="http://schemas.openxmlformats.org/officeDocument/2006/relationships/hyperlink" Target="https://chrome.google.com/webstore/detail/google-play/komhbcfkdcgmcdoenjcjheifdiabikfi" TargetMode="External"/><Relationship Id="rId19" Type="http://schemas.openxmlformats.org/officeDocument/2006/relationships/hyperlink" Target="https://edd.ca.gov/siteassets/files/jobs_and_training/pubs/wssfp25-02att8.docx" TargetMode="External"/><Relationship Id="rId14" Type="http://schemas.openxmlformats.org/officeDocument/2006/relationships/hyperlink" Target="https://edd.ca.gov/siteassets/files/jobs_and_training/pubs/wssfp25-02att3.docx" TargetMode="External"/><Relationship Id="rId30" Type="http://schemas.openxmlformats.org/officeDocument/2006/relationships/hyperlink" Target="https://edd.ca.gov/siteassets/files/jobs_and_training/pubs/wsd24-05.pdf" TargetMode="External"/><Relationship Id="rId35" Type="http://schemas.openxmlformats.org/officeDocument/2006/relationships/hyperlink" Target="https://www.ecfr.gov/current/title-2/subtitle-A/chapter-II/part-200/subpart-D/subject-group-ECFR8feb98c2e3e5ad2/section-200.315" TargetMode="External"/><Relationship Id="rId56" Type="http://schemas.openxmlformats.org/officeDocument/2006/relationships/hyperlink" Target="http://www.ecfr.gov/cgi-bin/text-idx?SID=6ec4361e10cf3783f38e927f2dde92c0&amp;mc=true&amp;node=pt2.1.200&amp;rgn=div5" TargetMode="External"/><Relationship Id="rId77" Type="http://schemas.openxmlformats.org/officeDocument/2006/relationships/hyperlink" Target="http://www.ecfr.gov/cgi-bin/text-idx?SID=6ec4361e10cf3783f38e927f2dde92c0&amp;mc=true&amp;node=pt2.1.200&amp;rgn=div5" TargetMode="External"/><Relationship Id="rId100" Type="http://schemas.openxmlformats.org/officeDocument/2006/relationships/hyperlink" Target="http://www.ecfr.gov/cgi-bin/text-idx?SID=6ec4361e10cf3783f38e927f2dde92c0&amp;mc=true&amp;node=pt2.1.200&amp;rgn=div5" TargetMode="External"/><Relationship Id="rId105" Type="http://schemas.openxmlformats.org/officeDocument/2006/relationships/hyperlink" Target="http://www.ecfr.gov/cgi-bin/text-idx?SID=6ec4361e10cf3783f38e927f2dde92c0&amp;mc=true&amp;node=pt2.1.200&amp;rgn=div5" TargetMode="External"/><Relationship Id="rId126" Type="http://schemas.openxmlformats.org/officeDocument/2006/relationships/hyperlink" Target="https://ca.db101.org/" TargetMode="External"/><Relationship Id="rId147" Type="http://schemas.openxmlformats.org/officeDocument/2006/relationships/image" Target="media/image6.png"/><Relationship Id="rId8" Type="http://schemas.openxmlformats.org/officeDocument/2006/relationships/webSettings" Target="webSettings.xml"/><Relationship Id="rId51" Type="http://schemas.openxmlformats.org/officeDocument/2006/relationships/hyperlink" Target="https://www.ecfr.gov/current/title-2/subtitle-A/chapter-II/part-200/subpart-E/subject-group-ECFRea20080eff2ea53/section-200.407" TargetMode="External"/><Relationship Id="rId72" Type="http://schemas.openxmlformats.org/officeDocument/2006/relationships/hyperlink" Target="http://www.ecfr.gov/cgi-bin/text-idx?SID=6ec4361e10cf3783f38e927f2dde92c0&amp;mc=true&amp;node=pt2.1.200&amp;rgn=div5" TargetMode="External"/><Relationship Id="rId93" Type="http://schemas.openxmlformats.org/officeDocument/2006/relationships/hyperlink" Target="http://www.ecfr.gov/cgi-bin/text-idx?SID=6ec4361e10cf3783f38e927f2dde92c0&amp;mc=true&amp;node=pt2.1.200&amp;rgn=div5" TargetMode="External"/><Relationship Id="rId98" Type="http://schemas.openxmlformats.org/officeDocument/2006/relationships/hyperlink" Target="http://www.ecfr.gov/cgi-bin/text-idx?SID=6ec4361e10cf3783f38e927f2dde92c0&amp;mc=true&amp;node=pt2.1.200&amp;rgn=div5" TargetMode="External"/><Relationship Id="rId121" Type="http://schemas.openxmlformats.org/officeDocument/2006/relationships/hyperlink" Target="https://cwdb.ca.gov/plans_policies/2024-2027-state-plan/" TargetMode="External"/><Relationship Id="rId142" Type="http://schemas.openxmlformats.org/officeDocument/2006/relationships/hyperlink" Target="http://www.mozilla.org/firefox" TargetMode="External"/><Relationship Id="rId3" Type="http://schemas.openxmlformats.org/officeDocument/2006/relationships/customXml" Target="../customXml/item3.xml"/><Relationship Id="rId25" Type="http://schemas.openxmlformats.org/officeDocument/2006/relationships/hyperlink" Target="https://edd.ca.gov/siteassets/files/jobs_and_training/pubs/wsd24-05.pdf" TargetMode="External"/><Relationship Id="rId46" Type="http://schemas.openxmlformats.org/officeDocument/2006/relationships/hyperlink" Target="https://edd.ca.gov/siteassets/files/jobs_and_training/pubs/wsd16-16.pdf" TargetMode="External"/><Relationship Id="rId67" Type="http://schemas.openxmlformats.org/officeDocument/2006/relationships/hyperlink" Target="http://www.ecfr.gov/cgi-bin/text-idx?SID=6ec4361e10cf3783f38e927f2dde92c0&amp;mc=true&amp;node=pt2.1.200&amp;rgn=div5" TargetMode="External"/><Relationship Id="rId116" Type="http://schemas.openxmlformats.org/officeDocument/2006/relationships/hyperlink" Target="http://www.cde.ca.gov/sp/ae/fg/" TargetMode="External"/><Relationship Id="rId137" Type="http://schemas.openxmlformats.org/officeDocument/2006/relationships/hyperlink" Target="https://www.workforcegps.org/" TargetMode="External"/><Relationship Id="rId158"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edd.ca.gov/siteassets/files/jobs_and_training/pubs/wsd16-16.pdf" TargetMode="External"/><Relationship Id="rId62" Type="http://schemas.openxmlformats.org/officeDocument/2006/relationships/hyperlink" Target="http://www.ecfr.gov/cgi-bin/text-idx?SID=6ec4361e10cf3783f38e927f2dde92c0&amp;mc=true&amp;node=pt2.1.200&amp;rgn=div5" TargetMode="External"/><Relationship Id="rId83" Type="http://schemas.openxmlformats.org/officeDocument/2006/relationships/hyperlink" Target="http://www.ecfr.gov/cgi-bin/text-idx?SID=6ec4361e10cf3783f38e927f2dde92c0&amp;mc=true&amp;node=pt2.1.200&amp;rgn=div5" TargetMode="External"/><Relationship Id="rId88" Type="http://schemas.openxmlformats.org/officeDocument/2006/relationships/hyperlink" Target="http://www.ecfr.gov/cgi-bin/text-idx?SID=6ec4361e10cf3783f38e927f2dde92c0&amp;mc=true&amp;node=pt2.1.200&amp;rgn=div5" TargetMode="External"/><Relationship Id="rId111" Type="http://schemas.openxmlformats.org/officeDocument/2006/relationships/hyperlink" Target="https://edd.ca.gov/Office_Locator/" TargetMode="External"/><Relationship Id="rId132" Type="http://schemas.openxmlformats.org/officeDocument/2006/relationships/hyperlink" Target="https://www.census.gov/" TargetMode="External"/><Relationship Id="rId153" Type="http://schemas.openxmlformats.org/officeDocument/2006/relationships/hyperlink" Target="https://play.google.com/store/apps/details?id=org.mozilla.firefox" TargetMode="External"/><Relationship Id="rId15" Type="http://schemas.openxmlformats.org/officeDocument/2006/relationships/hyperlink" Target="https://edd.ca.gov/siteassets/files/jobs_and_training/pubs/wssfp25-02att4.docx" TargetMode="External"/><Relationship Id="rId36" Type="http://schemas.openxmlformats.org/officeDocument/2006/relationships/hyperlink" Target="https://www.ecfr.gov/current/title-2/subtitle-B/chapter-XXIX/part-2900/subpart-D/section-2900.13" TargetMode="External"/><Relationship Id="rId57" Type="http://schemas.openxmlformats.org/officeDocument/2006/relationships/hyperlink" Target="http://www.ecfr.gov/cgi-bin/text-idx?SID=6ec4361e10cf3783f38e927f2dde92c0&amp;mc=true&amp;node=pt2.1.200&amp;rgn=div5" TargetMode="External"/><Relationship Id="rId106" Type="http://schemas.openxmlformats.org/officeDocument/2006/relationships/hyperlink" Target="http://www.ecfr.gov/cgi-bin/text-idx?SID=6ec4361e10cf3783f38e927f2dde92c0&amp;mc=true&amp;node=pt2.1.200&amp;rgn=div5" TargetMode="External"/><Relationship Id="rId127" Type="http://schemas.openxmlformats.org/officeDocument/2006/relationships/hyperlink" Target="https://www.dol.gov/agencies/eta/wioa/regulations" TargetMode="External"/><Relationship Id="rId10" Type="http://schemas.openxmlformats.org/officeDocument/2006/relationships/endnotes" Target="endnotes.xml"/><Relationship Id="rId31" Type="http://schemas.openxmlformats.org/officeDocument/2006/relationships/hyperlink" Target="https://edd.ca.gov/siteassets/files/jobs_and_training/pubs/wsd20-10.pdf" TargetMode="External"/><Relationship Id="rId52" Type="http://schemas.openxmlformats.org/officeDocument/2006/relationships/hyperlink" Target="https://www.ecfr.gov/current/title-2/subtitle-B/chapter-XXIX/part-2900/subpart-E/section-2900.16" TargetMode="External"/><Relationship Id="rId73" Type="http://schemas.openxmlformats.org/officeDocument/2006/relationships/hyperlink" Target="http://www.ecfr.gov/cgi-bin/text-idx?SID=6ec4361e10cf3783f38e927f2dde92c0&amp;mc=true&amp;node=pt2.1.200&amp;rgn=div5" TargetMode="External"/><Relationship Id="rId78" Type="http://schemas.openxmlformats.org/officeDocument/2006/relationships/hyperlink" Target="http://www.ecfr.gov/cgi-bin/text-idx?SID=6ec4361e10cf3783f38e927f2dde92c0&amp;mc=true&amp;node=pt2.1.200&amp;rgn=div5" TargetMode="External"/><Relationship Id="rId94" Type="http://schemas.openxmlformats.org/officeDocument/2006/relationships/hyperlink" Target="http://www.ecfr.gov/cgi-bin/text-idx?SID=6ec4361e10cf3783f38e927f2dde92c0&amp;mc=true&amp;node=pt2.1.200&amp;rgn=div5" TargetMode="External"/><Relationship Id="rId99" Type="http://schemas.openxmlformats.org/officeDocument/2006/relationships/hyperlink" Target="http://www.ecfr.gov/cgi-bin/text-idx?SID=6ec4361e10cf3783f38e927f2dde92c0&amp;mc=true&amp;node=pt2.1.200&amp;rgn=div5" TargetMode="External"/><Relationship Id="rId101" Type="http://schemas.openxmlformats.org/officeDocument/2006/relationships/hyperlink" Target="http://www.ecfr.gov/cgi-bin/text-idx?SID=6ec4361e10cf3783f38e927f2dde92c0&amp;mc=true&amp;node=pt2.1.200&amp;rgn=div5" TargetMode="External"/><Relationship Id="rId122" Type="http://schemas.openxmlformats.org/officeDocument/2006/relationships/hyperlink" Target="https://www.caljobs.ca.gov/vosnet/Default.aspx" TargetMode="External"/><Relationship Id="rId143" Type="http://schemas.openxmlformats.org/officeDocument/2006/relationships/image" Target="media/image4.png"/><Relationship Id="rId148" Type="http://schemas.openxmlformats.org/officeDocument/2006/relationships/hyperlink" Target="http://www.microsoft.com/en-us/windows/microsoft-edg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dd.ca.gov/en/jobs_and_training/WDSFP_Workforce_Development_Solicitations_for_Proposals" TargetMode="External"/><Relationship Id="rId47" Type="http://schemas.openxmlformats.org/officeDocument/2006/relationships/hyperlink" Target="https://edd.ca.gov/siteassets/files/jobs_and_training/pubs/wsd16-10.pdf" TargetMode="External"/><Relationship Id="rId68" Type="http://schemas.openxmlformats.org/officeDocument/2006/relationships/hyperlink" Target="http://www.ecfr.gov/cgi-bin/text-idx?SID=6ec4361e10cf3783f38e927f2dde92c0&amp;mc=true&amp;node=pt2.1.200&amp;rgn=div5" TargetMode="External"/><Relationship Id="rId89" Type="http://schemas.openxmlformats.org/officeDocument/2006/relationships/hyperlink" Target="http://www.ecfr.gov/cgi-bin/text-idx?SID=6ec4361e10cf3783f38e927f2dde92c0&amp;mc=true&amp;node=pt2.1.200&amp;rgn=div5" TargetMode="External"/><Relationship Id="rId112" Type="http://schemas.openxmlformats.org/officeDocument/2006/relationships/hyperlink" Target="http://www.caled.org/" TargetMode="External"/><Relationship Id="rId133" Type="http://schemas.openxmlformats.org/officeDocument/2006/relationships/hyperlink" Target="https://www.sba.gov/" TargetMode="External"/><Relationship Id="rId154" Type="http://schemas.openxmlformats.org/officeDocument/2006/relationships/hyperlink" Target="http://get.adobe.com/reader/otherversions/" TargetMode="External"/><Relationship Id="rId16" Type="http://schemas.openxmlformats.org/officeDocument/2006/relationships/hyperlink" Target="https://edd.ca.gov/siteassets/files/jobs_and_training/pubs/wssfp25-02att5.docx" TargetMode="External"/><Relationship Id="rId37" Type="http://schemas.openxmlformats.org/officeDocument/2006/relationships/hyperlink" Target="https://edd.ca.gov/siteassets/files/jobs_and_training/pubs/wsd16-10.pdf" TargetMode="External"/><Relationship Id="rId58" Type="http://schemas.openxmlformats.org/officeDocument/2006/relationships/hyperlink" Target="http://www.ecfr.gov/cgi-bin/text-idx?SID=6ec4361e10cf3783f38e927f2dde92c0&amp;mc=true&amp;node=pt2.1.200&amp;rgn=div5" TargetMode="External"/><Relationship Id="rId79" Type="http://schemas.openxmlformats.org/officeDocument/2006/relationships/hyperlink" Target="http://www.ecfr.gov/cgi-bin/text-idx?SID=6ec4361e10cf3783f38e927f2dde92c0&amp;mc=true&amp;node=pt2.1.200&amp;rgn=div5" TargetMode="External"/><Relationship Id="rId102" Type="http://schemas.openxmlformats.org/officeDocument/2006/relationships/hyperlink" Target="http://www.ecfr.gov/cgi-bin/text-idx?SID=6ec4361e10cf3783f38e927f2dde92c0&amp;mc=true&amp;node=pt2.1.200&amp;rgn=div5" TargetMode="External"/><Relationship Id="rId123" Type="http://schemas.openxmlformats.org/officeDocument/2006/relationships/hyperlink" Target="http://www.labor.ca.gov/" TargetMode="External"/><Relationship Id="rId144" Type="http://schemas.openxmlformats.org/officeDocument/2006/relationships/hyperlink" Target="http://support.apple.com/downloads/" TargetMode="External"/><Relationship Id="rId90" Type="http://schemas.openxmlformats.org/officeDocument/2006/relationships/hyperlink" Target="http://www.ecfr.gov/cgi-bin/text-idx?SID=6ec4361e10cf3783f38e927f2dde92c0&amp;mc=true&amp;node=pt2.1.200&amp;rgn=div5" TargetMode="External"/><Relationship Id="rId27" Type="http://schemas.openxmlformats.org/officeDocument/2006/relationships/hyperlink" Target="https://edd.ca.gov/siteassets/files/jobs_and_training/pubs/wsd16-03.pdf" TargetMode="External"/><Relationship Id="rId48" Type="http://schemas.openxmlformats.org/officeDocument/2006/relationships/hyperlink" Target="https://edd.ca.gov/siteassets/files/jobs_and_training/pubs/wsd17-08.pdf" TargetMode="External"/><Relationship Id="rId69" Type="http://schemas.openxmlformats.org/officeDocument/2006/relationships/hyperlink" Target="http://www.ecfr.gov/cgi-bin/text-idx?SID=6ec4361e10cf3783f38e927f2dde92c0&amp;mc=true&amp;node=pt2.1.200&amp;rgn=div5" TargetMode="External"/><Relationship Id="rId113" Type="http://schemas.openxmlformats.org/officeDocument/2006/relationships/hyperlink" Target="http://cccewd.net/" TargetMode="External"/><Relationship Id="rId134" Type="http://schemas.openxmlformats.org/officeDocument/2006/relationships/hyperlink" Target="https://www.uschamberfoundation.org/search/site/IC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0FDF7D7C3148B182B21CB1BB24BE07"/>
        <w:category>
          <w:name w:val="General"/>
          <w:gallery w:val="placeholder"/>
        </w:category>
        <w:types>
          <w:type w:val="bbPlcHdr"/>
        </w:types>
        <w:behaviors>
          <w:behavior w:val="content"/>
        </w:behaviors>
        <w:guid w:val="{5F2918DC-7AF5-4377-BDD6-A4E15D51F1D6}"/>
      </w:docPartPr>
      <w:docPartBody>
        <w:p w:rsidR="004C5FBE" w:rsidRDefault="004C5FBE" w:rsidP="004C5FBE">
          <w:pPr>
            <w:pStyle w:val="120FDF7D7C3148B182B21CB1BB24BE07"/>
          </w:pPr>
          <w:r w:rsidRPr="009927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BE"/>
    <w:rsid w:val="00002890"/>
    <w:rsid w:val="00007118"/>
    <w:rsid w:val="000156CE"/>
    <w:rsid w:val="00064B73"/>
    <w:rsid w:val="00067584"/>
    <w:rsid w:val="00071EB7"/>
    <w:rsid w:val="000B24D3"/>
    <w:rsid w:val="000B344E"/>
    <w:rsid w:val="000B76D6"/>
    <w:rsid w:val="000E2E1E"/>
    <w:rsid w:val="000E4EF4"/>
    <w:rsid w:val="000F5E2F"/>
    <w:rsid w:val="000F6158"/>
    <w:rsid w:val="00112CBB"/>
    <w:rsid w:val="0012536A"/>
    <w:rsid w:val="00126676"/>
    <w:rsid w:val="001543A5"/>
    <w:rsid w:val="0019139B"/>
    <w:rsid w:val="00197515"/>
    <w:rsid w:val="001D732D"/>
    <w:rsid w:val="001E034B"/>
    <w:rsid w:val="001F70C4"/>
    <w:rsid w:val="001F7532"/>
    <w:rsid w:val="00202B06"/>
    <w:rsid w:val="002073D1"/>
    <w:rsid w:val="00210110"/>
    <w:rsid w:val="00235206"/>
    <w:rsid w:val="00241EF4"/>
    <w:rsid w:val="00244E2F"/>
    <w:rsid w:val="0025105E"/>
    <w:rsid w:val="00281333"/>
    <w:rsid w:val="00297C7B"/>
    <w:rsid w:val="002A53BD"/>
    <w:rsid w:val="002C2A71"/>
    <w:rsid w:val="002C30AC"/>
    <w:rsid w:val="002F668C"/>
    <w:rsid w:val="00303168"/>
    <w:rsid w:val="003040B5"/>
    <w:rsid w:val="0030447F"/>
    <w:rsid w:val="00315716"/>
    <w:rsid w:val="0033258F"/>
    <w:rsid w:val="00344662"/>
    <w:rsid w:val="00345783"/>
    <w:rsid w:val="00345885"/>
    <w:rsid w:val="003464B1"/>
    <w:rsid w:val="00361D57"/>
    <w:rsid w:val="0036277B"/>
    <w:rsid w:val="003B197A"/>
    <w:rsid w:val="003D2D4D"/>
    <w:rsid w:val="003D5853"/>
    <w:rsid w:val="00402E42"/>
    <w:rsid w:val="004278DD"/>
    <w:rsid w:val="00435131"/>
    <w:rsid w:val="004B49C4"/>
    <w:rsid w:val="004C5FBE"/>
    <w:rsid w:val="004D47FD"/>
    <w:rsid w:val="0053549D"/>
    <w:rsid w:val="00554447"/>
    <w:rsid w:val="005843C6"/>
    <w:rsid w:val="005B178A"/>
    <w:rsid w:val="005E7739"/>
    <w:rsid w:val="006054DB"/>
    <w:rsid w:val="00616ACE"/>
    <w:rsid w:val="00621327"/>
    <w:rsid w:val="00632C8F"/>
    <w:rsid w:val="00636391"/>
    <w:rsid w:val="00657736"/>
    <w:rsid w:val="006B27D5"/>
    <w:rsid w:val="006B5330"/>
    <w:rsid w:val="006B56DD"/>
    <w:rsid w:val="006D171A"/>
    <w:rsid w:val="006E54C7"/>
    <w:rsid w:val="006E67FB"/>
    <w:rsid w:val="006F1F9C"/>
    <w:rsid w:val="006F7C1A"/>
    <w:rsid w:val="00706F7A"/>
    <w:rsid w:val="0071270A"/>
    <w:rsid w:val="00721E98"/>
    <w:rsid w:val="00740ADD"/>
    <w:rsid w:val="00746840"/>
    <w:rsid w:val="00757542"/>
    <w:rsid w:val="0076314D"/>
    <w:rsid w:val="00776FC9"/>
    <w:rsid w:val="007B412E"/>
    <w:rsid w:val="007E5C14"/>
    <w:rsid w:val="00827BBE"/>
    <w:rsid w:val="00832384"/>
    <w:rsid w:val="00844447"/>
    <w:rsid w:val="008504EA"/>
    <w:rsid w:val="008517EC"/>
    <w:rsid w:val="008630AB"/>
    <w:rsid w:val="00877B15"/>
    <w:rsid w:val="008B1235"/>
    <w:rsid w:val="008D1D1F"/>
    <w:rsid w:val="008D28EC"/>
    <w:rsid w:val="008D2EB4"/>
    <w:rsid w:val="00902E85"/>
    <w:rsid w:val="00907FB2"/>
    <w:rsid w:val="00911F54"/>
    <w:rsid w:val="00912B82"/>
    <w:rsid w:val="00914178"/>
    <w:rsid w:val="0092697E"/>
    <w:rsid w:val="00955B17"/>
    <w:rsid w:val="00982ED2"/>
    <w:rsid w:val="00986EBF"/>
    <w:rsid w:val="00990BF6"/>
    <w:rsid w:val="009C40A0"/>
    <w:rsid w:val="009C6C9C"/>
    <w:rsid w:val="009C7824"/>
    <w:rsid w:val="009E131D"/>
    <w:rsid w:val="009F1CE5"/>
    <w:rsid w:val="00A075CD"/>
    <w:rsid w:val="00A236C7"/>
    <w:rsid w:val="00A27B3B"/>
    <w:rsid w:val="00A303E6"/>
    <w:rsid w:val="00A442EF"/>
    <w:rsid w:val="00A56E5D"/>
    <w:rsid w:val="00A61BEB"/>
    <w:rsid w:val="00A72773"/>
    <w:rsid w:val="00A82AEB"/>
    <w:rsid w:val="00A8316B"/>
    <w:rsid w:val="00AC6CAE"/>
    <w:rsid w:val="00AD70D2"/>
    <w:rsid w:val="00AE5571"/>
    <w:rsid w:val="00B0765E"/>
    <w:rsid w:val="00B21C4F"/>
    <w:rsid w:val="00B22027"/>
    <w:rsid w:val="00B2233F"/>
    <w:rsid w:val="00B23DF5"/>
    <w:rsid w:val="00B34FAC"/>
    <w:rsid w:val="00B37404"/>
    <w:rsid w:val="00B526B4"/>
    <w:rsid w:val="00B528CB"/>
    <w:rsid w:val="00B54231"/>
    <w:rsid w:val="00B919A8"/>
    <w:rsid w:val="00BA19FF"/>
    <w:rsid w:val="00BD2576"/>
    <w:rsid w:val="00BD6064"/>
    <w:rsid w:val="00BE421A"/>
    <w:rsid w:val="00C06B88"/>
    <w:rsid w:val="00C1141C"/>
    <w:rsid w:val="00C1412C"/>
    <w:rsid w:val="00C17635"/>
    <w:rsid w:val="00C35DA0"/>
    <w:rsid w:val="00C477FD"/>
    <w:rsid w:val="00C82AED"/>
    <w:rsid w:val="00C909BB"/>
    <w:rsid w:val="00C911A1"/>
    <w:rsid w:val="00CB4010"/>
    <w:rsid w:val="00CC02CC"/>
    <w:rsid w:val="00CC2BD8"/>
    <w:rsid w:val="00CD1C2A"/>
    <w:rsid w:val="00D002C8"/>
    <w:rsid w:val="00D002CC"/>
    <w:rsid w:val="00D100FC"/>
    <w:rsid w:val="00D13334"/>
    <w:rsid w:val="00D219D8"/>
    <w:rsid w:val="00D225C1"/>
    <w:rsid w:val="00D26648"/>
    <w:rsid w:val="00D3201C"/>
    <w:rsid w:val="00D4416E"/>
    <w:rsid w:val="00D55372"/>
    <w:rsid w:val="00D6721C"/>
    <w:rsid w:val="00D74357"/>
    <w:rsid w:val="00D757C5"/>
    <w:rsid w:val="00D8319D"/>
    <w:rsid w:val="00D918A0"/>
    <w:rsid w:val="00D94688"/>
    <w:rsid w:val="00DA5229"/>
    <w:rsid w:val="00DB6591"/>
    <w:rsid w:val="00DC031B"/>
    <w:rsid w:val="00DC17B7"/>
    <w:rsid w:val="00DE1484"/>
    <w:rsid w:val="00DF145B"/>
    <w:rsid w:val="00E00ABB"/>
    <w:rsid w:val="00E2057B"/>
    <w:rsid w:val="00E419EF"/>
    <w:rsid w:val="00E6690F"/>
    <w:rsid w:val="00E732F1"/>
    <w:rsid w:val="00E95213"/>
    <w:rsid w:val="00E96885"/>
    <w:rsid w:val="00EA70A1"/>
    <w:rsid w:val="00ED3620"/>
    <w:rsid w:val="00ED4DFA"/>
    <w:rsid w:val="00F03C35"/>
    <w:rsid w:val="00F26814"/>
    <w:rsid w:val="00F3630E"/>
    <w:rsid w:val="00F51CBC"/>
    <w:rsid w:val="00F62A84"/>
    <w:rsid w:val="00F80259"/>
    <w:rsid w:val="00F904F3"/>
    <w:rsid w:val="00F97B5D"/>
    <w:rsid w:val="00FB09B5"/>
    <w:rsid w:val="00FB0A8B"/>
    <w:rsid w:val="00FC7AD0"/>
    <w:rsid w:val="00FD3985"/>
    <w:rsid w:val="00FD53CF"/>
    <w:rsid w:val="00FE6FCA"/>
    <w:rsid w:val="00FF3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FBE"/>
    <w:rPr>
      <w:color w:val="808080"/>
    </w:rPr>
  </w:style>
  <w:style w:type="paragraph" w:customStyle="1" w:styleId="120FDF7D7C3148B182B21CB1BB24BE07">
    <w:name w:val="120FDF7D7C3148B182B21CB1BB24BE07"/>
    <w:rsid w:val="004C5FB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2.xml><?xml version="1.0" encoding="utf-8"?>
<ds:datastoreItem xmlns:ds="http://schemas.openxmlformats.org/officeDocument/2006/customXml" ds:itemID="{30F03F4F-949E-49F3-AF61-638C5C781C48}">
  <ds:schemaRef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87723afd-882f-4d2a-a77d-9bd4bb59c539"/>
    <ds:schemaRef ds:uri="http://schemas.microsoft.com/office/2006/metadata/properties"/>
  </ds:schemaRefs>
</ds:datastoreItem>
</file>

<file path=customXml/itemProps3.xml><?xml version="1.0" encoding="utf-8"?>
<ds:datastoreItem xmlns:ds="http://schemas.openxmlformats.org/officeDocument/2006/customXml" ds:itemID="{712B1FB7-4EC7-4019-82D7-BAD6B2FEF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AF493-77F0-41E0-BAA5-27BD50E52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64</Pages>
  <Words>15883</Words>
  <Characters>109877</Characters>
  <Application>Microsoft Office Word</Application>
  <DocSecurity>0</DocSecurity>
  <Lines>2242</Lines>
  <Paragraphs>722</Paragraphs>
  <ScaleCrop>false</ScaleCrop>
  <HeadingPairs>
    <vt:vector size="2" baseType="variant">
      <vt:variant>
        <vt:lpstr>Title</vt:lpstr>
      </vt:variant>
      <vt:variant>
        <vt:i4>1</vt:i4>
      </vt:variant>
    </vt:vector>
  </HeadingPairs>
  <TitlesOfParts>
    <vt:vector size="1" baseType="lpstr">
      <vt:lpstr>EPTA PY 25-26 SFP</vt:lpstr>
    </vt:vector>
  </TitlesOfParts>
  <Company/>
  <LinksUpToDate>false</LinksUpToDate>
  <CharactersWithSpaces>125038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EPTA PY 25-26 SFP</dc:title>
  <dc:subject/>
  <dc:creator>Augustus, Kent@EDD</dc:creator>
  <cp:keywords>EPTA PY 25-26</cp:keywords>
  <dc:description/>
  <cp:lastModifiedBy>Augustus, Kent@EDD</cp:lastModifiedBy>
  <cp:revision>90</cp:revision>
  <dcterms:created xsi:type="dcterms:W3CDTF">2025-12-09T17:23:00Z</dcterms:created>
  <dcterms:modified xsi:type="dcterms:W3CDTF">2025-12-29T22:38:00Z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2842c9afdf5fd066828d6102920c8bac70836a271e9140df905a12e4076ab9ac</vt:lpwstr>
  </property>
  <property fmtid="{D5CDD505-2E9C-101B-9397-08002B2CF9AE}" pid="4" name="TaxKeywordTaxHTField">
    <vt:lpwstr>EPTA PY 25-26|158c7485-73cf-4da9-b80f-b9c492f9aa31</vt:lpwstr>
  </property>
  <property fmtid="{D5CDD505-2E9C-101B-9397-08002B2CF9AE}" pid="5" name="TaxKeyword">
    <vt:lpwstr>877;#EPTA PY 25-26|158c7485-73cf-4da9-b80f-b9c492f9aa31</vt:lpwstr>
  </property>
  <property fmtid="{D5CDD505-2E9C-101B-9397-08002B2CF9AE}" pid="6" name="TaxCatchAll">
    <vt:lpwstr>877;#EPTA PY 25-26</vt:lpwstr>
  </property>
</Properties>
</file>