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6F34" w14:textId="26E9A213" w:rsidR="00C61260" w:rsidRDefault="00C009EC" w:rsidP="003A10C1">
      <w:pPr>
        <w:pStyle w:val="Header"/>
      </w:pPr>
      <w:r w:rsidRPr="00C009EC">
        <w:rPr>
          <w:rFonts w:ascii="Calibri" w:eastAsia="Times New Roman" w:hAnsi="Calibri" w:cs="Times New Roman"/>
          <w:noProof/>
          <w:szCs w:val="24"/>
        </w:rPr>
        <w:drawing>
          <wp:inline distT="0" distB="0" distL="0" distR="0" wp14:anchorId="26BEA76E" wp14:editId="347CE3BB">
            <wp:extent cx="1089660" cy="681038"/>
            <wp:effectExtent l="0" t="0" r="0" b="5080"/>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557" cy="714724"/>
                    </a:xfrm>
                    <a:prstGeom prst="rect">
                      <a:avLst/>
                    </a:prstGeom>
                    <a:noFill/>
                    <a:ln>
                      <a:noFill/>
                    </a:ln>
                  </pic:spPr>
                </pic:pic>
              </a:graphicData>
            </a:graphic>
          </wp:inline>
        </w:drawing>
      </w:r>
    </w:p>
    <w:p w14:paraId="2F40D1E4" w14:textId="4D629682" w:rsidR="00C61260" w:rsidRPr="00167951" w:rsidRDefault="005340A7" w:rsidP="00167951">
      <w:pPr>
        <w:pStyle w:val="Heading1"/>
      </w:pPr>
      <w:r>
        <w:t>Campesino de California Outreach Grant – Radio Media Program</w:t>
      </w:r>
    </w:p>
    <w:p w14:paraId="64C0F3EA" w14:textId="3C8BDC4C" w:rsidR="00C61260" w:rsidRPr="00DF7D10" w:rsidRDefault="00C61260" w:rsidP="00167951">
      <w:pPr>
        <w:pStyle w:val="Heading1"/>
      </w:pPr>
      <w:r>
        <w:t xml:space="preserve">Solicitation for Proposals </w:t>
      </w:r>
      <w:r w:rsidRPr="00DF7D10">
        <w:t>P</w:t>
      </w:r>
      <w:r>
        <w:t xml:space="preserve">rogram </w:t>
      </w:r>
      <w:r w:rsidRPr="00DF7D10">
        <w:t>Y</w:t>
      </w:r>
      <w:r>
        <w:t>ear</w:t>
      </w:r>
      <w:r w:rsidRPr="00DF7D10">
        <w:t xml:space="preserve"> </w:t>
      </w:r>
      <w:r w:rsidR="009A5066">
        <w:t>2025-26</w:t>
      </w:r>
    </w:p>
    <w:p w14:paraId="7EB0DB3F" w14:textId="5BC8DB6D" w:rsidR="00C61260" w:rsidRPr="00CF74D4" w:rsidRDefault="00C61260" w:rsidP="00167951">
      <w:pPr>
        <w:pStyle w:val="Heading1"/>
        <w:sectPr w:rsidR="00C61260" w:rsidRPr="00CF74D4" w:rsidSect="00C009EC">
          <w:headerReference w:type="default" r:id="rId11"/>
          <w:footerReference w:type="default" r:id="rId12"/>
          <w:footerReference w:type="first" r:id="rId13"/>
          <w:pgSz w:w="12240" w:h="15840"/>
          <w:pgMar w:top="1008" w:right="1008" w:bottom="1008" w:left="1008" w:header="720" w:footer="720" w:gutter="0"/>
          <w:cols w:num="2" w:space="144" w:equalWidth="0">
            <w:col w:w="1872" w:space="144"/>
            <w:col w:w="8208"/>
          </w:cols>
          <w:titlePg/>
          <w:docGrid w:linePitch="360"/>
        </w:sectPr>
      </w:pPr>
      <w:r w:rsidRPr="001A2FE1">
        <w:t>Questions and Answers</w:t>
      </w:r>
    </w:p>
    <w:p w14:paraId="75A9F7C1" w14:textId="77777777" w:rsidR="003A6798" w:rsidRPr="001A2FE1" w:rsidRDefault="003A6798" w:rsidP="001A2FE1">
      <w:pPr>
        <w:pBdr>
          <w:bottom w:val="single" w:sz="4" w:space="1" w:color="auto"/>
        </w:pBdr>
        <w:rPr>
          <w:b/>
          <w:sz w:val="16"/>
          <w:szCs w:val="16"/>
        </w:rPr>
      </w:pPr>
    </w:p>
    <w:p w14:paraId="75A9F7C3" w14:textId="77777777" w:rsidR="00DF7D10" w:rsidRPr="001A2FE1" w:rsidRDefault="00DF7D10" w:rsidP="00DF7D10">
      <w:pPr>
        <w:spacing w:after="0"/>
        <w:rPr>
          <w:b/>
          <w:color w:val="1F4E79" w:themeColor="accent1" w:themeShade="80"/>
          <w:szCs w:val="24"/>
        </w:rPr>
      </w:pPr>
    </w:p>
    <w:p w14:paraId="75A9F7C4" w14:textId="0721047A" w:rsidR="00DF7D10" w:rsidRPr="007A79A8" w:rsidRDefault="00AF24F8" w:rsidP="007A79A8">
      <w:pPr>
        <w:spacing w:after="0"/>
        <w:rPr>
          <w:b/>
          <w:bCs/>
        </w:rPr>
      </w:pPr>
      <w:r>
        <w:t>1.</w:t>
      </w:r>
      <w:r w:rsidR="00DF7D10" w:rsidRPr="003D1C23">
        <w:rPr>
          <w:szCs w:val="24"/>
        </w:rPr>
        <w:t xml:space="preserve"> </w:t>
      </w:r>
      <w:r w:rsidR="005340A7" w:rsidRPr="00BD3CE3">
        <w:rPr>
          <w:b/>
          <w:bCs/>
          <w:szCs w:val="24"/>
        </w:rPr>
        <w:t>T</w:t>
      </w:r>
      <w:r w:rsidR="007A79A8" w:rsidRPr="007A79A8">
        <w:rPr>
          <w:b/>
          <w:bCs/>
        </w:rPr>
        <w:t xml:space="preserve">he last bullet point on page 22 of the SFP reads "Explain how these outreach methods will ensure equity goals are met?" </w:t>
      </w:r>
      <w:r w:rsidR="005340A7">
        <w:rPr>
          <w:b/>
          <w:bCs/>
        </w:rPr>
        <w:t>Are these equity goals established by the EDD?</w:t>
      </w:r>
    </w:p>
    <w:p w14:paraId="75A9F7C5" w14:textId="77777777" w:rsidR="00DF7D10" w:rsidRDefault="00DF7D10" w:rsidP="00DF7D10">
      <w:pPr>
        <w:spacing w:after="0" w:line="240" w:lineRule="auto"/>
        <w:rPr>
          <w:szCs w:val="24"/>
        </w:rPr>
      </w:pPr>
    </w:p>
    <w:p w14:paraId="75A9F7C6" w14:textId="21FB3CFC" w:rsidR="00DF7D10" w:rsidRPr="00DE5EB4" w:rsidRDefault="00F07663" w:rsidP="00C77556">
      <w:pPr>
        <w:spacing w:after="0" w:line="240" w:lineRule="auto"/>
        <w:rPr>
          <w:szCs w:val="24"/>
        </w:rPr>
      </w:pPr>
      <w:r w:rsidRPr="00F07663">
        <w:rPr>
          <w:szCs w:val="24"/>
        </w:rPr>
        <w:t xml:space="preserve">That bullet refers to equity goals set by the </w:t>
      </w:r>
      <w:r w:rsidR="005340A7">
        <w:rPr>
          <w:szCs w:val="24"/>
        </w:rPr>
        <w:t>applicant</w:t>
      </w:r>
      <w:r w:rsidRPr="00F07663">
        <w:rPr>
          <w:szCs w:val="24"/>
        </w:rPr>
        <w:t xml:space="preserve">. Each organization will </w:t>
      </w:r>
      <w:r w:rsidR="005340A7">
        <w:rPr>
          <w:szCs w:val="24"/>
        </w:rPr>
        <w:t>set</w:t>
      </w:r>
      <w:r w:rsidRPr="00F07663">
        <w:rPr>
          <w:szCs w:val="24"/>
        </w:rPr>
        <w:t xml:space="preserve"> its own goals for what percentage of the target population it will reach, and this section of the Project Narrative requires the applicant to identify their goals and explain how they will meet them</w:t>
      </w:r>
      <w:r w:rsidR="00156BCD">
        <w:rPr>
          <w:szCs w:val="24"/>
        </w:rPr>
        <w:t>.</w:t>
      </w:r>
    </w:p>
    <w:p w14:paraId="75A9F7C7" w14:textId="77777777" w:rsidR="00DF7D10" w:rsidRPr="00DF7D10" w:rsidRDefault="00DF7D10" w:rsidP="00DF7D10">
      <w:pPr>
        <w:spacing w:after="0" w:line="240" w:lineRule="auto"/>
        <w:rPr>
          <w:sz w:val="32"/>
          <w:szCs w:val="32"/>
        </w:rPr>
      </w:pPr>
    </w:p>
    <w:p w14:paraId="75A9F7C8" w14:textId="14A72026" w:rsidR="00E62748" w:rsidRPr="00F07663" w:rsidRDefault="00AF24F8" w:rsidP="00F07663">
      <w:pPr>
        <w:spacing w:after="0"/>
        <w:rPr>
          <w:rFonts w:cstheme="minorHAnsi"/>
          <w:b/>
          <w:bCs/>
        </w:rPr>
      </w:pPr>
      <w:r>
        <w:t>2.</w:t>
      </w:r>
      <w:r w:rsidR="00E62748" w:rsidRPr="003D1C23">
        <w:rPr>
          <w:szCs w:val="24"/>
        </w:rPr>
        <w:t xml:space="preserve"> </w:t>
      </w:r>
      <w:r w:rsidR="00F07663" w:rsidRPr="00F07663">
        <w:rPr>
          <w:rFonts w:cstheme="minorHAnsi"/>
          <w:b/>
          <w:bCs/>
        </w:rPr>
        <w:t xml:space="preserve">Are organizations required to establish a contract with a radio station </w:t>
      </w:r>
      <w:r w:rsidR="005340A7">
        <w:rPr>
          <w:rFonts w:cstheme="minorHAnsi"/>
          <w:b/>
          <w:bCs/>
        </w:rPr>
        <w:t>before</w:t>
      </w:r>
      <w:r w:rsidR="00F07663" w:rsidRPr="00F07663">
        <w:rPr>
          <w:rFonts w:cstheme="minorHAnsi"/>
          <w:b/>
          <w:bCs/>
        </w:rPr>
        <w:t xml:space="preserve"> applying, or can they produce a podcast and distribute it on various social media platforms, such as YouTube? Is it mandatory for it to be broadcast on a radio station?</w:t>
      </w:r>
    </w:p>
    <w:p w14:paraId="75A9F7C9" w14:textId="77777777" w:rsidR="00E62748" w:rsidRDefault="00E62748" w:rsidP="00E62748">
      <w:pPr>
        <w:spacing w:after="0" w:line="240" w:lineRule="auto"/>
        <w:rPr>
          <w:szCs w:val="24"/>
        </w:rPr>
      </w:pPr>
    </w:p>
    <w:p w14:paraId="75A9F7CB" w14:textId="35E0AF04" w:rsidR="00E62748" w:rsidRDefault="001D19CB" w:rsidP="00E62748">
      <w:pPr>
        <w:spacing w:after="0" w:line="240" w:lineRule="auto"/>
        <w:rPr>
          <w:szCs w:val="24"/>
        </w:rPr>
      </w:pPr>
      <w:r>
        <w:rPr>
          <w:szCs w:val="24"/>
        </w:rPr>
        <w:t xml:space="preserve">It is mandatory for the show to be broadcast on the radio. </w:t>
      </w:r>
      <w:r w:rsidR="00F07663" w:rsidRPr="00F07663">
        <w:rPr>
          <w:szCs w:val="24"/>
        </w:rPr>
        <w:t xml:space="preserve">The awardee must be able to procure </w:t>
      </w:r>
      <w:r w:rsidR="00370709" w:rsidRPr="00F07663">
        <w:rPr>
          <w:szCs w:val="24"/>
        </w:rPr>
        <w:t>and sign a</w:t>
      </w:r>
      <w:r w:rsidR="00F07663" w:rsidRPr="00F07663">
        <w:rPr>
          <w:szCs w:val="24"/>
        </w:rPr>
        <w:t xml:space="preserve"> contract with the appropriate broadcasting companies and </w:t>
      </w:r>
      <w:proofErr w:type="gramStart"/>
      <w:r w:rsidR="00F07663" w:rsidRPr="00F07663">
        <w:rPr>
          <w:szCs w:val="24"/>
        </w:rPr>
        <w:t>repeater</w:t>
      </w:r>
      <w:proofErr w:type="gramEnd"/>
      <w:r w:rsidR="00F07663" w:rsidRPr="00F07663">
        <w:rPr>
          <w:szCs w:val="24"/>
        </w:rPr>
        <w:t xml:space="preserve"> stations. In addition to the radio talk </w:t>
      </w:r>
      <w:proofErr w:type="gramStart"/>
      <w:r w:rsidR="00F07663" w:rsidRPr="00F07663">
        <w:rPr>
          <w:szCs w:val="24"/>
        </w:rPr>
        <w:t>show</w:t>
      </w:r>
      <w:proofErr w:type="gramEnd"/>
      <w:r w:rsidR="00F07663" w:rsidRPr="00F07663">
        <w:rPr>
          <w:szCs w:val="24"/>
        </w:rPr>
        <w:t xml:space="preserve">, awardees must create </w:t>
      </w:r>
      <w:r w:rsidR="00DE075D">
        <w:rPr>
          <w:szCs w:val="24"/>
        </w:rPr>
        <w:t>complementary</w:t>
      </w:r>
      <w:r w:rsidR="00F07663" w:rsidRPr="00F07663">
        <w:rPr>
          <w:szCs w:val="24"/>
        </w:rPr>
        <w:t xml:space="preserve"> media posts on their website and use social media outlets to publicize the radio talk show videos.</w:t>
      </w:r>
    </w:p>
    <w:p w14:paraId="24927CC3" w14:textId="77777777" w:rsidR="00F07663" w:rsidRPr="00DF7D10" w:rsidRDefault="00F07663" w:rsidP="00E62748">
      <w:pPr>
        <w:spacing w:after="0" w:line="240" w:lineRule="auto"/>
        <w:rPr>
          <w:sz w:val="32"/>
          <w:szCs w:val="32"/>
        </w:rPr>
      </w:pPr>
    </w:p>
    <w:p w14:paraId="75A9F7CC" w14:textId="1B5718D0" w:rsidR="00E62748" w:rsidRPr="00DE5EB4" w:rsidRDefault="00AF24F8" w:rsidP="00E62748">
      <w:pPr>
        <w:spacing w:after="0" w:line="240" w:lineRule="auto"/>
        <w:rPr>
          <w:szCs w:val="24"/>
        </w:rPr>
      </w:pPr>
      <w:r>
        <w:t>3.</w:t>
      </w:r>
      <w:r w:rsidR="00E62748" w:rsidRPr="002E324F">
        <w:rPr>
          <w:szCs w:val="24"/>
        </w:rPr>
        <w:t xml:space="preserve"> </w:t>
      </w:r>
      <w:r w:rsidR="001D19CB" w:rsidRPr="001D19CB">
        <w:rPr>
          <w:b/>
          <w:bCs/>
          <w:szCs w:val="24"/>
        </w:rPr>
        <w:t>What are some common reasons an organization might get disqualified</w:t>
      </w:r>
      <w:r w:rsidR="00BD3CE3">
        <w:rPr>
          <w:b/>
          <w:bCs/>
          <w:szCs w:val="24"/>
        </w:rPr>
        <w:t>?</w:t>
      </w:r>
    </w:p>
    <w:p w14:paraId="75A9F7CD" w14:textId="77777777" w:rsidR="00E62748" w:rsidRDefault="00E62748" w:rsidP="00E62748">
      <w:pPr>
        <w:spacing w:after="0" w:line="240" w:lineRule="auto"/>
        <w:rPr>
          <w:szCs w:val="24"/>
        </w:rPr>
      </w:pPr>
    </w:p>
    <w:p w14:paraId="7CFF1B9F" w14:textId="24C2FE0D" w:rsidR="001D19CB" w:rsidRPr="001D19CB" w:rsidRDefault="001D19CB" w:rsidP="001D19CB">
      <w:pPr>
        <w:spacing w:after="0"/>
      </w:pPr>
      <w:r w:rsidRPr="001D19CB">
        <w:t>The three most common reasons for an application to be disqualified are</w:t>
      </w:r>
      <w:r w:rsidR="00BD3CE3">
        <w:t xml:space="preserve"> as follows</w:t>
      </w:r>
      <w:r w:rsidRPr="001D19CB">
        <w:t>:</w:t>
      </w:r>
    </w:p>
    <w:p w14:paraId="177899CC" w14:textId="2BD6A1C5" w:rsidR="001D19CB" w:rsidRPr="001D19CB" w:rsidRDefault="001D19CB" w:rsidP="00BD3CE3">
      <w:pPr>
        <w:pStyle w:val="ListParagraph"/>
        <w:numPr>
          <w:ilvl w:val="0"/>
          <w:numId w:val="4"/>
        </w:numPr>
        <w:spacing w:after="0" w:line="240" w:lineRule="auto"/>
      </w:pPr>
      <w:r w:rsidRPr="001D19CB">
        <w:t>Missing or incomplete Commitment Letters</w:t>
      </w:r>
    </w:p>
    <w:p w14:paraId="0C960CB5" w14:textId="3A96DE3A" w:rsidR="001D19CB" w:rsidRPr="001D19CB" w:rsidRDefault="001D19CB" w:rsidP="00BD3CE3">
      <w:pPr>
        <w:pStyle w:val="ListParagraph"/>
        <w:numPr>
          <w:ilvl w:val="0"/>
          <w:numId w:val="5"/>
        </w:numPr>
        <w:spacing w:after="0" w:line="240" w:lineRule="auto"/>
        <w:ind w:left="1656"/>
      </w:pPr>
      <w:r w:rsidRPr="001D19CB">
        <w:t xml:space="preserve">No leverage fund requirement exists for the </w:t>
      </w:r>
      <w:r w:rsidR="009E06FA">
        <w:t xml:space="preserve">CCOG-RM </w:t>
      </w:r>
      <w:r w:rsidRPr="001D19CB">
        <w:t xml:space="preserve">solicitation; therefore, Commitment Letters are not required unless the applicant leverages </w:t>
      </w:r>
      <w:r w:rsidR="009E06FA">
        <w:t>resources</w:t>
      </w:r>
      <w:r w:rsidRPr="001D19CB">
        <w:t xml:space="preserve">. If so, applicants should provide a letter to verify the dollar amount and the source of contributions from each entity that pledges cash or in-kind resources to the project. Also, the </w:t>
      </w:r>
      <w:r w:rsidR="009E06FA">
        <w:t>leveraged resources</w:t>
      </w:r>
      <w:r w:rsidRPr="001D19CB">
        <w:t xml:space="preserve"> stated in the Commitment Letters must match the leveraged funds on the Cover Signature Page submitted in the application.</w:t>
      </w:r>
    </w:p>
    <w:p w14:paraId="73724063" w14:textId="190E8851" w:rsidR="001D19CB" w:rsidRPr="001D19CB" w:rsidRDefault="001D19CB" w:rsidP="00BD3CE3">
      <w:pPr>
        <w:pStyle w:val="ListParagraph"/>
        <w:numPr>
          <w:ilvl w:val="0"/>
          <w:numId w:val="4"/>
        </w:numPr>
        <w:spacing w:after="0" w:line="240" w:lineRule="auto"/>
      </w:pPr>
      <w:r w:rsidRPr="001D19CB">
        <w:t>No valid System of Award Management (SAM) account registration</w:t>
      </w:r>
    </w:p>
    <w:p w14:paraId="011CFE7E" w14:textId="072E6020" w:rsidR="001D19CB" w:rsidRPr="001D19CB" w:rsidRDefault="001D19CB" w:rsidP="00BD3CE3">
      <w:pPr>
        <w:pStyle w:val="ListParagraph"/>
        <w:numPr>
          <w:ilvl w:val="0"/>
          <w:numId w:val="5"/>
        </w:numPr>
        <w:spacing w:after="0" w:line="240" w:lineRule="auto"/>
        <w:ind w:left="1656"/>
      </w:pPr>
      <w:r w:rsidRPr="001D19CB">
        <w:t>Applicants must register with the SAM to apply for and receive funding for this initiative. Registration with the SAM must be reviewed and updated every 12 months to remain current, accurate, and complete in the SAM database. A recipient must maintain active registration with current information during which it has an application under consideration or an active state or federal award, including state and federal funding distributed through the EDD.</w:t>
      </w:r>
    </w:p>
    <w:p w14:paraId="505BEA3C" w14:textId="117FF0D2" w:rsidR="001D19CB" w:rsidRPr="001D19CB" w:rsidRDefault="001D19CB" w:rsidP="00BD3CE3">
      <w:pPr>
        <w:pStyle w:val="ListParagraph"/>
        <w:numPr>
          <w:ilvl w:val="0"/>
          <w:numId w:val="4"/>
        </w:numPr>
        <w:spacing w:after="0" w:line="240" w:lineRule="auto"/>
      </w:pPr>
      <w:r w:rsidRPr="001D19CB">
        <w:t>Missing or incomplete exhibits</w:t>
      </w:r>
    </w:p>
    <w:p w14:paraId="7135DE0E" w14:textId="636C4452" w:rsidR="001D19CB" w:rsidRPr="001D19CB" w:rsidRDefault="001D19CB" w:rsidP="00BD3CE3">
      <w:pPr>
        <w:pStyle w:val="ListParagraph"/>
        <w:numPr>
          <w:ilvl w:val="0"/>
          <w:numId w:val="5"/>
        </w:numPr>
        <w:spacing w:after="0" w:line="240" w:lineRule="auto"/>
        <w:ind w:left="1656"/>
      </w:pPr>
      <w:r w:rsidRPr="001D19CB">
        <w:t>Before applying, please ensure that all required exhibits have been completed and are included in the submission.</w:t>
      </w:r>
    </w:p>
    <w:p w14:paraId="75A9F7CE" w14:textId="3A94B7B9" w:rsidR="00E62748" w:rsidRPr="00DE5EB4" w:rsidRDefault="00E62748" w:rsidP="00C77556">
      <w:pPr>
        <w:spacing w:after="0" w:line="240" w:lineRule="auto"/>
      </w:pPr>
    </w:p>
    <w:p w14:paraId="75A9F7CF" w14:textId="77777777" w:rsidR="00E62748" w:rsidRPr="00DF7D10" w:rsidRDefault="00E62748" w:rsidP="00E62748">
      <w:pPr>
        <w:spacing w:after="0" w:line="240" w:lineRule="auto"/>
        <w:rPr>
          <w:sz w:val="32"/>
          <w:szCs w:val="32"/>
        </w:rPr>
      </w:pPr>
    </w:p>
    <w:p w14:paraId="75A9F7D0" w14:textId="3B5F1C73" w:rsidR="00E62748" w:rsidRPr="00F07663" w:rsidRDefault="00AF24F8" w:rsidP="00F07663">
      <w:pPr>
        <w:spacing w:after="0"/>
        <w:rPr>
          <w:b/>
          <w:bCs/>
        </w:rPr>
      </w:pPr>
      <w:r>
        <w:lastRenderedPageBreak/>
        <w:t xml:space="preserve">4. </w:t>
      </w:r>
      <w:r w:rsidR="00F07663" w:rsidRPr="00F07663">
        <w:rPr>
          <w:b/>
          <w:bCs/>
        </w:rPr>
        <w:t>Do the recommended exhibit file names have to be followed exactly for a proposal submission to be accepted?</w:t>
      </w:r>
    </w:p>
    <w:p w14:paraId="75A9F7D1" w14:textId="77777777" w:rsidR="00E62748" w:rsidRDefault="00E62748" w:rsidP="00E62748">
      <w:pPr>
        <w:spacing w:after="0" w:line="240" w:lineRule="auto"/>
        <w:rPr>
          <w:szCs w:val="24"/>
        </w:rPr>
      </w:pPr>
    </w:p>
    <w:p w14:paraId="75A9F7D2" w14:textId="508C5589" w:rsidR="00E62748" w:rsidRPr="00DE5EB4" w:rsidRDefault="005340A7" w:rsidP="00C77556">
      <w:pPr>
        <w:spacing w:after="0" w:line="240" w:lineRule="auto"/>
        <w:rPr>
          <w:szCs w:val="24"/>
        </w:rPr>
      </w:pPr>
      <w:r>
        <w:rPr>
          <w:szCs w:val="24"/>
        </w:rPr>
        <w:t xml:space="preserve">No, proposal submissions will be accepted regardless of </w:t>
      </w:r>
      <w:r w:rsidR="00370709">
        <w:rPr>
          <w:szCs w:val="24"/>
        </w:rPr>
        <w:t>whether</w:t>
      </w:r>
      <w:r>
        <w:rPr>
          <w:szCs w:val="24"/>
        </w:rPr>
        <w:t xml:space="preserve"> the organization follows the recommended file naming conventions</w:t>
      </w:r>
      <w:r w:rsidR="00356BA9">
        <w:rPr>
          <w:szCs w:val="24"/>
        </w:rPr>
        <w:t>.</w:t>
      </w:r>
      <w:r>
        <w:rPr>
          <w:szCs w:val="24"/>
        </w:rPr>
        <w:t xml:space="preserve"> It is highly recommended that organizations follow the conventions to ensure each exhibit is included in the submission and to not exceed our filing system’s character limit.                                                        </w:t>
      </w:r>
    </w:p>
    <w:p w14:paraId="75A9F7D3" w14:textId="77777777" w:rsidR="00E62748" w:rsidRPr="00DF7D10" w:rsidRDefault="00E62748" w:rsidP="00E62748">
      <w:pPr>
        <w:spacing w:after="0" w:line="240" w:lineRule="auto"/>
        <w:rPr>
          <w:sz w:val="32"/>
          <w:szCs w:val="32"/>
        </w:rPr>
      </w:pPr>
    </w:p>
    <w:p w14:paraId="75A9F7D4" w14:textId="22522494" w:rsidR="00E62748" w:rsidRPr="00DE5EB4" w:rsidRDefault="00AF24F8" w:rsidP="00E62748">
      <w:pPr>
        <w:spacing w:after="0" w:line="240" w:lineRule="auto"/>
        <w:rPr>
          <w:szCs w:val="24"/>
        </w:rPr>
      </w:pPr>
      <w:r>
        <w:t>5.</w:t>
      </w:r>
      <w:r w:rsidR="00E62748" w:rsidRPr="003D1C23">
        <w:rPr>
          <w:szCs w:val="24"/>
        </w:rPr>
        <w:t xml:space="preserve"> </w:t>
      </w:r>
      <w:r w:rsidR="007A79A8">
        <w:rPr>
          <w:b/>
          <w:bCs/>
          <w:szCs w:val="24"/>
        </w:rPr>
        <w:t xml:space="preserve">What is the dollar amount that constitutes a large purchase for which </w:t>
      </w:r>
      <w:proofErr w:type="gramStart"/>
      <w:r w:rsidR="007A79A8">
        <w:rPr>
          <w:b/>
          <w:bCs/>
          <w:szCs w:val="24"/>
        </w:rPr>
        <w:t>an Exhibit</w:t>
      </w:r>
      <w:proofErr w:type="gramEnd"/>
      <w:r w:rsidR="007A79A8">
        <w:rPr>
          <w:b/>
          <w:bCs/>
          <w:szCs w:val="24"/>
        </w:rPr>
        <w:t xml:space="preserve"> G must be completed?</w:t>
      </w:r>
      <w:r w:rsidRPr="00AF24F8">
        <w:rPr>
          <w:b/>
          <w:szCs w:val="24"/>
        </w:rPr>
        <w:t xml:space="preserve"> </w:t>
      </w:r>
    </w:p>
    <w:p w14:paraId="75A9F7D5" w14:textId="77777777" w:rsidR="00E62748" w:rsidRDefault="00E62748" w:rsidP="00E62748">
      <w:pPr>
        <w:spacing w:after="0" w:line="240" w:lineRule="auto"/>
        <w:rPr>
          <w:szCs w:val="24"/>
        </w:rPr>
      </w:pPr>
    </w:p>
    <w:p w14:paraId="2C7ACC66" w14:textId="43735DBD" w:rsidR="00EC1654" w:rsidRDefault="007A79A8" w:rsidP="00AF24F8">
      <w:pPr>
        <w:spacing w:after="0" w:line="240" w:lineRule="auto"/>
        <w:rPr>
          <w:szCs w:val="24"/>
        </w:rPr>
      </w:pPr>
      <w:r>
        <w:rPr>
          <w:szCs w:val="24"/>
        </w:rPr>
        <w:t>Large purchases are items over $10,000.00 and must be detailed on Exhibit G the Supplemental Budget</w:t>
      </w:r>
      <w:r w:rsidR="00A55FAA">
        <w:rPr>
          <w:szCs w:val="24"/>
        </w:rPr>
        <w:t>.</w:t>
      </w:r>
      <w:r w:rsidR="00414B36">
        <w:rPr>
          <w:szCs w:val="24"/>
        </w:rPr>
        <w:t xml:space="preserve"> </w:t>
      </w:r>
    </w:p>
    <w:p w14:paraId="037EBFCB" w14:textId="7E6B90FC" w:rsidR="00AF24F8" w:rsidRPr="00DE5EB4" w:rsidRDefault="00AF24F8" w:rsidP="00AF24F8">
      <w:pPr>
        <w:spacing w:after="0" w:line="240" w:lineRule="auto"/>
        <w:rPr>
          <w:szCs w:val="24"/>
        </w:rPr>
      </w:pPr>
    </w:p>
    <w:sectPr w:rsidR="00AF24F8" w:rsidRPr="00DE5EB4" w:rsidSect="00C61260">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5197" w14:textId="77777777" w:rsidR="00DD6A9C" w:rsidRDefault="00DD6A9C" w:rsidP="00C4619D">
      <w:pPr>
        <w:spacing w:after="0" w:line="240" w:lineRule="auto"/>
      </w:pPr>
      <w:r>
        <w:separator/>
      </w:r>
    </w:p>
  </w:endnote>
  <w:endnote w:type="continuationSeparator" w:id="0">
    <w:p w14:paraId="469321E4" w14:textId="77777777" w:rsidR="00DD6A9C" w:rsidRDefault="00DD6A9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8132" w14:textId="5F011F8D" w:rsidR="00AF24F8" w:rsidRPr="00A20493" w:rsidRDefault="00740AD3" w:rsidP="00AF24F8">
    <w:pPr>
      <w:pStyle w:val="Footer"/>
      <w:rPr>
        <w:szCs w:val="24"/>
      </w:rPr>
    </w:pPr>
    <w:sdt>
      <w:sdtPr>
        <w:id w:val="-116145299"/>
        <w:docPartObj>
          <w:docPartGallery w:val="Page Numbers (Top of Page)"/>
          <w:docPartUnique/>
        </w:docPartObj>
      </w:sdtPr>
      <w:sdtEndPr>
        <w:rPr>
          <w:szCs w:val="24"/>
        </w:rPr>
      </w:sdtEndPr>
      <w:sdtContent>
        <w:r w:rsidR="005340A7">
          <w:rPr>
            <w:szCs w:val="24"/>
          </w:rPr>
          <w:t xml:space="preserve">CCOG-RM </w:t>
        </w:r>
        <w:r w:rsidR="00AF24F8">
          <w:rPr>
            <w:szCs w:val="24"/>
          </w:rPr>
          <w:t>SFP PY 25</w:t>
        </w:r>
        <w:r w:rsidR="00AF24F8" w:rsidRPr="00A20493">
          <w:rPr>
            <w:szCs w:val="24"/>
          </w:rPr>
          <w:t>-</w:t>
        </w:r>
        <w:r w:rsidR="00AF24F8">
          <w:rPr>
            <w:szCs w:val="24"/>
          </w:rPr>
          <w:t>26</w:t>
        </w:r>
        <w:r w:rsidR="00AF24F8" w:rsidRPr="00A20493">
          <w:rPr>
            <w:szCs w:val="24"/>
          </w:rPr>
          <w:tab/>
          <w:t xml:space="preserve">Page </w:t>
        </w:r>
        <w:r w:rsidR="00AF24F8" w:rsidRPr="00A20493">
          <w:rPr>
            <w:bCs/>
            <w:szCs w:val="24"/>
          </w:rPr>
          <w:fldChar w:fldCharType="begin"/>
        </w:r>
        <w:r w:rsidR="00AF24F8" w:rsidRPr="00A20493">
          <w:rPr>
            <w:bCs/>
            <w:szCs w:val="24"/>
          </w:rPr>
          <w:instrText xml:space="preserve"> PAGE </w:instrText>
        </w:r>
        <w:r w:rsidR="00AF24F8" w:rsidRPr="00A20493">
          <w:rPr>
            <w:bCs/>
            <w:szCs w:val="24"/>
          </w:rPr>
          <w:fldChar w:fldCharType="separate"/>
        </w:r>
        <w:r w:rsidR="00AF24F8">
          <w:rPr>
            <w:bCs/>
            <w:szCs w:val="24"/>
          </w:rPr>
          <w:t>1</w:t>
        </w:r>
        <w:r w:rsidR="00AF24F8" w:rsidRPr="00A20493">
          <w:rPr>
            <w:bCs/>
            <w:szCs w:val="24"/>
          </w:rPr>
          <w:fldChar w:fldCharType="end"/>
        </w:r>
        <w:r w:rsidR="00AF24F8" w:rsidRPr="00A20493">
          <w:rPr>
            <w:szCs w:val="24"/>
          </w:rPr>
          <w:t xml:space="preserve"> of </w:t>
        </w:r>
        <w:r w:rsidR="00AF24F8" w:rsidRPr="00A20493">
          <w:rPr>
            <w:bCs/>
            <w:szCs w:val="24"/>
          </w:rPr>
          <w:fldChar w:fldCharType="begin"/>
        </w:r>
        <w:r w:rsidR="00AF24F8" w:rsidRPr="00A20493">
          <w:rPr>
            <w:bCs/>
            <w:szCs w:val="24"/>
          </w:rPr>
          <w:instrText xml:space="preserve"> NUMPAGES  </w:instrText>
        </w:r>
        <w:r w:rsidR="00AF24F8" w:rsidRPr="00A20493">
          <w:rPr>
            <w:bCs/>
            <w:szCs w:val="24"/>
          </w:rPr>
          <w:fldChar w:fldCharType="separate"/>
        </w:r>
        <w:r w:rsidR="00AF24F8">
          <w:rPr>
            <w:bCs/>
            <w:szCs w:val="24"/>
          </w:rPr>
          <w:t>3</w:t>
        </w:r>
        <w:r w:rsidR="00AF24F8" w:rsidRPr="00A20493">
          <w:rPr>
            <w:bCs/>
            <w:szCs w:val="24"/>
          </w:rPr>
          <w:fldChar w:fldCharType="end"/>
        </w:r>
        <w:r w:rsidR="00AF24F8" w:rsidRPr="00A20493">
          <w:rPr>
            <w:bCs/>
            <w:szCs w:val="24"/>
          </w:rPr>
          <w:t xml:space="preserve"> </w:t>
        </w:r>
        <w:r w:rsidR="00AF24F8">
          <w:rPr>
            <w:bCs/>
            <w:szCs w:val="24"/>
          </w:rPr>
          <w:tab/>
          <w:t>May</w:t>
        </w:r>
        <w:r w:rsidR="005340A7">
          <w:rPr>
            <w:bCs/>
            <w:szCs w:val="24"/>
          </w:rPr>
          <w:t xml:space="preserve"> </w:t>
        </w:r>
        <w:r w:rsidR="00AF24F8">
          <w:rPr>
            <w:bCs/>
            <w:szCs w:val="24"/>
          </w:rPr>
          <w:t>2025</w:t>
        </w:r>
      </w:sdtContent>
    </w:sdt>
  </w:p>
  <w:p w14:paraId="387E4351" w14:textId="77777777" w:rsidR="00AF24F8" w:rsidRDefault="00AF24F8" w:rsidP="00AF24F8">
    <w:pPr>
      <w:pStyle w:val="Footer"/>
    </w:pPr>
  </w:p>
  <w:p w14:paraId="2062A609" w14:textId="77777777" w:rsidR="00AF24F8" w:rsidRDefault="00AF2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F7EC" w14:textId="1A484700" w:rsidR="00A20493" w:rsidRPr="00A20493" w:rsidRDefault="00740AD3" w:rsidP="00A20493">
    <w:pPr>
      <w:pStyle w:val="Footer"/>
      <w:rPr>
        <w:szCs w:val="24"/>
      </w:rPr>
    </w:pPr>
    <w:sdt>
      <w:sdtPr>
        <w:id w:val="1728636285"/>
        <w:docPartObj>
          <w:docPartGallery w:val="Page Numbers (Top of Page)"/>
          <w:docPartUnique/>
        </w:docPartObj>
      </w:sdtPr>
      <w:sdtEndPr>
        <w:rPr>
          <w:szCs w:val="24"/>
        </w:rPr>
      </w:sdtEndPr>
      <w:sdtContent>
        <w:r w:rsidR="005340A7">
          <w:rPr>
            <w:szCs w:val="24"/>
          </w:rPr>
          <w:t>CCOG-RM</w:t>
        </w:r>
        <w:r w:rsidR="00981B51">
          <w:rPr>
            <w:szCs w:val="24"/>
          </w:rPr>
          <w:t xml:space="preserve"> SFP PY </w:t>
        </w:r>
        <w:r w:rsidR="00AF24F8">
          <w:rPr>
            <w:szCs w:val="24"/>
          </w:rPr>
          <w:t>25</w:t>
        </w:r>
        <w:r w:rsidR="00A20493" w:rsidRPr="00A20493">
          <w:rPr>
            <w:szCs w:val="24"/>
          </w:rPr>
          <w:t>-</w:t>
        </w:r>
        <w:r w:rsidR="00AF24F8">
          <w:rPr>
            <w:szCs w:val="24"/>
          </w:rPr>
          <w:t>26</w:t>
        </w:r>
        <w:r w:rsidR="00A20493" w:rsidRPr="00A20493">
          <w:rPr>
            <w:szCs w:val="24"/>
          </w:rPr>
          <w:tab/>
          <w:t xml:space="preserve">Page </w:t>
        </w:r>
        <w:r w:rsidR="00A20493" w:rsidRPr="00A20493">
          <w:rPr>
            <w:bCs/>
            <w:szCs w:val="24"/>
          </w:rPr>
          <w:fldChar w:fldCharType="begin"/>
        </w:r>
        <w:r w:rsidR="00A20493" w:rsidRPr="00A20493">
          <w:rPr>
            <w:bCs/>
            <w:szCs w:val="24"/>
          </w:rPr>
          <w:instrText xml:space="preserve"> PAGE </w:instrText>
        </w:r>
        <w:r w:rsidR="00A20493" w:rsidRPr="00A20493">
          <w:rPr>
            <w:bCs/>
            <w:szCs w:val="24"/>
          </w:rPr>
          <w:fldChar w:fldCharType="separate"/>
        </w:r>
        <w:r w:rsidR="00981B51">
          <w:rPr>
            <w:bCs/>
            <w:noProof/>
            <w:szCs w:val="24"/>
          </w:rPr>
          <w:t>1</w:t>
        </w:r>
        <w:r w:rsidR="00A20493" w:rsidRPr="00A20493">
          <w:rPr>
            <w:bCs/>
            <w:szCs w:val="24"/>
          </w:rPr>
          <w:fldChar w:fldCharType="end"/>
        </w:r>
        <w:r w:rsidR="00A20493" w:rsidRPr="00A20493">
          <w:rPr>
            <w:szCs w:val="24"/>
          </w:rPr>
          <w:t xml:space="preserve"> of </w:t>
        </w:r>
        <w:r w:rsidR="00A20493" w:rsidRPr="00A20493">
          <w:rPr>
            <w:bCs/>
            <w:szCs w:val="24"/>
          </w:rPr>
          <w:fldChar w:fldCharType="begin"/>
        </w:r>
        <w:r w:rsidR="00A20493" w:rsidRPr="00A20493">
          <w:rPr>
            <w:bCs/>
            <w:szCs w:val="24"/>
          </w:rPr>
          <w:instrText xml:space="preserve"> NUMPAGES  </w:instrText>
        </w:r>
        <w:r w:rsidR="00A20493" w:rsidRPr="00A20493">
          <w:rPr>
            <w:bCs/>
            <w:szCs w:val="24"/>
          </w:rPr>
          <w:fldChar w:fldCharType="separate"/>
        </w:r>
        <w:r w:rsidR="00981B51">
          <w:rPr>
            <w:bCs/>
            <w:noProof/>
            <w:szCs w:val="24"/>
          </w:rPr>
          <w:t>1</w:t>
        </w:r>
        <w:r w:rsidR="00A20493" w:rsidRPr="00A20493">
          <w:rPr>
            <w:bCs/>
            <w:szCs w:val="24"/>
          </w:rPr>
          <w:fldChar w:fldCharType="end"/>
        </w:r>
        <w:r w:rsidR="00A20493" w:rsidRPr="00A20493">
          <w:rPr>
            <w:bCs/>
            <w:szCs w:val="24"/>
          </w:rPr>
          <w:t xml:space="preserve"> </w:t>
        </w:r>
        <w:r w:rsidR="00A20493">
          <w:rPr>
            <w:bCs/>
            <w:szCs w:val="24"/>
          </w:rPr>
          <w:tab/>
        </w:r>
        <w:r w:rsidR="00AF24F8">
          <w:rPr>
            <w:bCs/>
            <w:szCs w:val="24"/>
          </w:rPr>
          <w:t>May</w:t>
        </w:r>
        <w:r w:rsidR="00A20493" w:rsidRPr="00A20493">
          <w:rPr>
            <w:bCs/>
            <w:szCs w:val="24"/>
          </w:rPr>
          <w:t xml:space="preserve"> </w:t>
        </w:r>
        <w:r w:rsidR="00AF24F8">
          <w:rPr>
            <w:bCs/>
            <w:szCs w:val="24"/>
          </w:rPr>
          <w:t>2025</w:t>
        </w:r>
      </w:sdtContent>
    </w:sdt>
  </w:p>
  <w:p w14:paraId="75A9F7ED" w14:textId="77777777" w:rsidR="00A20493" w:rsidRDefault="00A2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DE58" w14:textId="77777777" w:rsidR="00DD6A9C" w:rsidRDefault="00DD6A9C" w:rsidP="00C4619D">
      <w:pPr>
        <w:spacing w:after="0" w:line="240" w:lineRule="auto"/>
      </w:pPr>
      <w:r>
        <w:separator/>
      </w:r>
    </w:p>
  </w:footnote>
  <w:footnote w:type="continuationSeparator" w:id="0">
    <w:p w14:paraId="0403DEF5" w14:textId="77777777" w:rsidR="00DD6A9C" w:rsidRDefault="00DD6A9C" w:rsidP="00C4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F7E5" w14:textId="77777777" w:rsidR="00EB620C" w:rsidRDefault="00EB620C" w:rsidP="00DF7D1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0715"/>
    <w:multiLevelType w:val="hybridMultilevel"/>
    <w:tmpl w:val="744CF4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47CD5"/>
    <w:multiLevelType w:val="hybridMultilevel"/>
    <w:tmpl w:val="E8C43E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0A2C91"/>
    <w:multiLevelType w:val="hybridMultilevel"/>
    <w:tmpl w:val="F9E216EE"/>
    <w:lvl w:ilvl="0" w:tplc="A996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DF1728"/>
    <w:multiLevelType w:val="hybridMultilevel"/>
    <w:tmpl w:val="652E3232"/>
    <w:lvl w:ilvl="0" w:tplc="2ED06E8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410238">
    <w:abstractNumId w:val="4"/>
  </w:num>
  <w:num w:numId="2" w16cid:durableId="562103451">
    <w:abstractNumId w:val="3"/>
  </w:num>
  <w:num w:numId="3" w16cid:durableId="1583372359">
    <w:abstractNumId w:val="2"/>
  </w:num>
  <w:num w:numId="4" w16cid:durableId="1932277970">
    <w:abstractNumId w:val="0"/>
  </w:num>
  <w:num w:numId="5" w16cid:durableId="204690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0MDUyNzIzMjUFEko6SsGpxcWZ+XkgBca1AJwHO+gsAAAA"/>
  </w:docVars>
  <w:rsids>
    <w:rsidRoot w:val="00C4619D"/>
    <w:rsid w:val="00000069"/>
    <w:rsid w:val="00011FF6"/>
    <w:rsid w:val="00013280"/>
    <w:rsid w:val="000136A2"/>
    <w:rsid w:val="00024DC4"/>
    <w:rsid w:val="0002500D"/>
    <w:rsid w:val="00034ABE"/>
    <w:rsid w:val="00042F2C"/>
    <w:rsid w:val="00044B3F"/>
    <w:rsid w:val="00044E3F"/>
    <w:rsid w:val="0005733A"/>
    <w:rsid w:val="00062764"/>
    <w:rsid w:val="00070957"/>
    <w:rsid w:val="000745DA"/>
    <w:rsid w:val="00077074"/>
    <w:rsid w:val="00085479"/>
    <w:rsid w:val="000907CE"/>
    <w:rsid w:val="000A4443"/>
    <w:rsid w:val="000A7E79"/>
    <w:rsid w:val="000B593A"/>
    <w:rsid w:val="000D41F4"/>
    <w:rsid w:val="000E40A3"/>
    <w:rsid w:val="000F3DC3"/>
    <w:rsid w:val="00141D4A"/>
    <w:rsid w:val="001534F6"/>
    <w:rsid w:val="00156BCD"/>
    <w:rsid w:val="00166463"/>
    <w:rsid w:val="00167951"/>
    <w:rsid w:val="00190228"/>
    <w:rsid w:val="00194E39"/>
    <w:rsid w:val="001A2FE1"/>
    <w:rsid w:val="001A4CF1"/>
    <w:rsid w:val="001B0F58"/>
    <w:rsid w:val="001C3898"/>
    <w:rsid w:val="001D19CB"/>
    <w:rsid w:val="001F68B6"/>
    <w:rsid w:val="00200569"/>
    <w:rsid w:val="00212497"/>
    <w:rsid w:val="002142CA"/>
    <w:rsid w:val="002327A1"/>
    <w:rsid w:val="00232AB3"/>
    <w:rsid w:val="00233C68"/>
    <w:rsid w:val="002345EE"/>
    <w:rsid w:val="00243E97"/>
    <w:rsid w:val="0025093D"/>
    <w:rsid w:val="00261746"/>
    <w:rsid w:val="00271F4C"/>
    <w:rsid w:val="00274A46"/>
    <w:rsid w:val="0027732C"/>
    <w:rsid w:val="0029566A"/>
    <w:rsid w:val="002A495B"/>
    <w:rsid w:val="002A49F5"/>
    <w:rsid w:val="002A668F"/>
    <w:rsid w:val="002C700F"/>
    <w:rsid w:val="002D578B"/>
    <w:rsid w:val="002E521C"/>
    <w:rsid w:val="002F1B40"/>
    <w:rsid w:val="00307AF3"/>
    <w:rsid w:val="00325EFA"/>
    <w:rsid w:val="00326982"/>
    <w:rsid w:val="0033183B"/>
    <w:rsid w:val="00356BA9"/>
    <w:rsid w:val="00365B0C"/>
    <w:rsid w:val="00370709"/>
    <w:rsid w:val="003726B2"/>
    <w:rsid w:val="0037361D"/>
    <w:rsid w:val="00377B07"/>
    <w:rsid w:val="00383073"/>
    <w:rsid w:val="00393F45"/>
    <w:rsid w:val="003A00B8"/>
    <w:rsid w:val="003A4C89"/>
    <w:rsid w:val="003A6798"/>
    <w:rsid w:val="003B04DC"/>
    <w:rsid w:val="003B6AC4"/>
    <w:rsid w:val="003C11BD"/>
    <w:rsid w:val="003C5AF4"/>
    <w:rsid w:val="003D45E4"/>
    <w:rsid w:val="003D4C8C"/>
    <w:rsid w:val="003E6D44"/>
    <w:rsid w:val="003F35B2"/>
    <w:rsid w:val="003F4960"/>
    <w:rsid w:val="003F62A4"/>
    <w:rsid w:val="00402F78"/>
    <w:rsid w:val="004031B5"/>
    <w:rsid w:val="004060D6"/>
    <w:rsid w:val="00414B36"/>
    <w:rsid w:val="004230DE"/>
    <w:rsid w:val="00433441"/>
    <w:rsid w:val="00436F62"/>
    <w:rsid w:val="00437DC0"/>
    <w:rsid w:val="0044409C"/>
    <w:rsid w:val="00447E52"/>
    <w:rsid w:val="00451E33"/>
    <w:rsid w:val="00452006"/>
    <w:rsid w:val="00455F26"/>
    <w:rsid w:val="004645BC"/>
    <w:rsid w:val="004659F8"/>
    <w:rsid w:val="00473752"/>
    <w:rsid w:val="004804EC"/>
    <w:rsid w:val="00483BBE"/>
    <w:rsid w:val="004B1A76"/>
    <w:rsid w:val="004B5740"/>
    <w:rsid w:val="004C0A47"/>
    <w:rsid w:val="004C29D3"/>
    <w:rsid w:val="004C54B7"/>
    <w:rsid w:val="004C62B9"/>
    <w:rsid w:val="004C7A9D"/>
    <w:rsid w:val="004D2C52"/>
    <w:rsid w:val="004D36B2"/>
    <w:rsid w:val="004D4E7D"/>
    <w:rsid w:val="004D69D0"/>
    <w:rsid w:val="004D7873"/>
    <w:rsid w:val="004E6C0A"/>
    <w:rsid w:val="005104A0"/>
    <w:rsid w:val="00510FE7"/>
    <w:rsid w:val="005171D1"/>
    <w:rsid w:val="005227E1"/>
    <w:rsid w:val="00524468"/>
    <w:rsid w:val="0053151A"/>
    <w:rsid w:val="005340A7"/>
    <w:rsid w:val="005349FC"/>
    <w:rsid w:val="00540209"/>
    <w:rsid w:val="00540BB1"/>
    <w:rsid w:val="00545218"/>
    <w:rsid w:val="0055033E"/>
    <w:rsid w:val="0055129F"/>
    <w:rsid w:val="00595659"/>
    <w:rsid w:val="00595E68"/>
    <w:rsid w:val="005A0EF3"/>
    <w:rsid w:val="005B18FB"/>
    <w:rsid w:val="005B227D"/>
    <w:rsid w:val="005C4514"/>
    <w:rsid w:val="005D2921"/>
    <w:rsid w:val="005D6A72"/>
    <w:rsid w:val="005E242B"/>
    <w:rsid w:val="005E4A56"/>
    <w:rsid w:val="005E57E5"/>
    <w:rsid w:val="005F196E"/>
    <w:rsid w:val="005F62E2"/>
    <w:rsid w:val="005F7F7A"/>
    <w:rsid w:val="006124B6"/>
    <w:rsid w:val="00620F20"/>
    <w:rsid w:val="0063464A"/>
    <w:rsid w:val="00635F03"/>
    <w:rsid w:val="00654804"/>
    <w:rsid w:val="006660D5"/>
    <w:rsid w:val="00667E3C"/>
    <w:rsid w:val="00684A92"/>
    <w:rsid w:val="00686543"/>
    <w:rsid w:val="006879DB"/>
    <w:rsid w:val="0069376B"/>
    <w:rsid w:val="00693DDF"/>
    <w:rsid w:val="00696796"/>
    <w:rsid w:val="006A3FCD"/>
    <w:rsid w:val="006A609C"/>
    <w:rsid w:val="006B0A03"/>
    <w:rsid w:val="006B415E"/>
    <w:rsid w:val="006C6431"/>
    <w:rsid w:val="006D1667"/>
    <w:rsid w:val="006F3B90"/>
    <w:rsid w:val="006F7B92"/>
    <w:rsid w:val="007073F1"/>
    <w:rsid w:val="0071078A"/>
    <w:rsid w:val="00716476"/>
    <w:rsid w:val="00716669"/>
    <w:rsid w:val="00721970"/>
    <w:rsid w:val="00730BE0"/>
    <w:rsid w:val="0073431C"/>
    <w:rsid w:val="00740AD3"/>
    <w:rsid w:val="00745B1A"/>
    <w:rsid w:val="007538F6"/>
    <w:rsid w:val="00756FF7"/>
    <w:rsid w:val="00763F3F"/>
    <w:rsid w:val="007651BC"/>
    <w:rsid w:val="007674BB"/>
    <w:rsid w:val="00771FA8"/>
    <w:rsid w:val="007731AD"/>
    <w:rsid w:val="00775C6E"/>
    <w:rsid w:val="007771F4"/>
    <w:rsid w:val="00790215"/>
    <w:rsid w:val="007A79A8"/>
    <w:rsid w:val="007B57AA"/>
    <w:rsid w:val="007C0F9E"/>
    <w:rsid w:val="007C3872"/>
    <w:rsid w:val="007C7A61"/>
    <w:rsid w:val="007D0B73"/>
    <w:rsid w:val="007D3711"/>
    <w:rsid w:val="007D5C2C"/>
    <w:rsid w:val="007E5EC5"/>
    <w:rsid w:val="007F5EC0"/>
    <w:rsid w:val="0080267B"/>
    <w:rsid w:val="008061A0"/>
    <w:rsid w:val="00825491"/>
    <w:rsid w:val="00834C4D"/>
    <w:rsid w:val="00861DD5"/>
    <w:rsid w:val="00862C9E"/>
    <w:rsid w:val="00874C05"/>
    <w:rsid w:val="00882A44"/>
    <w:rsid w:val="008909EA"/>
    <w:rsid w:val="008A2287"/>
    <w:rsid w:val="008A2CF8"/>
    <w:rsid w:val="008D00EA"/>
    <w:rsid w:val="008D1236"/>
    <w:rsid w:val="0091494B"/>
    <w:rsid w:val="00917D9D"/>
    <w:rsid w:val="009442B2"/>
    <w:rsid w:val="0094578F"/>
    <w:rsid w:val="00955CA9"/>
    <w:rsid w:val="009629C4"/>
    <w:rsid w:val="009632DF"/>
    <w:rsid w:val="009641A6"/>
    <w:rsid w:val="009641ED"/>
    <w:rsid w:val="009673A0"/>
    <w:rsid w:val="00981B51"/>
    <w:rsid w:val="009A36B2"/>
    <w:rsid w:val="009A5066"/>
    <w:rsid w:val="009A7590"/>
    <w:rsid w:val="009A7BF5"/>
    <w:rsid w:val="009B2885"/>
    <w:rsid w:val="009B750B"/>
    <w:rsid w:val="009E06FA"/>
    <w:rsid w:val="009E2762"/>
    <w:rsid w:val="009F0A7D"/>
    <w:rsid w:val="009F45BF"/>
    <w:rsid w:val="00A04506"/>
    <w:rsid w:val="00A055D0"/>
    <w:rsid w:val="00A11416"/>
    <w:rsid w:val="00A15D45"/>
    <w:rsid w:val="00A16A20"/>
    <w:rsid w:val="00A17440"/>
    <w:rsid w:val="00A20493"/>
    <w:rsid w:val="00A21B60"/>
    <w:rsid w:val="00A25C1A"/>
    <w:rsid w:val="00A311B3"/>
    <w:rsid w:val="00A36FBC"/>
    <w:rsid w:val="00A41B7E"/>
    <w:rsid w:val="00A42EA1"/>
    <w:rsid w:val="00A53A4A"/>
    <w:rsid w:val="00A55FAA"/>
    <w:rsid w:val="00A6392F"/>
    <w:rsid w:val="00A641B3"/>
    <w:rsid w:val="00A64DF0"/>
    <w:rsid w:val="00A7223C"/>
    <w:rsid w:val="00A73267"/>
    <w:rsid w:val="00A753B5"/>
    <w:rsid w:val="00A760D8"/>
    <w:rsid w:val="00A84EE1"/>
    <w:rsid w:val="00A86DD1"/>
    <w:rsid w:val="00A87723"/>
    <w:rsid w:val="00AA4000"/>
    <w:rsid w:val="00AB3048"/>
    <w:rsid w:val="00AB679A"/>
    <w:rsid w:val="00AB7B90"/>
    <w:rsid w:val="00AC3B38"/>
    <w:rsid w:val="00AC6F5E"/>
    <w:rsid w:val="00AD115A"/>
    <w:rsid w:val="00AE040F"/>
    <w:rsid w:val="00AE235C"/>
    <w:rsid w:val="00AE48A8"/>
    <w:rsid w:val="00AF24F8"/>
    <w:rsid w:val="00AF6711"/>
    <w:rsid w:val="00B012DF"/>
    <w:rsid w:val="00B023E9"/>
    <w:rsid w:val="00B061EB"/>
    <w:rsid w:val="00B301BF"/>
    <w:rsid w:val="00B30968"/>
    <w:rsid w:val="00B329FF"/>
    <w:rsid w:val="00B32F68"/>
    <w:rsid w:val="00B37BB7"/>
    <w:rsid w:val="00B44FC5"/>
    <w:rsid w:val="00B50F65"/>
    <w:rsid w:val="00B61E64"/>
    <w:rsid w:val="00B71F92"/>
    <w:rsid w:val="00B72D5B"/>
    <w:rsid w:val="00B775DE"/>
    <w:rsid w:val="00B814D8"/>
    <w:rsid w:val="00B82161"/>
    <w:rsid w:val="00B85E83"/>
    <w:rsid w:val="00BA0CB0"/>
    <w:rsid w:val="00BA55EC"/>
    <w:rsid w:val="00BB6A99"/>
    <w:rsid w:val="00BC2374"/>
    <w:rsid w:val="00BC356A"/>
    <w:rsid w:val="00BC77E8"/>
    <w:rsid w:val="00BD3CE3"/>
    <w:rsid w:val="00BE2034"/>
    <w:rsid w:val="00BF4289"/>
    <w:rsid w:val="00BF7C9C"/>
    <w:rsid w:val="00BF7E4A"/>
    <w:rsid w:val="00C009EC"/>
    <w:rsid w:val="00C057E5"/>
    <w:rsid w:val="00C12B0A"/>
    <w:rsid w:val="00C13DCE"/>
    <w:rsid w:val="00C14C72"/>
    <w:rsid w:val="00C21299"/>
    <w:rsid w:val="00C274FE"/>
    <w:rsid w:val="00C27C3E"/>
    <w:rsid w:val="00C32FC5"/>
    <w:rsid w:val="00C3686D"/>
    <w:rsid w:val="00C3734C"/>
    <w:rsid w:val="00C41C6F"/>
    <w:rsid w:val="00C43777"/>
    <w:rsid w:val="00C4619D"/>
    <w:rsid w:val="00C4647F"/>
    <w:rsid w:val="00C520DF"/>
    <w:rsid w:val="00C533CA"/>
    <w:rsid w:val="00C61260"/>
    <w:rsid w:val="00C629E4"/>
    <w:rsid w:val="00C75AC1"/>
    <w:rsid w:val="00C76E65"/>
    <w:rsid w:val="00C7754E"/>
    <w:rsid w:val="00C77556"/>
    <w:rsid w:val="00C775F7"/>
    <w:rsid w:val="00C864F3"/>
    <w:rsid w:val="00CA4064"/>
    <w:rsid w:val="00CA4A8B"/>
    <w:rsid w:val="00CB2E7D"/>
    <w:rsid w:val="00CB7F1E"/>
    <w:rsid w:val="00CC7257"/>
    <w:rsid w:val="00CE0856"/>
    <w:rsid w:val="00CF74D4"/>
    <w:rsid w:val="00D00615"/>
    <w:rsid w:val="00D01FA5"/>
    <w:rsid w:val="00D02A26"/>
    <w:rsid w:val="00D03A57"/>
    <w:rsid w:val="00D13203"/>
    <w:rsid w:val="00D13FE2"/>
    <w:rsid w:val="00D16C32"/>
    <w:rsid w:val="00D31A89"/>
    <w:rsid w:val="00D50156"/>
    <w:rsid w:val="00D53E91"/>
    <w:rsid w:val="00D53F58"/>
    <w:rsid w:val="00D55200"/>
    <w:rsid w:val="00D6006A"/>
    <w:rsid w:val="00D7273E"/>
    <w:rsid w:val="00D767CD"/>
    <w:rsid w:val="00D96DE1"/>
    <w:rsid w:val="00DC0583"/>
    <w:rsid w:val="00DC4413"/>
    <w:rsid w:val="00DD5A7C"/>
    <w:rsid w:val="00DD5CD2"/>
    <w:rsid w:val="00DD6A9C"/>
    <w:rsid w:val="00DE075D"/>
    <w:rsid w:val="00DF7D10"/>
    <w:rsid w:val="00E118D3"/>
    <w:rsid w:val="00E127F3"/>
    <w:rsid w:val="00E13FFF"/>
    <w:rsid w:val="00E23A28"/>
    <w:rsid w:val="00E31FDA"/>
    <w:rsid w:val="00E52A71"/>
    <w:rsid w:val="00E53985"/>
    <w:rsid w:val="00E62748"/>
    <w:rsid w:val="00E7184A"/>
    <w:rsid w:val="00E76CF4"/>
    <w:rsid w:val="00E81F29"/>
    <w:rsid w:val="00E84323"/>
    <w:rsid w:val="00E936CE"/>
    <w:rsid w:val="00EA0849"/>
    <w:rsid w:val="00EA22D1"/>
    <w:rsid w:val="00EA4ABE"/>
    <w:rsid w:val="00EB033C"/>
    <w:rsid w:val="00EB620C"/>
    <w:rsid w:val="00EC0FEE"/>
    <w:rsid w:val="00EC1654"/>
    <w:rsid w:val="00EE00AC"/>
    <w:rsid w:val="00EE28FC"/>
    <w:rsid w:val="00EE64E0"/>
    <w:rsid w:val="00EE6F6A"/>
    <w:rsid w:val="00EF2787"/>
    <w:rsid w:val="00EF2990"/>
    <w:rsid w:val="00EF2FB1"/>
    <w:rsid w:val="00F01E9C"/>
    <w:rsid w:val="00F07663"/>
    <w:rsid w:val="00F500B6"/>
    <w:rsid w:val="00F510A9"/>
    <w:rsid w:val="00F831B1"/>
    <w:rsid w:val="00F9480C"/>
    <w:rsid w:val="00FA381E"/>
    <w:rsid w:val="00FB53ED"/>
    <w:rsid w:val="00FC3EAC"/>
    <w:rsid w:val="00FD56D3"/>
    <w:rsid w:val="00FE11C7"/>
    <w:rsid w:val="00FE235C"/>
    <w:rsid w:val="00FE2EF8"/>
    <w:rsid w:val="00FE5F82"/>
    <w:rsid w:val="096B87DE"/>
    <w:rsid w:val="0BFE999D"/>
    <w:rsid w:val="0E33F351"/>
    <w:rsid w:val="0F0A9612"/>
    <w:rsid w:val="103021B1"/>
    <w:rsid w:val="18F9F46A"/>
    <w:rsid w:val="1A8172B9"/>
    <w:rsid w:val="2072A1C0"/>
    <w:rsid w:val="357E11DB"/>
    <w:rsid w:val="3804331E"/>
    <w:rsid w:val="3DA8F30F"/>
    <w:rsid w:val="41F76C2E"/>
    <w:rsid w:val="4CEB8D1E"/>
    <w:rsid w:val="59E44876"/>
    <w:rsid w:val="5DB503AD"/>
    <w:rsid w:val="5F11D3E2"/>
    <w:rsid w:val="653FB7CD"/>
    <w:rsid w:val="66F81DEC"/>
    <w:rsid w:val="68372AE2"/>
    <w:rsid w:val="6C43F4AF"/>
    <w:rsid w:val="725A8EFF"/>
    <w:rsid w:val="7617FD1A"/>
    <w:rsid w:val="7950A43C"/>
    <w:rsid w:val="7A86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9F7C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8C"/>
    <w:rPr>
      <w:sz w:val="24"/>
    </w:rPr>
  </w:style>
  <w:style w:type="paragraph" w:styleId="Heading1">
    <w:name w:val="heading 1"/>
    <w:basedOn w:val="Header"/>
    <w:next w:val="Normal"/>
    <w:link w:val="Heading1Char"/>
    <w:uiPriority w:val="9"/>
    <w:qFormat/>
    <w:rsid w:val="00167951"/>
    <w:pPr>
      <w:outlineLvl w:val="0"/>
    </w:pPr>
    <w:rPr>
      <w:rFonts w:cstheme="minorHAnsi"/>
      <w:b/>
      <w:color w:val="1F4E79" w:themeColor="accent1" w:themeShade="80"/>
      <w:sz w:val="28"/>
      <w:szCs w:val="28"/>
    </w:rPr>
  </w:style>
  <w:style w:type="paragraph" w:styleId="Heading2">
    <w:name w:val="heading 2"/>
    <w:basedOn w:val="Normal"/>
    <w:next w:val="Normal"/>
    <w:link w:val="Heading2Char"/>
    <w:uiPriority w:val="9"/>
    <w:unhideWhenUsed/>
    <w:qFormat/>
    <w:rsid w:val="00721970"/>
    <w:pPr>
      <w:spacing w:after="0" w:line="240" w:lineRule="auto"/>
      <w:outlineLvl w:val="1"/>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3D4C8C"/>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167951"/>
    <w:rPr>
      <w:rFonts w:cstheme="minorHAnsi"/>
      <w:b/>
      <w:color w:val="1F4E79" w:themeColor="accent1" w:themeShade="80"/>
      <w:sz w:val="28"/>
      <w:szCs w:val="28"/>
    </w:rPr>
  </w:style>
  <w:style w:type="character" w:customStyle="1" w:styleId="Heading2Char">
    <w:name w:val="Heading 2 Char"/>
    <w:basedOn w:val="DefaultParagraphFont"/>
    <w:link w:val="Heading2"/>
    <w:uiPriority w:val="9"/>
    <w:rsid w:val="00721970"/>
    <w:rPr>
      <w:b/>
      <w:sz w:val="28"/>
      <w:szCs w:val="24"/>
    </w:rPr>
  </w:style>
  <w:style w:type="paragraph" w:styleId="ListParagraph">
    <w:name w:val="List Paragraph"/>
    <w:basedOn w:val="Normal"/>
    <w:uiPriority w:val="34"/>
    <w:qFormat/>
    <w:rsid w:val="00C77556"/>
    <w:pPr>
      <w:ind w:left="720"/>
      <w:contextualSpacing/>
    </w:pPr>
  </w:style>
  <w:style w:type="paragraph" w:styleId="Revision">
    <w:name w:val="Revision"/>
    <w:hidden/>
    <w:uiPriority w:val="99"/>
    <w:semiHidden/>
    <w:rsid w:val="00156BCD"/>
    <w:pPr>
      <w:spacing w:after="0" w:line="240" w:lineRule="auto"/>
    </w:pPr>
    <w:rPr>
      <w:sz w:val="24"/>
    </w:rPr>
  </w:style>
  <w:style w:type="character" w:styleId="CommentReference">
    <w:name w:val="annotation reference"/>
    <w:basedOn w:val="DefaultParagraphFont"/>
    <w:uiPriority w:val="99"/>
    <w:semiHidden/>
    <w:unhideWhenUsed/>
    <w:rsid w:val="000745DA"/>
    <w:rPr>
      <w:sz w:val="16"/>
      <w:szCs w:val="16"/>
    </w:rPr>
  </w:style>
  <w:style w:type="paragraph" w:styleId="CommentText">
    <w:name w:val="annotation text"/>
    <w:basedOn w:val="Normal"/>
    <w:link w:val="CommentTextChar"/>
    <w:uiPriority w:val="99"/>
    <w:unhideWhenUsed/>
    <w:rsid w:val="000745DA"/>
    <w:pPr>
      <w:spacing w:line="240" w:lineRule="auto"/>
    </w:pPr>
    <w:rPr>
      <w:sz w:val="20"/>
      <w:szCs w:val="20"/>
    </w:rPr>
  </w:style>
  <w:style w:type="character" w:customStyle="1" w:styleId="CommentTextChar">
    <w:name w:val="Comment Text Char"/>
    <w:basedOn w:val="DefaultParagraphFont"/>
    <w:link w:val="CommentText"/>
    <w:uiPriority w:val="99"/>
    <w:rsid w:val="000745DA"/>
    <w:rPr>
      <w:sz w:val="20"/>
      <w:szCs w:val="20"/>
    </w:rPr>
  </w:style>
  <w:style w:type="paragraph" w:styleId="CommentSubject">
    <w:name w:val="annotation subject"/>
    <w:basedOn w:val="CommentText"/>
    <w:next w:val="CommentText"/>
    <w:link w:val="CommentSubjectChar"/>
    <w:uiPriority w:val="99"/>
    <w:semiHidden/>
    <w:unhideWhenUsed/>
    <w:rsid w:val="000745DA"/>
    <w:rPr>
      <w:b/>
      <w:bCs/>
    </w:rPr>
  </w:style>
  <w:style w:type="character" w:customStyle="1" w:styleId="CommentSubjectChar">
    <w:name w:val="Comment Subject Char"/>
    <w:basedOn w:val="CommentTextChar"/>
    <w:link w:val="CommentSubject"/>
    <w:uiPriority w:val="99"/>
    <w:semiHidden/>
    <w:rsid w:val="000745DA"/>
    <w:rPr>
      <w:b/>
      <w:bCs/>
      <w:sz w:val="20"/>
      <w:szCs w:val="20"/>
    </w:rPr>
  </w:style>
  <w:style w:type="paragraph" w:styleId="NormalWeb">
    <w:name w:val="Normal (Web)"/>
    <w:basedOn w:val="Normal"/>
    <w:uiPriority w:val="99"/>
    <w:semiHidden/>
    <w:unhideWhenUsed/>
    <w:rsid w:val="007A79A8"/>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780">
      <w:bodyDiv w:val="1"/>
      <w:marLeft w:val="0"/>
      <w:marRight w:val="0"/>
      <w:marTop w:val="0"/>
      <w:marBottom w:val="0"/>
      <w:divBdr>
        <w:top w:val="none" w:sz="0" w:space="0" w:color="auto"/>
        <w:left w:val="none" w:sz="0" w:space="0" w:color="auto"/>
        <w:bottom w:val="none" w:sz="0" w:space="0" w:color="auto"/>
        <w:right w:val="none" w:sz="0" w:space="0" w:color="auto"/>
      </w:divBdr>
    </w:div>
    <w:div w:id="22675508">
      <w:bodyDiv w:val="1"/>
      <w:marLeft w:val="0"/>
      <w:marRight w:val="0"/>
      <w:marTop w:val="0"/>
      <w:marBottom w:val="0"/>
      <w:divBdr>
        <w:top w:val="none" w:sz="0" w:space="0" w:color="auto"/>
        <w:left w:val="none" w:sz="0" w:space="0" w:color="auto"/>
        <w:bottom w:val="none" w:sz="0" w:space="0" w:color="auto"/>
        <w:right w:val="none" w:sz="0" w:space="0" w:color="auto"/>
      </w:divBdr>
    </w:div>
    <w:div w:id="99181451">
      <w:bodyDiv w:val="1"/>
      <w:marLeft w:val="0"/>
      <w:marRight w:val="0"/>
      <w:marTop w:val="0"/>
      <w:marBottom w:val="0"/>
      <w:divBdr>
        <w:top w:val="none" w:sz="0" w:space="0" w:color="auto"/>
        <w:left w:val="none" w:sz="0" w:space="0" w:color="auto"/>
        <w:bottom w:val="none" w:sz="0" w:space="0" w:color="auto"/>
        <w:right w:val="none" w:sz="0" w:space="0" w:color="auto"/>
      </w:divBdr>
    </w:div>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308556044">
      <w:bodyDiv w:val="1"/>
      <w:marLeft w:val="0"/>
      <w:marRight w:val="0"/>
      <w:marTop w:val="0"/>
      <w:marBottom w:val="0"/>
      <w:divBdr>
        <w:top w:val="none" w:sz="0" w:space="0" w:color="auto"/>
        <w:left w:val="none" w:sz="0" w:space="0" w:color="auto"/>
        <w:bottom w:val="none" w:sz="0" w:space="0" w:color="auto"/>
        <w:right w:val="none" w:sz="0" w:space="0" w:color="auto"/>
      </w:divBdr>
    </w:div>
    <w:div w:id="359824618">
      <w:bodyDiv w:val="1"/>
      <w:marLeft w:val="0"/>
      <w:marRight w:val="0"/>
      <w:marTop w:val="0"/>
      <w:marBottom w:val="0"/>
      <w:divBdr>
        <w:top w:val="none" w:sz="0" w:space="0" w:color="auto"/>
        <w:left w:val="none" w:sz="0" w:space="0" w:color="auto"/>
        <w:bottom w:val="none" w:sz="0" w:space="0" w:color="auto"/>
        <w:right w:val="none" w:sz="0" w:space="0" w:color="auto"/>
      </w:divBdr>
    </w:div>
    <w:div w:id="1158500021">
      <w:bodyDiv w:val="1"/>
      <w:marLeft w:val="0"/>
      <w:marRight w:val="0"/>
      <w:marTop w:val="0"/>
      <w:marBottom w:val="0"/>
      <w:divBdr>
        <w:top w:val="none" w:sz="0" w:space="0" w:color="auto"/>
        <w:left w:val="none" w:sz="0" w:space="0" w:color="auto"/>
        <w:bottom w:val="none" w:sz="0" w:space="0" w:color="auto"/>
        <w:right w:val="none" w:sz="0" w:space="0" w:color="auto"/>
      </w:divBdr>
    </w:div>
    <w:div w:id="1591887049">
      <w:bodyDiv w:val="1"/>
      <w:marLeft w:val="0"/>
      <w:marRight w:val="0"/>
      <w:marTop w:val="0"/>
      <w:marBottom w:val="0"/>
      <w:divBdr>
        <w:top w:val="none" w:sz="0" w:space="0" w:color="auto"/>
        <w:left w:val="none" w:sz="0" w:space="0" w:color="auto"/>
        <w:bottom w:val="none" w:sz="0" w:space="0" w:color="auto"/>
        <w:right w:val="none" w:sz="0" w:space="0" w:color="auto"/>
      </w:divBdr>
    </w:div>
    <w:div w:id="2027976118">
      <w:bodyDiv w:val="1"/>
      <w:marLeft w:val="0"/>
      <w:marRight w:val="0"/>
      <w:marTop w:val="0"/>
      <w:marBottom w:val="0"/>
      <w:divBdr>
        <w:top w:val="none" w:sz="0" w:space="0" w:color="auto"/>
        <w:left w:val="none" w:sz="0" w:space="0" w:color="auto"/>
        <w:bottom w:val="none" w:sz="0" w:space="0" w:color="auto"/>
        <w:right w:val="none" w:sz="0" w:space="0" w:color="auto"/>
      </w:divBdr>
    </w:div>
    <w:div w:id="20834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ADBC4-D5A2-437F-94B5-BF32A94331C5}">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65D8BBD-2DCF-40F1-946C-4D7C304E1578}">
  <ds:schemaRefs>
    <ds:schemaRef ds:uri="http://schemas.microsoft.com/sharepoint/v3/contenttype/forms"/>
  </ds:schemaRefs>
</ds:datastoreItem>
</file>

<file path=customXml/itemProps3.xml><?xml version="1.0" encoding="utf-8"?>
<ds:datastoreItem xmlns:ds="http://schemas.openxmlformats.org/officeDocument/2006/customXml" ds:itemID="{E324FB6F-FCE2-4DFE-8EF0-CA06634E0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SFP Q&amp;A</vt:lpstr>
    </vt:vector>
  </TitlesOfParts>
  <Company>Employment Development Department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CCOG-RM SFP Q&amp;A</dc:title>
  <dc:subject/>
  <dc:creator>Workforce Services</dc:creator>
  <cp:keywords>SFP, grant funding</cp:keywords>
  <dc:description/>
  <cp:lastModifiedBy>Richardson, Jeffrey@EDD</cp:lastModifiedBy>
  <cp:revision>7</cp:revision>
  <cp:lastPrinted>2017-06-15T19:41:00Z</cp:lastPrinted>
  <dcterms:created xsi:type="dcterms:W3CDTF">2025-05-14T15:32:00Z</dcterms:created>
  <dcterms:modified xsi:type="dcterms:W3CDTF">2025-05-20T15:22:00Z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GrammarlyDocumentId">
    <vt:lpwstr>8fa76499357d1668f9dfb8c6bc6bba87db70cafaba8a507ab73215ba0e6a6920</vt:lpwstr>
  </property>
  <property fmtid="{D5CDD505-2E9C-101B-9397-08002B2CF9AE}" pid="4" name="TaxKeywordTaxHTField">
    <vt:lpwstr>grant funding|24533338-b092-46de-9a94-240000df5e0b;SFP|450a614c-e2c0-40a1-8bc3-ae6ada1023fe</vt:lpwstr>
  </property>
  <property fmtid="{D5CDD505-2E9C-101B-9397-08002B2CF9AE}" pid="5" name="TaxKeyword">
    <vt:lpwstr>163;#grant funding|24533338-b092-46de-9a94-240000df5e0b;#162;#SFP|450a614c-e2c0-40a1-8bc3-ae6ada1023fe</vt:lpwstr>
  </property>
  <property fmtid="{D5CDD505-2E9C-101B-9397-08002B2CF9AE}" pid="6" name="TaxCatchAll">
    <vt:lpwstr>163;#grant funding;#162;#SFP</vt:lpwstr>
  </property>
</Properties>
</file>