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679B28C3" w:rsidR="0015018E" w:rsidRPr="002A057F" w:rsidRDefault="00DC7ED4" w:rsidP="002A057F">
      <w:pPr>
        <w:pStyle w:val="Heading1"/>
      </w:pPr>
      <w:r>
        <w:t>Workforce Innovation and Opportunity Act</w:t>
      </w:r>
    </w:p>
    <w:p w14:paraId="71A7D3E3" w14:textId="03058DEE" w:rsidR="0015018E" w:rsidRPr="002A057F" w:rsidRDefault="00EF1F3F" w:rsidP="002A057F">
      <w:pPr>
        <w:pStyle w:val="Heading1"/>
      </w:pPr>
      <w:r>
        <w:t>Employment</w:t>
      </w:r>
      <w:r w:rsidR="009C4813">
        <w:t xml:space="preserve"> </w:t>
      </w:r>
      <w:r>
        <w:t>Social</w:t>
      </w:r>
      <w:r w:rsidR="009C4813">
        <w:t xml:space="preserve"> </w:t>
      </w:r>
      <w:r>
        <w:t>Enterprise Technical Assistance</w:t>
      </w:r>
      <w:r w:rsidR="0015018E" w:rsidRPr="002A057F">
        <w:t xml:space="preserve"> PY </w:t>
      </w:r>
      <w:r w:rsidR="00DC7ED4">
        <w:t>24-25</w:t>
      </w:r>
    </w:p>
    <w:p w14:paraId="23446A20" w14:textId="551C6CA3" w:rsidR="0015018E" w:rsidRPr="0015018E" w:rsidRDefault="0015018E" w:rsidP="002A057F">
      <w:pPr>
        <w:pStyle w:val="Heading1"/>
        <w:rPr>
          <w:lang w:val="en"/>
        </w:rPr>
        <w:sectPr w:rsidR="0015018E" w:rsidRPr="0015018E"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2A057F">
        <w:t>Award List and Project Summar</w:t>
      </w:r>
      <w:r w:rsidR="00EF1F3F">
        <w:t>y</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1939D8A1" w:rsidR="00C4619D" w:rsidRPr="00157D1F" w:rsidRDefault="00F9480C" w:rsidP="006A609C">
      <w:pPr>
        <w:ind w:right="864"/>
        <w:rPr>
          <w:rStyle w:val="Hyperlink"/>
        </w:rPr>
      </w:pPr>
      <w:r w:rsidRPr="0064435D">
        <w:rPr>
          <w:rFonts w:cs="Arial"/>
          <w:sz w:val="24"/>
          <w:szCs w:val="24"/>
        </w:rPr>
        <w:t xml:space="preserve">On </w:t>
      </w:r>
      <w:r w:rsidR="005779D9" w:rsidRPr="00285A18">
        <w:rPr>
          <w:sz w:val="24"/>
          <w:szCs w:val="24"/>
        </w:rPr>
        <w:t>Ma</w:t>
      </w:r>
      <w:r w:rsidR="00EF1F3F" w:rsidRPr="00285A18">
        <w:rPr>
          <w:sz w:val="24"/>
          <w:szCs w:val="24"/>
        </w:rPr>
        <w:t>y</w:t>
      </w:r>
      <w:r w:rsidR="005779D9" w:rsidRPr="00285A18">
        <w:rPr>
          <w:sz w:val="24"/>
          <w:szCs w:val="24"/>
        </w:rPr>
        <w:t xml:space="preserve"> </w:t>
      </w:r>
      <w:r w:rsidR="00285A18">
        <w:rPr>
          <w:sz w:val="24"/>
          <w:szCs w:val="24"/>
        </w:rPr>
        <w:t>9</w:t>
      </w:r>
      <w:r w:rsidR="00DC7ED4" w:rsidRPr="00285A18">
        <w:rPr>
          <w:sz w:val="24"/>
          <w:szCs w:val="24"/>
        </w:rPr>
        <w:t>, 202</w:t>
      </w:r>
      <w:r w:rsidR="00C86343" w:rsidRPr="00285A18">
        <w:rPr>
          <w:sz w:val="24"/>
          <w:szCs w:val="24"/>
        </w:rPr>
        <w:t>5</w:t>
      </w:r>
      <w:r w:rsidRPr="0064435D">
        <w:rPr>
          <w:rFonts w:cs="Arial"/>
          <w:sz w:val="24"/>
          <w:szCs w:val="24"/>
        </w:rPr>
        <w:t>, $</w:t>
      </w:r>
      <w:r w:rsidR="00EF1F3F">
        <w:rPr>
          <w:rFonts w:cs="Arial"/>
          <w:sz w:val="24"/>
          <w:szCs w:val="24"/>
        </w:rPr>
        <w:t>978</w:t>
      </w:r>
      <w:r w:rsidR="005779D9">
        <w:rPr>
          <w:sz w:val="24"/>
          <w:szCs w:val="24"/>
        </w:rPr>
        <w:t>,</w:t>
      </w:r>
      <w:r w:rsidR="00EF1F3F">
        <w:rPr>
          <w:sz w:val="24"/>
          <w:szCs w:val="24"/>
        </w:rPr>
        <w:t>735.71</w:t>
      </w:r>
      <w:r w:rsidR="00E81F29" w:rsidRPr="0064435D">
        <w:rPr>
          <w:sz w:val="24"/>
          <w:szCs w:val="24"/>
        </w:rPr>
        <w:t xml:space="preserve"> </w:t>
      </w:r>
      <w:r w:rsidR="00C4619D" w:rsidRPr="0064435D">
        <w:rPr>
          <w:rFonts w:cs="Arial"/>
          <w:sz w:val="24"/>
          <w:szCs w:val="24"/>
        </w:rPr>
        <w:t xml:space="preserve">of </w:t>
      </w:r>
      <w:r w:rsidR="00DC7ED4">
        <w:rPr>
          <w:sz w:val="24"/>
          <w:szCs w:val="24"/>
        </w:rPr>
        <w:t>Workforce Innovation and Opportunity Act 15% Governor’s Discretionary funds</w:t>
      </w:r>
      <w:r w:rsidR="000D41F4" w:rsidRPr="0064435D">
        <w:rPr>
          <w:rFonts w:cs="Arial"/>
          <w:sz w:val="24"/>
          <w:szCs w:val="24"/>
        </w:rPr>
        <w:t xml:space="preserve"> </w:t>
      </w:r>
      <w:r w:rsidR="008909EA" w:rsidRPr="0064435D">
        <w:rPr>
          <w:rFonts w:cs="Arial"/>
          <w:sz w:val="24"/>
          <w:szCs w:val="24"/>
        </w:rPr>
        <w:t>were awarded to</w:t>
      </w:r>
      <w:r w:rsidR="00C4619D" w:rsidRPr="0064435D">
        <w:rPr>
          <w:rFonts w:cs="Arial"/>
          <w:sz w:val="24"/>
          <w:szCs w:val="24"/>
        </w:rPr>
        <w:t xml:space="preserve"> </w:t>
      </w:r>
      <w:r w:rsidR="00EF1F3F">
        <w:rPr>
          <w:rFonts w:cs="Arial"/>
          <w:sz w:val="24"/>
          <w:szCs w:val="24"/>
        </w:rPr>
        <w:t>one</w:t>
      </w:r>
      <w:r w:rsidR="00DC7ED4">
        <w:rPr>
          <w:sz w:val="24"/>
          <w:szCs w:val="24"/>
        </w:rPr>
        <w:t xml:space="preserve"> </w:t>
      </w:r>
      <w:r w:rsidR="00C4619D" w:rsidRPr="0064435D">
        <w:rPr>
          <w:rFonts w:cs="Arial"/>
          <w:sz w:val="24"/>
          <w:szCs w:val="24"/>
        </w:rPr>
        <w:t>organization</w:t>
      </w:r>
      <w:r w:rsidRPr="0064435D">
        <w:rPr>
          <w:rFonts w:cs="Arial"/>
          <w:sz w:val="24"/>
          <w:szCs w:val="24"/>
        </w:rPr>
        <w:t xml:space="preserve"> under the </w:t>
      </w:r>
      <w:r w:rsidR="00EF1F3F">
        <w:rPr>
          <w:rFonts w:cs="Arial"/>
          <w:sz w:val="24"/>
          <w:szCs w:val="24"/>
        </w:rPr>
        <w:t xml:space="preserve">Employment Social Enterprise </w:t>
      </w:r>
      <w:r w:rsidR="00A21B60" w:rsidRPr="0064435D">
        <w:rPr>
          <w:rFonts w:cs="Arial"/>
          <w:sz w:val="24"/>
          <w:szCs w:val="24"/>
        </w:rPr>
        <w:t>(</w:t>
      </w:r>
      <w:r w:rsidR="00EF1F3F">
        <w:rPr>
          <w:rFonts w:cs="Arial"/>
          <w:sz w:val="24"/>
          <w:szCs w:val="24"/>
        </w:rPr>
        <w:t>ESE</w:t>
      </w:r>
      <w:r w:rsidR="00A21B60" w:rsidRPr="0064435D">
        <w:rPr>
          <w:rFonts w:cs="Arial"/>
          <w:sz w:val="24"/>
          <w:szCs w:val="24"/>
        </w:rPr>
        <w:t>)</w:t>
      </w:r>
      <w:r w:rsidR="00EF1F3F">
        <w:rPr>
          <w:rFonts w:cs="Arial"/>
          <w:sz w:val="24"/>
          <w:szCs w:val="24"/>
        </w:rPr>
        <w:t xml:space="preserve"> Technical Assistance (TA) grant</w:t>
      </w:r>
      <w:r w:rsidRPr="0064435D">
        <w:rPr>
          <w:rFonts w:cs="Arial"/>
          <w:sz w:val="24"/>
          <w:szCs w:val="24"/>
        </w:rPr>
        <w:t xml:space="preserve"> </w:t>
      </w:r>
      <w:r w:rsidR="007538F6" w:rsidRPr="0064435D">
        <w:rPr>
          <w:rFonts w:cs="Arial"/>
          <w:sz w:val="24"/>
          <w:szCs w:val="24"/>
        </w:rPr>
        <w:t xml:space="preserve">for Program </w:t>
      </w:r>
      <w:r w:rsidRPr="0064435D">
        <w:rPr>
          <w:rFonts w:cs="Arial"/>
          <w:sz w:val="24"/>
          <w:szCs w:val="24"/>
        </w:rPr>
        <w:t xml:space="preserve">Year </w:t>
      </w:r>
      <w:r w:rsidR="005779D9">
        <w:rPr>
          <w:sz w:val="24"/>
          <w:szCs w:val="24"/>
        </w:rPr>
        <w:t xml:space="preserve">2024-25 </w:t>
      </w:r>
      <w:r w:rsidRPr="0064435D">
        <w:rPr>
          <w:rFonts w:cs="Arial"/>
          <w:sz w:val="24"/>
          <w:szCs w:val="24"/>
        </w:rPr>
        <w:t>(PY</w:t>
      </w:r>
      <w:r w:rsidR="005779D9">
        <w:rPr>
          <w:rFonts w:cs="Arial"/>
          <w:sz w:val="24"/>
          <w:szCs w:val="24"/>
        </w:rPr>
        <w:t xml:space="preserve"> 24-25</w:t>
      </w:r>
      <w:r w:rsidRPr="0064435D">
        <w:rPr>
          <w:rFonts w:cs="Arial"/>
          <w:sz w:val="24"/>
          <w:szCs w:val="24"/>
        </w:rPr>
        <w:t xml:space="preserve">) </w:t>
      </w:r>
      <w:r w:rsidR="00C4619D" w:rsidRPr="0064435D">
        <w:rPr>
          <w:rFonts w:cs="Arial"/>
          <w:sz w:val="24"/>
          <w:szCs w:val="24"/>
        </w:rPr>
        <w:t>Solic</w:t>
      </w:r>
      <w:r w:rsidRPr="0064435D">
        <w:rPr>
          <w:rFonts w:cs="Arial"/>
          <w:sz w:val="24"/>
          <w:szCs w:val="24"/>
        </w:rPr>
        <w:t xml:space="preserve">itation for Proposals. </w:t>
      </w:r>
      <w:r w:rsidR="00EF1F3F">
        <w:rPr>
          <w:rFonts w:cs="Arial"/>
          <w:sz w:val="24"/>
          <w:szCs w:val="24"/>
        </w:rPr>
        <w:t>The a</w:t>
      </w:r>
      <w:r w:rsidRPr="0064435D">
        <w:rPr>
          <w:rFonts w:cs="Arial"/>
          <w:sz w:val="24"/>
          <w:szCs w:val="24"/>
        </w:rPr>
        <w:t>wardee</w:t>
      </w:r>
      <w:r w:rsidR="00DC7ED4">
        <w:rPr>
          <w:rFonts w:cs="Arial"/>
          <w:sz w:val="24"/>
          <w:szCs w:val="24"/>
        </w:rPr>
        <w:t xml:space="preserve"> and </w:t>
      </w:r>
      <w:r w:rsidRPr="0064435D">
        <w:rPr>
          <w:rFonts w:cs="Arial"/>
          <w:sz w:val="24"/>
          <w:szCs w:val="24"/>
        </w:rPr>
        <w:t>p</w:t>
      </w:r>
      <w:r w:rsidR="00C4619D" w:rsidRPr="0064435D">
        <w:rPr>
          <w:rFonts w:cs="Arial"/>
          <w:sz w:val="24"/>
          <w:szCs w:val="24"/>
        </w:rPr>
        <w:t>roject summar</w:t>
      </w:r>
      <w:r w:rsidR="00EF1F3F">
        <w:rPr>
          <w:rFonts w:cs="Arial"/>
          <w:sz w:val="24"/>
          <w:szCs w:val="24"/>
        </w:rPr>
        <w:t>y</w:t>
      </w:r>
      <w:r w:rsidR="00C4619D" w:rsidRPr="0064435D">
        <w:rPr>
          <w:rFonts w:cs="Arial"/>
          <w:sz w:val="24"/>
          <w:szCs w:val="24"/>
        </w:rPr>
        <w:t xml:space="preserve"> </w:t>
      </w:r>
      <w:r w:rsidR="000627B5">
        <w:rPr>
          <w:rFonts w:cs="Arial"/>
          <w:sz w:val="24"/>
          <w:szCs w:val="24"/>
        </w:rPr>
        <w:t>are</w:t>
      </w:r>
      <w:r w:rsidR="00C4619D" w:rsidRPr="0064435D">
        <w:rPr>
          <w:rFonts w:cs="Arial"/>
          <w:sz w:val="24"/>
          <w:szCs w:val="24"/>
        </w:rPr>
        <w:t xml:space="preserve"> listed below. </w:t>
      </w:r>
      <w:r w:rsidR="002A49F5" w:rsidRPr="0064435D">
        <w:rPr>
          <w:rFonts w:cs="Arial"/>
          <w:sz w:val="24"/>
          <w:szCs w:val="24"/>
        </w:rPr>
        <w:t>Funding</w:t>
      </w:r>
      <w:r w:rsidR="00C4619D" w:rsidRPr="0064435D">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510"/>
        <w:gridCol w:w="1440"/>
      </w:tblGrid>
      <w:tr w:rsidR="00F9480C" w:rsidRPr="0064435D" w14:paraId="2A7B1A5C" w14:textId="77777777" w:rsidTr="009C4813">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3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1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DC7ED4" w:rsidRPr="0064435D" w14:paraId="2A7B1A60" w14:textId="77777777" w:rsidTr="009C4813">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2A7B1A5D" w14:textId="1EDB5C6D" w:rsidR="00DC7ED4" w:rsidRPr="00DC7ED4" w:rsidRDefault="00EF1F3F" w:rsidP="00DC7ED4">
            <w:pPr>
              <w:pStyle w:val="Default"/>
              <w:rPr>
                <w:rFonts w:asciiTheme="minorHAnsi" w:hAnsiTheme="minorHAnsi" w:cstheme="minorHAnsi"/>
                <w:bCs/>
              </w:rPr>
            </w:pPr>
            <w:r>
              <w:rPr>
                <w:rFonts w:asciiTheme="minorHAnsi" w:hAnsiTheme="minorHAnsi" w:cstheme="minorHAnsi"/>
              </w:rPr>
              <w:t>REDF</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7B1A5E" w14:textId="78DF5151" w:rsidR="00DC7ED4" w:rsidRPr="00DC7ED4" w:rsidRDefault="00EF1F3F" w:rsidP="00DC7ED4">
            <w:pPr>
              <w:pStyle w:val="Default"/>
              <w:rPr>
                <w:rFonts w:asciiTheme="minorHAnsi" w:hAnsiTheme="minorHAnsi" w:cstheme="minorHAnsi"/>
                <w:bCs/>
              </w:rPr>
            </w:pPr>
            <w:r>
              <w:rPr>
                <w:rFonts w:asciiTheme="minorHAnsi" w:hAnsiTheme="minorHAnsi" w:cstheme="minorHAnsi"/>
              </w:rPr>
              <w:t>Statewide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7B1A5F" w14:textId="06CD7B9E" w:rsidR="00DC7ED4" w:rsidRPr="00DC7ED4" w:rsidRDefault="00DC7ED4" w:rsidP="003E4126">
            <w:pPr>
              <w:pStyle w:val="Default"/>
              <w:jc w:val="center"/>
              <w:rPr>
                <w:rFonts w:asciiTheme="minorHAnsi" w:hAnsiTheme="minorHAnsi" w:cstheme="minorHAnsi"/>
              </w:rPr>
            </w:pPr>
            <w:r w:rsidRPr="00DC7ED4">
              <w:rPr>
                <w:rFonts w:asciiTheme="minorHAnsi" w:hAnsiTheme="minorHAnsi" w:cstheme="minorHAnsi"/>
              </w:rPr>
              <w:t>$</w:t>
            </w:r>
            <w:r w:rsidR="00EF1F3F">
              <w:rPr>
                <w:rFonts w:asciiTheme="minorHAnsi" w:hAnsiTheme="minorHAnsi" w:cstheme="minorHAnsi"/>
              </w:rPr>
              <w:t>978</w:t>
            </w:r>
            <w:r w:rsidR="003E4126">
              <w:rPr>
                <w:rFonts w:asciiTheme="minorHAnsi" w:hAnsiTheme="minorHAnsi" w:cstheme="minorHAnsi"/>
              </w:rPr>
              <w:t>,</w:t>
            </w:r>
            <w:r w:rsidR="00EF1F3F">
              <w:rPr>
                <w:rFonts w:asciiTheme="minorHAnsi" w:hAnsiTheme="minorHAnsi" w:cstheme="minorHAnsi"/>
              </w:rPr>
              <w:t>735.71</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4DE3973E" w:rsidR="00C4619D" w:rsidRPr="00340557" w:rsidRDefault="0071078A" w:rsidP="00C246E9">
            <w:pPr>
              <w:pStyle w:val="Heading2"/>
              <w:rPr>
                <w:szCs w:val="28"/>
              </w:rPr>
            </w:pPr>
            <w:r w:rsidRPr="00340557">
              <w:rPr>
                <w:szCs w:val="28"/>
              </w:rPr>
              <w:lastRenderedPageBreak/>
              <w:t>Project Summar</w:t>
            </w:r>
            <w:r w:rsidR="00E37C11">
              <w:rPr>
                <w:szCs w:val="28"/>
              </w:rPr>
              <w:t>y</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62620E1A" w:rsidR="00C4619D" w:rsidRPr="00157D1F" w:rsidRDefault="00285A18" w:rsidP="00B37BB7">
            <w:pPr>
              <w:rPr>
                <w:rFonts w:cs="Arial"/>
                <w:b/>
                <w:sz w:val="24"/>
                <w:szCs w:val="24"/>
              </w:rPr>
            </w:pPr>
            <w:r w:rsidRPr="00157D1F">
              <w:rPr>
                <w:rFonts w:cs="Arial"/>
                <w:b/>
                <w:sz w:val="24"/>
                <w:szCs w:val="24"/>
              </w:rPr>
              <w:t>Applicant</w:t>
            </w:r>
          </w:p>
        </w:tc>
        <w:tc>
          <w:tcPr>
            <w:tcW w:w="7375" w:type="dxa"/>
          </w:tcPr>
          <w:p w14:paraId="1B6F5325" w14:textId="502EAE52" w:rsidR="00034B8F" w:rsidRPr="00BC0771" w:rsidRDefault="00EF1F3F" w:rsidP="00034B8F">
            <w:pPr>
              <w:rPr>
                <w:bCs/>
                <w:sz w:val="24"/>
                <w:szCs w:val="24"/>
              </w:rPr>
            </w:pPr>
            <w:r w:rsidRPr="00BC0771">
              <w:rPr>
                <w:bCs/>
                <w:sz w:val="24"/>
                <w:szCs w:val="24"/>
              </w:rPr>
              <w:t>RE</w:t>
            </w:r>
            <w:r w:rsidR="002F6048" w:rsidRPr="00BC0771">
              <w:rPr>
                <w:bCs/>
                <w:sz w:val="24"/>
                <w:szCs w:val="24"/>
              </w:rPr>
              <w:t>D</w:t>
            </w:r>
            <w:r w:rsidRPr="00BC0771">
              <w:rPr>
                <w:bCs/>
                <w:sz w:val="24"/>
                <w:szCs w:val="24"/>
              </w:rPr>
              <w:t>F</w:t>
            </w:r>
          </w:p>
          <w:p w14:paraId="5140887B" w14:textId="337B313F" w:rsidR="00034B8F" w:rsidRDefault="007F1658" w:rsidP="00034B8F">
            <w:pPr>
              <w:rPr>
                <w:bCs/>
                <w:sz w:val="24"/>
                <w:szCs w:val="24"/>
              </w:rPr>
            </w:pPr>
            <w:r>
              <w:rPr>
                <w:bCs/>
                <w:sz w:val="24"/>
                <w:szCs w:val="24"/>
              </w:rPr>
              <w:t>1</w:t>
            </w:r>
            <w:r w:rsidR="002F6048" w:rsidRPr="002F6048">
              <w:rPr>
                <w:bCs/>
                <w:sz w:val="24"/>
                <w:szCs w:val="24"/>
              </w:rPr>
              <w:t xml:space="preserve">50 </w:t>
            </w:r>
            <w:r>
              <w:rPr>
                <w:bCs/>
                <w:sz w:val="24"/>
                <w:szCs w:val="24"/>
              </w:rPr>
              <w:t>Sutter</w:t>
            </w:r>
            <w:r w:rsidR="002F6048" w:rsidRPr="002F6048">
              <w:rPr>
                <w:bCs/>
                <w:sz w:val="24"/>
                <w:szCs w:val="24"/>
              </w:rPr>
              <w:t xml:space="preserve"> </w:t>
            </w:r>
            <w:r>
              <w:rPr>
                <w:bCs/>
                <w:sz w:val="24"/>
                <w:szCs w:val="24"/>
              </w:rPr>
              <w:t>Street, #267</w:t>
            </w:r>
            <w:r w:rsidR="00034B8F" w:rsidRPr="00914457">
              <w:rPr>
                <w:bCs/>
                <w:sz w:val="24"/>
                <w:szCs w:val="24"/>
              </w:rPr>
              <w:t xml:space="preserve"> </w:t>
            </w:r>
          </w:p>
          <w:p w14:paraId="33C0B997" w14:textId="028588C8" w:rsidR="00034B8F" w:rsidRDefault="002F6048" w:rsidP="00034B8F">
            <w:pPr>
              <w:rPr>
                <w:bCs/>
                <w:sz w:val="24"/>
                <w:szCs w:val="24"/>
              </w:rPr>
            </w:pPr>
            <w:r w:rsidRPr="002F6048">
              <w:rPr>
                <w:bCs/>
                <w:sz w:val="24"/>
                <w:szCs w:val="24"/>
              </w:rPr>
              <w:t xml:space="preserve">San </w:t>
            </w:r>
            <w:r w:rsidR="007F1658">
              <w:rPr>
                <w:bCs/>
                <w:sz w:val="24"/>
                <w:szCs w:val="24"/>
              </w:rPr>
              <w:t>Francisc</w:t>
            </w:r>
            <w:r w:rsidRPr="002F6048">
              <w:rPr>
                <w:bCs/>
                <w:sz w:val="24"/>
                <w:szCs w:val="24"/>
              </w:rPr>
              <w:t>o, CA 9</w:t>
            </w:r>
            <w:r w:rsidR="007F1658">
              <w:rPr>
                <w:bCs/>
                <w:sz w:val="24"/>
                <w:szCs w:val="24"/>
              </w:rPr>
              <w:t>4</w:t>
            </w:r>
            <w:r w:rsidRPr="002F6048">
              <w:rPr>
                <w:bCs/>
                <w:sz w:val="24"/>
                <w:szCs w:val="24"/>
              </w:rPr>
              <w:t>1</w:t>
            </w:r>
            <w:r w:rsidR="007F1658">
              <w:rPr>
                <w:bCs/>
                <w:sz w:val="24"/>
                <w:szCs w:val="24"/>
              </w:rPr>
              <w:t>04</w:t>
            </w:r>
          </w:p>
          <w:p w14:paraId="2A7B1A6F" w14:textId="77777777" w:rsidR="005E57E5" w:rsidRPr="00157D1F" w:rsidRDefault="005E57E5" w:rsidP="007538F6">
            <w:pPr>
              <w:rPr>
                <w:rFonts w:cs="Arial"/>
                <w:sz w:val="24"/>
                <w:szCs w:val="24"/>
              </w:rPr>
            </w:pPr>
          </w:p>
        </w:tc>
      </w:tr>
      <w:tr w:rsidR="00C4619D" w:rsidRPr="003A6798" w14:paraId="2A7B1A76" w14:textId="77777777" w:rsidTr="007538F6">
        <w:tc>
          <w:tcPr>
            <w:tcW w:w="1975" w:type="dxa"/>
          </w:tcPr>
          <w:p w14:paraId="2A7B1A71" w14:textId="1C19813E" w:rsidR="00C4619D" w:rsidRPr="00157D1F" w:rsidRDefault="00285A18" w:rsidP="00B37BB7">
            <w:pPr>
              <w:rPr>
                <w:rFonts w:cs="Arial"/>
                <w:b/>
                <w:sz w:val="24"/>
                <w:szCs w:val="24"/>
              </w:rPr>
            </w:pPr>
            <w:r w:rsidRPr="00157D1F">
              <w:rPr>
                <w:rFonts w:cs="Arial"/>
                <w:b/>
                <w:sz w:val="24"/>
                <w:szCs w:val="24"/>
              </w:rPr>
              <w:t>Contact</w:t>
            </w:r>
          </w:p>
        </w:tc>
        <w:tc>
          <w:tcPr>
            <w:tcW w:w="7375" w:type="dxa"/>
          </w:tcPr>
          <w:p w14:paraId="2ADDB9C9" w14:textId="2FC2D431" w:rsidR="00034B8F" w:rsidRPr="00914457" w:rsidRDefault="007F1658" w:rsidP="00034B8F">
            <w:pPr>
              <w:autoSpaceDE w:val="0"/>
              <w:autoSpaceDN w:val="0"/>
              <w:adjustRightInd w:val="0"/>
              <w:rPr>
                <w:rFonts w:ascii="Calibri" w:hAnsi="Calibri" w:cs="Calibri"/>
                <w:sz w:val="24"/>
                <w:szCs w:val="24"/>
              </w:rPr>
            </w:pPr>
            <w:r>
              <w:rPr>
                <w:rFonts w:ascii="Calibri" w:hAnsi="Calibri" w:cs="Calibri"/>
                <w:sz w:val="24"/>
                <w:szCs w:val="24"/>
              </w:rPr>
              <w:t>Greg Ericksen</w:t>
            </w:r>
            <w:r w:rsidR="00034B8F" w:rsidRPr="00914457">
              <w:rPr>
                <w:rFonts w:ascii="Calibri" w:hAnsi="Calibri" w:cs="Calibri"/>
                <w:sz w:val="24"/>
                <w:szCs w:val="24"/>
              </w:rPr>
              <w:t xml:space="preserve">, </w:t>
            </w:r>
            <w:r>
              <w:rPr>
                <w:rFonts w:ascii="Calibri" w:hAnsi="Calibri" w:cs="Calibri"/>
                <w:sz w:val="24"/>
                <w:szCs w:val="24"/>
              </w:rPr>
              <w:t xml:space="preserve">Senior </w:t>
            </w:r>
            <w:r w:rsidR="002F6048" w:rsidRPr="002F6048">
              <w:rPr>
                <w:rFonts w:ascii="Calibri" w:hAnsi="Calibri" w:cs="Calibri"/>
                <w:sz w:val="24"/>
                <w:szCs w:val="24"/>
              </w:rPr>
              <w:t xml:space="preserve">Director, </w:t>
            </w:r>
            <w:r>
              <w:rPr>
                <w:rFonts w:ascii="Calibri" w:hAnsi="Calibri" w:cs="Calibri"/>
                <w:sz w:val="24"/>
                <w:szCs w:val="24"/>
              </w:rPr>
              <w:t>Government Partnerships</w:t>
            </w:r>
            <w:r w:rsidR="002F6048">
              <w:rPr>
                <w:rFonts w:ascii="Calibri" w:hAnsi="Calibri" w:cs="Calibri"/>
                <w:sz w:val="24"/>
                <w:szCs w:val="24"/>
              </w:rPr>
              <w:t xml:space="preserve"> </w:t>
            </w:r>
            <w:r>
              <w:rPr>
                <w:rFonts w:ascii="Calibri" w:hAnsi="Calibri" w:cs="Calibri"/>
                <w:sz w:val="24"/>
                <w:szCs w:val="24"/>
              </w:rPr>
              <w:t>&amp; Policy</w:t>
            </w:r>
          </w:p>
          <w:p w14:paraId="172D17FB" w14:textId="2A95928A" w:rsidR="00034B8F" w:rsidRPr="00914457" w:rsidRDefault="00E42452" w:rsidP="00034B8F">
            <w:pPr>
              <w:rPr>
                <w:rFonts w:ascii="Calibri" w:hAnsi="Calibri" w:cs="Calibri"/>
                <w:sz w:val="24"/>
                <w:szCs w:val="24"/>
              </w:rPr>
            </w:pPr>
            <w:r>
              <w:rPr>
                <w:rFonts w:ascii="Calibri" w:hAnsi="Calibri" w:cs="Calibri"/>
                <w:sz w:val="24"/>
                <w:szCs w:val="24"/>
              </w:rPr>
              <w:t>1-</w:t>
            </w:r>
            <w:r w:rsidR="007F1658">
              <w:rPr>
                <w:rFonts w:ascii="Calibri" w:hAnsi="Calibri" w:cs="Calibri"/>
                <w:sz w:val="24"/>
                <w:szCs w:val="24"/>
              </w:rPr>
              <w:t>4</w:t>
            </w:r>
            <w:r w:rsidR="002F6048" w:rsidRPr="002F6048">
              <w:rPr>
                <w:rFonts w:ascii="Calibri" w:hAnsi="Calibri" w:cs="Calibri"/>
                <w:sz w:val="24"/>
                <w:szCs w:val="24"/>
              </w:rPr>
              <w:t>1</w:t>
            </w:r>
            <w:r w:rsidR="007F1658">
              <w:rPr>
                <w:rFonts w:ascii="Calibri" w:hAnsi="Calibri" w:cs="Calibri"/>
                <w:sz w:val="24"/>
                <w:szCs w:val="24"/>
              </w:rPr>
              <w:t>5</w:t>
            </w:r>
            <w:r w:rsidR="002F6048" w:rsidRPr="002F6048">
              <w:rPr>
                <w:rFonts w:ascii="Calibri" w:hAnsi="Calibri" w:cs="Calibri"/>
                <w:sz w:val="24"/>
                <w:szCs w:val="24"/>
              </w:rPr>
              <w:t>-5</w:t>
            </w:r>
            <w:r w:rsidR="007F1658">
              <w:rPr>
                <w:rFonts w:ascii="Calibri" w:hAnsi="Calibri" w:cs="Calibri"/>
                <w:sz w:val="24"/>
                <w:szCs w:val="24"/>
              </w:rPr>
              <w:t>10</w:t>
            </w:r>
            <w:r w:rsidR="002F6048" w:rsidRPr="002F6048">
              <w:rPr>
                <w:rFonts w:ascii="Calibri" w:hAnsi="Calibri" w:cs="Calibri"/>
                <w:sz w:val="24"/>
                <w:szCs w:val="24"/>
              </w:rPr>
              <w:t>-</w:t>
            </w:r>
            <w:r w:rsidR="007F1658">
              <w:rPr>
                <w:rFonts w:ascii="Calibri" w:hAnsi="Calibri" w:cs="Calibri"/>
                <w:sz w:val="24"/>
                <w:szCs w:val="24"/>
              </w:rPr>
              <w:t>6024</w:t>
            </w:r>
            <w:r w:rsidR="00034B8F" w:rsidRPr="00914457">
              <w:rPr>
                <w:rFonts w:ascii="Calibri" w:hAnsi="Calibri" w:cs="Calibri"/>
                <w:sz w:val="24"/>
                <w:szCs w:val="24"/>
              </w:rPr>
              <w:t xml:space="preserve"> </w:t>
            </w:r>
          </w:p>
          <w:p w14:paraId="37FDC85C" w14:textId="59AE4E2B" w:rsidR="00034B8F" w:rsidRPr="002F6048" w:rsidRDefault="00BA0F2F" w:rsidP="00034B8F">
            <w:hyperlink r:id="rId13" w:history="1">
              <w:r w:rsidRPr="007A745C">
                <w:rPr>
                  <w:rStyle w:val="Hyperlink"/>
                </w:rPr>
                <w:t>gericksen@redf.org</w:t>
              </w:r>
            </w:hyperlink>
          </w:p>
          <w:p w14:paraId="2A7B1A75" w14:textId="77777777" w:rsidR="005C4514" w:rsidRPr="00157D1F" w:rsidRDefault="005C4514" w:rsidP="007538F6">
            <w:pPr>
              <w:rPr>
                <w:rFonts w:cs="Arial"/>
                <w:sz w:val="24"/>
                <w:szCs w:val="24"/>
              </w:rPr>
            </w:pPr>
          </w:p>
        </w:tc>
      </w:tr>
      <w:tr w:rsidR="00C4619D" w:rsidRPr="003A6798" w14:paraId="2A7B1A79" w14:textId="77777777" w:rsidTr="007538F6">
        <w:trPr>
          <w:trHeight w:val="432"/>
        </w:trPr>
        <w:tc>
          <w:tcPr>
            <w:tcW w:w="1975" w:type="dxa"/>
          </w:tcPr>
          <w:p w14:paraId="2A7B1A77" w14:textId="3D24A27E" w:rsidR="00C4619D" w:rsidRPr="00157D1F" w:rsidRDefault="00285A18" w:rsidP="00B37BB7">
            <w:pPr>
              <w:rPr>
                <w:rFonts w:cs="Arial"/>
                <w:b/>
                <w:sz w:val="24"/>
                <w:szCs w:val="24"/>
              </w:rPr>
            </w:pPr>
            <w:r w:rsidRPr="00157D1F">
              <w:rPr>
                <w:rFonts w:cs="Arial"/>
                <w:b/>
                <w:sz w:val="24"/>
                <w:szCs w:val="24"/>
              </w:rPr>
              <w:t>Award</w:t>
            </w:r>
          </w:p>
        </w:tc>
        <w:tc>
          <w:tcPr>
            <w:tcW w:w="7375" w:type="dxa"/>
          </w:tcPr>
          <w:p w14:paraId="2A7B1A78" w14:textId="317E5D5A" w:rsidR="00C4619D" w:rsidRPr="00157D1F" w:rsidRDefault="00E81F29" w:rsidP="00E81F29">
            <w:pPr>
              <w:rPr>
                <w:rFonts w:cs="Arial"/>
                <w:sz w:val="24"/>
                <w:szCs w:val="24"/>
              </w:rPr>
            </w:pPr>
            <w:r w:rsidRPr="00157D1F">
              <w:rPr>
                <w:rFonts w:cs="Arial"/>
                <w:sz w:val="24"/>
                <w:szCs w:val="24"/>
              </w:rPr>
              <w:t>$</w:t>
            </w:r>
            <w:r w:rsidR="00EF1F3F">
              <w:rPr>
                <w:rFonts w:cs="Arial"/>
                <w:sz w:val="24"/>
                <w:szCs w:val="24"/>
              </w:rPr>
              <w:t>978</w:t>
            </w:r>
            <w:r w:rsidR="002F6048">
              <w:rPr>
                <w:rFonts w:cstheme="minorHAnsi"/>
                <w:sz w:val="24"/>
                <w:szCs w:val="24"/>
              </w:rPr>
              <w:t>,</w:t>
            </w:r>
            <w:r w:rsidR="00EF1F3F">
              <w:rPr>
                <w:rFonts w:cstheme="minorHAnsi"/>
                <w:sz w:val="24"/>
                <w:szCs w:val="24"/>
              </w:rPr>
              <w:t>735.71</w:t>
            </w:r>
          </w:p>
        </w:tc>
      </w:tr>
      <w:tr w:rsidR="00C4619D" w:rsidRPr="003A6798" w14:paraId="2A7B1A7C" w14:textId="77777777" w:rsidTr="007538F6">
        <w:trPr>
          <w:trHeight w:val="567"/>
        </w:trPr>
        <w:tc>
          <w:tcPr>
            <w:tcW w:w="1975" w:type="dxa"/>
          </w:tcPr>
          <w:p w14:paraId="51838CF9" w14:textId="142FC144" w:rsidR="00C4619D" w:rsidRDefault="00897658" w:rsidP="00B37BB7">
            <w:pPr>
              <w:rPr>
                <w:rFonts w:cs="Arial"/>
                <w:b/>
                <w:sz w:val="24"/>
                <w:szCs w:val="24"/>
              </w:rPr>
            </w:pPr>
            <w:r>
              <w:rPr>
                <w:rFonts w:cs="Arial"/>
                <w:b/>
                <w:sz w:val="24"/>
                <w:szCs w:val="24"/>
              </w:rPr>
              <w:t>E</w:t>
            </w:r>
            <w:r w:rsidR="00285A18">
              <w:rPr>
                <w:rFonts w:cs="Arial"/>
                <w:b/>
                <w:sz w:val="24"/>
                <w:szCs w:val="24"/>
              </w:rPr>
              <w:t>xpertise</w:t>
            </w:r>
            <w:r>
              <w:rPr>
                <w:rFonts w:cs="Arial"/>
                <w:b/>
                <w:sz w:val="24"/>
                <w:szCs w:val="24"/>
              </w:rPr>
              <w:t xml:space="preserve"> S</w:t>
            </w:r>
            <w:r w:rsidR="00285A18">
              <w:rPr>
                <w:rFonts w:cs="Arial"/>
                <w:b/>
                <w:sz w:val="24"/>
                <w:szCs w:val="24"/>
              </w:rPr>
              <w:t>erving</w:t>
            </w:r>
            <w:r>
              <w:rPr>
                <w:rFonts w:cs="Arial"/>
                <w:b/>
                <w:sz w:val="24"/>
                <w:szCs w:val="24"/>
              </w:rPr>
              <w:t xml:space="preserve"> </w:t>
            </w:r>
            <w:r w:rsidR="00285A18">
              <w:rPr>
                <w:rFonts w:cs="Arial"/>
                <w:b/>
                <w:sz w:val="24"/>
                <w:szCs w:val="24"/>
              </w:rPr>
              <w:t>the</w:t>
            </w:r>
            <w:r>
              <w:rPr>
                <w:rFonts w:cs="Arial"/>
                <w:b/>
                <w:sz w:val="24"/>
                <w:szCs w:val="24"/>
              </w:rPr>
              <w:t xml:space="preserve"> T</w:t>
            </w:r>
            <w:r w:rsidR="00285A18">
              <w:rPr>
                <w:rFonts w:cs="Arial"/>
                <w:b/>
                <w:sz w:val="24"/>
                <w:szCs w:val="24"/>
              </w:rPr>
              <w:t>arget</w:t>
            </w:r>
            <w:r>
              <w:rPr>
                <w:rFonts w:cs="Arial"/>
                <w:b/>
                <w:sz w:val="24"/>
                <w:szCs w:val="24"/>
              </w:rPr>
              <w:t xml:space="preserve"> P</w:t>
            </w:r>
            <w:r w:rsidR="00285A18">
              <w:rPr>
                <w:rFonts w:cs="Arial"/>
                <w:b/>
                <w:sz w:val="24"/>
                <w:szCs w:val="24"/>
              </w:rPr>
              <w:t>opulations</w:t>
            </w:r>
          </w:p>
          <w:p w14:paraId="2A7B1A7A" w14:textId="5F2C236E" w:rsidR="00DF1979" w:rsidRPr="00157D1F" w:rsidRDefault="00DF1979" w:rsidP="00B37BB7">
            <w:pPr>
              <w:rPr>
                <w:rFonts w:cs="Arial"/>
                <w:b/>
                <w:sz w:val="24"/>
                <w:szCs w:val="24"/>
              </w:rPr>
            </w:pPr>
          </w:p>
        </w:tc>
        <w:tc>
          <w:tcPr>
            <w:tcW w:w="7375" w:type="dxa"/>
          </w:tcPr>
          <w:p w14:paraId="4F149885" w14:textId="46BCFF14" w:rsidR="002F6048" w:rsidRPr="00E37C11" w:rsidRDefault="00897658" w:rsidP="00E37C11">
            <w:pPr>
              <w:ind w:right="90"/>
              <w:rPr>
                <w:rFonts w:cstheme="minorHAnsi"/>
                <w:sz w:val="24"/>
                <w:szCs w:val="24"/>
              </w:rPr>
            </w:pPr>
            <w:r w:rsidRPr="00E37C11">
              <w:rPr>
                <w:rFonts w:cstheme="minorHAnsi"/>
                <w:sz w:val="24"/>
                <w:szCs w:val="24"/>
              </w:rPr>
              <w:t>Over 25 years of experience serving populations facing significant employment barriers and providing targeted TA to ESEs.</w:t>
            </w:r>
          </w:p>
          <w:p w14:paraId="68A14634" w14:textId="1D1FC0BD" w:rsidR="00034B8F" w:rsidRPr="00897658" w:rsidRDefault="00034B8F" w:rsidP="00897658">
            <w:pPr>
              <w:pStyle w:val="ListParagraph"/>
              <w:ind w:left="360" w:right="90"/>
              <w:rPr>
                <w:rFonts w:cstheme="minorHAnsi"/>
                <w:sz w:val="24"/>
                <w:szCs w:val="24"/>
              </w:rPr>
            </w:pPr>
          </w:p>
          <w:p w14:paraId="2A7B1A7B" w14:textId="47C4EC12" w:rsidR="00C4619D" w:rsidRPr="00157D1F" w:rsidRDefault="00C4619D" w:rsidP="00E81F29">
            <w:pPr>
              <w:rPr>
                <w:rFonts w:cs="Arial"/>
                <w:sz w:val="24"/>
                <w:szCs w:val="24"/>
              </w:rPr>
            </w:pPr>
          </w:p>
        </w:tc>
      </w:tr>
      <w:tr w:rsidR="00C4619D" w:rsidRPr="003A6798" w14:paraId="2A7B1A85" w14:textId="77777777" w:rsidTr="007538F6">
        <w:tc>
          <w:tcPr>
            <w:tcW w:w="1975" w:type="dxa"/>
          </w:tcPr>
          <w:p w14:paraId="091DAC0A" w14:textId="77777777" w:rsidR="00897658" w:rsidRDefault="00897658" w:rsidP="00B37BB7">
            <w:pPr>
              <w:rPr>
                <w:rFonts w:cs="Arial"/>
                <w:b/>
                <w:sz w:val="24"/>
                <w:szCs w:val="24"/>
              </w:rPr>
            </w:pPr>
          </w:p>
          <w:p w14:paraId="387AEB2B" w14:textId="14C70B9C" w:rsidR="00C4619D" w:rsidRDefault="00285A18" w:rsidP="00B37BB7">
            <w:pPr>
              <w:rPr>
                <w:rFonts w:cs="Arial"/>
                <w:b/>
                <w:sz w:val="24"/>
                <w:szCs w:val="24"/>
              </w:rPr>
            </w:pPr>
            <w:r w:rsidRPr="00157D1F">
              <w:rPr>
                <w:rFonts w:cs="Arial"/>
                <w:b/>
                <w:sz w:val="24"/>
                <w:szCs w:val="24"/>
              </w:rPr>
              <w:t>Key Partners</w:t>
            </w:r>
          </w:p>
          <w:p w14:paraId="3CE22FEB" w14:textId="77777777" w:rsidR="00897658" w:rsidRDefault="00897658" w:rsidP="00B37BB7">
            <w:pPr>
              <w:rPr>
                <w:rFonts w:cs="Arial"/>
                <w:b/>
                <w:sz w:val="24"/>
                <w:szCs w:val="24"/>
              </w:rPr>
            </w:pPr>
          </w:p>
          <w:p w14:paraId="7697DD1A" w14:textId="77777777" w:rsidR="00897658" w:rsidRDefault="00897658" w:rsidP="00B37BB7">
            <w:pPr>
              <w:rPr>
                <w:rFonts w:cs="Arial"/>
                <w:b/>
                <w:sz w:val="24"/>
                <w:szCs w:val="24"/>
              </w:rPr>
            </w:pPr>
          </w:p>
          <w:p w14:paraId="0D4E0EDA" w14:textId="77777777" w:rsidR="00897658" w:rsidRDefault="00897658" w:rsidP="00B37BB7">
            <w:pPr>
              <w:rPr>
                <w:rFonts w:cs="Arial"/>
                <w:b/>
                <w:sz w:val="24"/>
                <w:szCs w:val="24"/>
              </w:rPr>
            </w:pPr>
          </w:p>
          <w:p w14:paraId="2A7B1A82" w14:textId="03438875" w:rsidR="00897658" w:rsidRPr="00157D1F" w:rsidRDefault="00897658" w:rsidP="00B37BB7">
            <w:pPr>
              <w:rPr>
                <w:rFonts w:cs="Arial"/>
                <w:b/>
                <w:sz w:val="24"/>
                <w:szCs w:val="24"/>
              </w:rPr>
            </w:pPr>
            <w:r>
              <w:rPr>
                <w:rFonts w:cs="Arial"/>
                <w:b/>
                <w:sz w:val="24"/>
                <w:szCs w:val="24"/>
              </w:rPr>
              <w:t>S</w:t>
            </w:r>
            <w:r w:rsidR="00285A18">
              <w:rPr>
                <w:rFonts w:cs="Arial"/>
                <w:b/>
                <w:sz w:val="24"/>
                <w:szCs w:val="24"/>
              </w:rPr>
              <w:t>ervice</w:t>
            </w:r>
            <w:r>
              <w:rPr>
                <w:rFonts w:cs="Arial"/>
                <w:b/>
                <w:sz w:val="24"/>
                <w:szCs w:val="24"/>
              </w:rPr>
              <w:t xml:space="preserve"> M</w:t>
            </w:r>
            <w:r w:rsidR="00285A18">
              <w:rPr>
                <w:rFonts w:cs="Arial"/>
                <w:b/>
                <w:sz w:val="24"/>
                <w:szCs w:val="24"/>
              </w:rPr>
              <w:t>odel</w:t>
            </w:r>
          </w:p>
        </w:tc>
        <w:tc>
          <w:tcPr>
            <w:tcW w:w="7375" w:type="dxa"/>
          </w:tcPr>
          <w:p w14:paraId="06E934E5" w14:textId="75EA0D7C" w:rsidR="00034B8F" w:rsidRPr="00897658" w:rsidRDefault="00034B8F" w:rsidP="00897658">
            <w:pPr>
              <w:pBdr>
                <w:top w:val="nil"/>
                <w:left w:val="nil"/>
                <w:bottom w:val="nil"/>
                <w:right w:val="nil"/>
                <w:between w:val="nil"/>
              </w:pBdr>
              <w:ind w:right="90"/>
              <w:rPr>
                <w:rFonts w:cstheme="minorHAnsi"/>
                <w:sz w:val="24"/>
                <w:szCs w:val="24"/>
              </w:rPr>
            </w:pPr>
          </w:p>
          <w:p w14:paraId="1DE10818" w14:textId="6DC59208" w:rsidR="00897658" w:rsidRDefault="00897658" w:rsidP="00034B8F">
            <w:pPr>
              <w:pStyle w:val="ListParagraph"/>
              <w:numPr>
                <w:ilvl w:val="0"/>
                <w:numId w:val="2"/>
              </w:numPr>
              <w:pBdr>
                <w:top w:val="nil"/>
                <w:left w:val="nil"/>
                <w:bottom w:val="nil"/>
                <w:right w:val="nil"/>
                <w:between w:val="nil"/>
              </w:pBdr>
              <w:ind w:right="90"/>
              <w:rPr>
                <w:rFonts w:cstheme="minorHAnsi"/>
                <w:sz w:val="24"/>
                <w:szCs w:val="24"/>
              </w:rPr>
            </w:pPr>
            <w:r w:rsidRPr="00897658">
              <w:rPr>
                <w:rFonts w:cstheme="minorHAnsi"/>
                <w:sz w:val="24"/>
                <w:szCs w:val="24"/>
              </w:rPr>
              <w:t>California Workforce Association (CWA)</w:t>
            </w:r>
          </w:p>
          <w:p w14:paraId="4FB81E0C" w14:textId="25C69009" w:rsidR="00897658" w:rsidRDefault="00897658" w:rsidP="00034B8F">
            <w:pPr>
              <w:pStyle w:val="ListParagraph"/>
              <w:numPr>
                <w:ilvl w:val="0"/>
                <w:numId w:val="2"/>
              </w:numPr>
              <w:pBdr>
                <w:top w:val="nil"/>
                <w:left w:val="nil"/>
                <w:bottom w:val="nil"/>
                <w:right w:val="nil"/>
                <w:between w:val="nil"/>
              </w:pBdr>
              <w:ind w:right="90"/>
              <w:rPr>
                <w:rFonts w:cstheme="minorHAnsi"/>
                <w:sz w:val="24"/>
                <w:szCs w:val="24"/>
              </w:rPr>
            </w:pPr>
            <w:r w:rsidRPr="00897658">
              <w:rPr>
                <w:rFonts w:cstheme="minorHAnsi"/>
                <w:sz w:val="24"/>
                <w:szCs w:val="24"/>
              </w:rPr>
              <w:t>Institute for American Apprenticeships (IAA)</w:t>
            </w:r>
          </w:p>
          <w:p w14:paraId="6BBE823F" w14:textId="7FB72028" w:rsidR="00897658" w:rsidRDefault="00897658" w:rsidP="00034B8F">
            <w:pPr>
              <w:pStyle w:val="ListParagraph"/>
              <w:numPr>
                <w:ilvl w:val="0"/>
                <w:numId w:val="2"/>
              </w:numPr>
              <w:pBdr>
                <w:top w:val="nil"/>
                <w:left w:val="nil"/>
                <w:bottom w:val="nil"/>
                <w:right w:val="nil"/>
                <w:between w:val="nil"/>
              </w:pBdr>
              <w:ind w:right="90"/>
              <w:rPr>
                <w:rFonts w:cstheme="minorHAnsi"/>
                <w:sz w:val="24"/>
                <w:szCs w:val="24"/>
              </w:rPr>
            </w:pPr>
            <w:r w:rsidRPr="00897658">
              <w:rPr>
                <w:rFonts w:cstheme="minorHAnsi"/>
                <w:sz w:val="24"/>
                <w:szCs w:val="24"/>
              </w:rPr>
              <w:t>SPR</w:t>
            </w:r>
          </w:p>
          <w:p w14:paraId="32338C65" w14:textId="77777777" w:rsidR="00897658" w:rsidRDefault="00897658" w:rsidP="00897658">
            <w:pPr>
              <w:pBdr>
                <w:top w:val="nil"/>
                <w:left w:val="nil"/>
                <w:bottom w:val="nil"/>
                <w:right w:val="nil"/>
                <w:between w:val="nil"/>
              </w:pBdr>
              <w:ind w:right="90"/>
              <w:rPr>
                <w:rFonts w:cstheme="minorHAnsi"/>
                <w:sz w:val="24"/>
                <w:szCs w:val="24"/>
              </w:rPr>
            </w:pPr>
          </w:p>
          <w:p w14:paraId="5AE002C7" w14:textId="47E897EB" w:rsidR="00897658" w:rsidRPr="00897658" w:rsidRDefault="00897658" w:rsidP="00897658">
            <w:pPr>
              <w:pBdr>
                <w:top w:val="nil"/>
                <w:left w:val="nil"/>
                <w:bottom w:val="nil"/>
                <w:right w:val="nil"/>
                <w:between w:val="nil"/>
              </w:pBdr>
              <w:ind w:right="90"/>
              <w:rPr>
                <w:rFonts w:cstheme="minorHAnsi"/>
                <w:sz w:val="24"/>
                <w:szCs w:val="24"/>
              </w:rPr>
            </w:pPr>
            <w:r w:rsidRPr="00897658">
              <w:rPr>
                <w:rFonts w:cstheme="minorHAnsi"/>
                <w:sz w:val="24"/>
                <w:szCs w:val="24"/>
              </w:rPr>
              <w:t>REDF delivers customized capacity</w:t>
            </w:r>
            <w:r w:rsidR="00E37C11">
              <w:rPr>
                <w:rFonts w:cstheme="minorHAnsi"/>
                <w:sz w:val="24"/>
                <w:szCs w:val="24"/>
              </w:rPr>
              <w:t>-</w:t>
            </w:r>
            <w:r w:rsidRPr="00897658">
              <w:rPr>
                <w:rFonts w:cstheme="minorHAnsi"/>
                <w:sz w:val="24"/>
                <w:szCs w:val="24"/>
              </w:rPr>
              <w:t>building support alongside capital investments and community-building work to amplify the success of our partners. REDF will use a tiered system of Group TA</w:t>
            </w:r>
            <w:r w:rsidR="00C124C4">
              <w:rPr>
                <w:rFonts w:cstheme="minorHAnsi"/>
                <w:sz w:val="24"/>
                <w:szCs w:val="24"/>
              </w:rPr>
              <w:t xml:space="preserve"> (Technical Assistance)</w:t>
            </w:r>
            <w:r w:rsidRPr="00897658">
              <w:rPr>
                <w:rFonts w:cstheme="minorHAnsi"/>
                <w:sz w:val="24"/>
                <w:szCs w:val="24"/>
              </w:rPr>
              <w:t>, Individual TA, and Self-Guided Resources, allowing for flexibility based on each ESE's specific needs. An initial assessment of WIOA-related topics and key ESE areas will evaluate each grantees’ capacity and establish a baseline for group and ind</w:t>
            </w:r>
            <w:r w:rsidR="00C124C4">
              <w:rPr>
                <w:rFonts w:cstheme="minorHAnsi"/>
                <w:sz w:val="24"/>
                <w:szCs w:val="24"/>
              </w:rPr>
              <w:t>ivid</w:t>
            </w:r>
            <w:r w:rsidRPr="00897658">
              <w:rPr>
                <w:rFonts w:cstheme="minorHAnsi"/>
                <w:sz w:val="24"/>
                <w:szCs w:val="24"/>
              </w:rPr>
              <w:t>ual</w:t>
            </w:r>
            <w:r w:rsidR="00C124C4">
              <w:rPr>
                <w:rFonts w:cstheme="minorHAnsi"/>
                <w:sz w:val="24"/>
                <w:szCs w:val="24"/>
              </w:rPr>
              <w:t>ized</w:t>
            </w:r>
            <w:r w:rsidRPr="00897658">
              <w:rPr>
                <w:rFonts w:cstheme="minorHAnsi"/>
                <w:sz w:val="24"/>
                <w:szCs w:val="24"/>
              </w:rPr>
              <w:t xml:space="preserve"> TA. </w:t>
            </w:r>
          </w:p>
          <w:p w14:paraId="5ED7612F" w14:textId="77777777" w:rsidR="00897658" w:rsidRPr="00897658" w:rsidRDefault="00897658" w:rsidP="00897658">
            <w:pPr>
              <w:pBdr>
                <w:top w:val="nil"/>
                <w:left w:val="nil"/>
                <w:bottom w:val="nil"/>
                <w:right w:val="nil"/>
                <w:between w:val="nil"/>
              </w:pBdr>
              <w:ind w:right="90"/>
              <w:rPr>
                <w:rFonts w:cstheme="minorHAnsi"/>
                <w:sz w:val="24"/>
                <w:szCs w:val="24"/>
              </w:rPr>
            </w:pPr>
          </w:p>
          <w:p w14:paraId="5C73EE8B" w14:textId="509EC999" w:rsidR="00897658" w:rsidRDefault="00897658" w:rsidP="00897658">
            <w:pPr>
              <w:pBdr>
                <w:top w:val="nil"/>
                <w:left w:val="nil"/>
                <w:bottom w:val="nil"/>
                <w:right w:val="nil"/>
                <w:between w:val="nil"/>
              </w:pBdr>
              <w:ind w:right="90"/>
              <w:rPr>
                <w:rFonts w:cstheme="minorHAnsi"/>
                <w:sz w:val="24"/>
                <w:szCs w:val="24"/>
              </w:rPr>
            </w:pPr>
            <w:r w:rsidRPr="00897658">
              <w:rPr>
                <w:rFonts w:cstheme="minorHAnsi"/>
                <w:sz w:val="24"/>
                <w:szCs w:val="24"/>
              </w:rPr>
              <w:t>Group TA will include bi-monthly virtual TA sessions focusing on topics beneficial to multiple ESEs</w:t>
            </w:r>
            <w:r w:rsidR="00E37C11">
              <w:rPr>
                <w:rFonts w:cstheme="minorHAnsi"/>
                <w:sz w:val="24"/>
                <w:szCs w:val="24"/>
              </w:rPr>
              <w:t>.</w:t>
            </w:r>
            <w:r w:rsidRPr="00897658">
              <w:rPr>
                <w:rFonts w:cstheme="minorHAnsi"/>
                <w:sz w:val="24"/>
                <w:szCs w:val="24"/>
              </w:rPr>
              <w:t xml:space="preserve"> TA sessions will address specific business needs, target populations, or industries for 2-3 ESEs. For individual TA, REDF will conduct </w:t>
            </w:r>
            <w:r w:rsidR="00E37C11">
              <w:rPr>
                <w:rFonts w:cstheme="minorHAnsi"/>
                <w:sz w:val="24"/>
                <w:szCs w:val="24"/>
              </w:rPr>
              <w:t xml:space="preserve">a </w:t>
            </w:r>
            <w:r w:rsidRPr="00897658">
              <w:rPr>
                <w:rFonts w:cstheme="minorHAnsi"/>
                <w:sz w:val="24"/>
                <w:szCs w:val="24"/>
              </w:rPr>
              <w:t>1:1 meeting with ESEs to co-design a TA work</w:t>
            </w:r>
            <w:r w:rsidR="00E37C11">
              <w:rPr>
                <w:rFonts w:cstheme="minorHAnsi"/>
                <w:sz w:val="24"/>
                <w:szCs w:val="24"/>
              </w:rPr>
              <w:t xml:space="preserve"> </w:t>
            </w:r>
            <w:r w:rsidRPr="00897658">
              <w:rPr>
                <w:rFonts w:cstheme="minorHAnsi"/>
                <w:sz w:val="24"/>
                <w:szCs w:val="24"/>
              </w:rPr>
              <w:t xml:space="preserve">plan, discuss progress, and provide customized TA project options. Finally, REDF will leverage its repository of self-guided resources, including WIOA-specific training, virtual courses, and </w:t>
            </w:r>
            <w:r w:rsidR="00E37C11">
              <w:rPr>
                <w:rFonts w:cstheme="minorHAnsi"/>
                <w:sz w:val="24"/>
                <w:szCs w:val="24"/>
              </w:rPr>
              <w:t xml:space="preserve">a </w:t>
            </w:r>
            <w:r w:rsidRPr="00897658">
              <w:rPr>
                <w:rFonts w:cstheme="minorHAnsi"/>
                <w:sz w:val="24"/>
                <w:szCs w:val="24"/>
              </w:rPr>
              <w:t>library of tools and resources. To support sustainability, REDF will chart employer partnerships and high-impact occupational pathways and help ESEs build relationships with key industry and workforce partners. REDF will also support upskilling and identify competitive employment opportunities to promote long-term opportunities for ESE grantees. Lastly, REDF has obtained eight partnership agreements from workforce development boards (LWDBs) to support grantees developing robust business partnerships and sharing workforce development learnings, among other supports.</w:t>
            </w:r>
          </w:p>
          <w:p w14:paraId="2B796A41" w14:textId="77777777" w:rsidR="00897658" w:rsidRDefault="00897658" w:rsidP="00897658">
            <w:pPr>
              <w:pBdr>
                <w:top w:val="nil"/>
                <w:left w:val="nil"/>
                <w:bottom w:val="nil"/>
                <w:right w:val="nil"/>
                <w:between w:val="nil"/>
              </w:pBdr>
              <w:ind w:right="90"/>
              <w:rPr>
                <w:rFonts w:cstheme="minorHAnsi"/>
                <w:sz w:val="24"/>
                <w:szCs w:val="24"/>
              </w:rPr>
            </w:pPr>
          </w:p>
          <w:p w14:paraId="28088C2D" w14:textId="52C51955" w:rsidR="00897658" w:rsidRPr="00897658" w:rsidRDefault="00897658" w:rsidP="00897658">
            <w:pPr>
              <w:pBdr>
                <w:top w:val="nil"/>
                <w:left w:val="nil"/>
                <w:bottom w:val="nil"/>
                <w:right w:val="nil"/>
                <w:between w:val="nil"/>
              </w:pBdr>
              <w:ind w:right="90"/>
              <w:rPr>
                <w:rFonts w:cstheme="minorHAnsi"/>
                <w:sz w:val="24"/>
                <w:szCs w:val="24"/>
              </w:rPr>
            </w:pPr>
            <w:r w:rsidRPr="00897658">
              <w:rPr>
                <w:rFonts w:cstheme="minorHAnsi"/>
                <w:sz w:val="24"/>
                <w:szCs w:val="24"/>
              </w:rPr>
              <w:lastRenderedPageBreak/>
              <w:t>Building on the program design, REDF will ensure thorough tracking and documentation of all activities, progress, and participation, sharing quarterly reports with EDD. Social Policy Research Associates (SPR) will aggregate program data and activities into a final report, assessing the program's effectiveness and leveraging insights from the first round of grantees. This evaluation will build on previous results and incorporate findings from both cohorts.</w:t>
            </w:r>
          </w:p>
          <w:p w14:paraId="2A7B1A84" w14:textId="77777777" w:rsidR="00E81F29" w:rsidRPr="00157D1F" w:rsidRDefault="00E81F29" w:rsidP="007538F6">
            <w:pPr>
              <w:rPr>
                <w:rFonts w:cs="Arial"/>
                <w:sz w:val="24"/>
                <w:szCs w:val="24"/>
              </w:rPr>
            </w:pPr>
          </w:p>
        </w:tc>
      </w:tr>
      <w:tr w:rsidR="00C4619D" w:rsidRPr="003A6798" w14:paraId="2A7B1A8A" w14:textId="77777777" w:rsidTr="007538F6">
        <w:tc>
          <w:tcPr>
            <w:tcW w:w="1975" w:type="dxa"/>
          </w:tcPr>
          <w:p w14:paraId="2A7B1A86" w14:textId="31DEF505" w:rsidR="00C4619D" w:rsidRPr="00157D1F" w:rsidRDefault="00897658" w:rsidP="00B37BB7">
            <w:pPr>
              <w:rPr>
                <w:rFonts w:cs="Arial"/>
                <w:b/>
                <w:sz w:val="24"/>
                <w:szCs w:val="24"/>
              </w:rPr>
            </w:pPr>
            <w:r>
              <w:rPr>
                <w:rFonts w:cs="Arial"/>
                <w:b/>
                <w:sz w:val="24"/>
                <w:szCs w:val="24"/>
              </w:rPr>
              <w:lastRenderedPageBreak/>
              <w:t>T</w:t>
            </w:r>
            <w:r w:rsidR="00285A18">
              <w:rPr>
                <w:rFonts w:cs="Arial"/>
                <w:b/>
                <w:sz w:val="24"/>
                <w:szCs w:val="24"/>
              </w:rPr>
              <w:t>echnical</w:t>
            </w:r>
            <w:r>
              <w:rPr>
                <w:rFonts w:cs="Arial"/>
                <w:b/>
                <w:sz w:val="24"/>
                <w:szCs w:val="24"/>
              </w:rPr>
              <w:t xml:space="preserve"> A</w:t>
            </w:r>
            <w:r w:rsidR="00285A18">
              <w:rPr>
                <w:rFonts w:cs="Arial"/>
                <w:b/>
                <w:sz w:val="24"/>
                <w:szCs w:val="24"/>
              </w:rPr>
              <w:t>ssi</w:t>
            </w:r>
            <w:r w:rsidR="00E86BDE">
              <w:rPr>
                <w:rFonts w:cs="Arial"/>
                <w:b/>
                <w:sz w:val="24"/>
                <w:szCs w:val="24"/>
              </w:rPr>
              <w:t>s</w:t>
            </w:r>
            <w:r w:rsidR="00285A18">
              <w:rPr>
                <w:rFonts w:cs="Arial"/>
                <w:b/>
                <w:sz w:val="24"/>
                <w:szCs w:val="24"/>
              </w:rPr>
              <w:t>tance</w:t>
            </w:r>
            <w:r>
              <w:rPr>
                <w:rFonts w:cs="Arial"/>
                <w:b/>
                <w:sz w:val="24"/>
                <w:szCs w:val="24"/>
              </w:rPr>
              <w:t xml:space="preserve"> P</w:t>
            </w:r>
            <w:r w:rsidR="00285A18">
              <w:rPr>
                <w:rFonts w:cs="Arial"/>
                <w:b/>
                <w:sz w:val="24"/>
                <w:szCs w:val="24"/>
              </w:rPr>
              <w:t>lan</w:t>
            </w:r>
          </w:p>
        </w:tc>
        <w:tc>
          <w:tcPr>
            <w:tcW w:w="7375" w:type="dxa"/>
          </w:tcPr>
          <w:p w14:paraId="2A7B1A88" w14:textId="69F8E608" w:rsidR="00E81F29" w:rsidRPr="00157D1F" w:rsidRDefault="00897658" w:rsidP="007538F6">
            <w:pPr>
              <w:rPr>
                <w:sz w:val="24"/>
                <w:szCs w:val="24"/>
              </w:rPr>
            </w:pPr>
            <w:r w:rsidRPr="00897658">
              <w:rPr>
                <w:rFonts w:cstheme="minorHAnsi"/>
                <w:sz w:val="24"/>
                <w:szCs w:val="24"/>
              </w:rPr>
              <w:t xml:space="preserve">Leveraging its experience as the </w:t>
            </w:r>
            <w:r w:rsidR="001A133B">
              <w:rPr>
                <w:rFonts w:cstheme="minorHAnsi"/>
                <w:sz w:val="24"/>
                <w:szCs w:val="24"/>
              </w:rPr>
              <w:t xml:space="preserve">current </w:t>
            </w:r>
            <w:r w:rsidRPr="00897658">
              <w:rPr>
                <w:rFonts w:cstheme="minorHAnsi"/>
                <w:sz w:val="24"/>
                <w:szCs w:val="24"/>
              </w:rPr>
              <w:t xml:space="preserve">WIOA ESE TA provider, REDF will </w:t>
            </w:r>
            <w:r w:rsidR="001A133B">
              <w:rPr>
                <w:rFonts w:cstheme="minorHAnsi"/>
                <w:sz w:val="24"/>
                <w:szCs w:val="24"/>
              </w:rPr>
              <w:t xml:space="preserve">continue to </w:t>
            </w:r>
            <w:r w:rsidRPr="00897658">
              <w:rPr>
                <w:rFonts w:cstheme="minorHAnsi"/>
                <w:sz w:val="24"/>
                <w:szCs w:val="24"/>
              </w:rPr>
              <w:t>offer a customized, human-centered approach to support Employment Social Enterprises (ESEs). This approach aims to help ESEs achieve their project goals, improve participant outcomes, and enhance program sustainability. REDF will use a tiered system of Group TA, Individual</w:t>
            </w:r>
            <w:r w:rsidR="001A133B">
              <w:rPr>
                <w:rFonts w:cstheme="minorHAnsi"/>
                <w:sz w:val="24"/>
                <w:szCs w:val="24"/>
              </w:rPr>
              <w:t>ized</w:t>
            </w:r>
            <w:r w:rsidRPr="00897658">
              <w:rPr>
                <w:rFonts w:cstheme="minorHAnsi"/>
                <w:sz w:val="24"/>
                <w:szCs w:val="24"/>
              </w:rPr>
              <w:t xml:space="preserve"> TA, and Self-Guided Resources to cater to up to 20 grantees, allowing for flexibility based on each ESE's specific needs.</w:t>
            </w:r>
          </w:p>
          <w:p w14:paraId="2A7B1A89" w14:textId="77777777" w:rsidR="00E81F29" w:rsidRPr="00157D1F" w:rsidRDefault="00E81F29" w:rsidP="007538F6">
            <w:pPr>
              <w:rPr>
                <w:rFonts w:cs="Arial"/>
                <w:sz w:val="24"/>
                <w:szCs w:val="24"/>
              </w:rPr>
            </w:pPr>
          </w:p>
        </w:tc>
      </w:tr>
      <w:tr w:rsidR="00C4619D" w:rsidRPr="003A6798" w14:paraId="2A7B1A8D" w14:textId="77777777" w:rsidTr="007538F6">
        <w:tc>
          <w:tcPr>
            <w:tcW w:w="1975" w:type="dxa"/>
          </w:tcPr>
          <w:p w14:paraId="2A7B1A8B" w14:textId="07C9469D" w:rsidR="00C4619D" w:rsidRPr="00157D1F" w:rsidRDefault="00285A18" w:rsidP="00B37BB7">
            <w:pPr>
              <w:rPr>
                <w:rFonts w:cs="Arial"/>
                <w:b/>
                <w:sz w:val="24"/>
                <w:szCs w:val="24"/>
              </w:rPr>
            </w:pPr>
            <w:r w:rsidRPr="00157D1F">
              <w:rPr>
                <w:rFonts w:cs="Arial"/>
                <w:b/>
                <w:sz w:val="24"/>
                <w:szCs w:val="24"/>
              </w:rPr>
              <w:t>Expected Outcomes</w:t>
            </w:r>
          </w:p>
        </w:tc>
        <w:tc>
          <w:tcPr>
            <w:tcW w:w="7375" w:type="dxa"/>
          </w:tcPr>
          <w:p w14:paraId="2A7B1A8C" w14:textId="72A472BD" w:rsidR="00C4619D" w:rsidRPr="00E37C11" w:rsidRDefault="00E37C11" w:rsidP="00E37C11">
            <w:pPr>
              <w:ind w:right="90"/>
              <w:rPr>
                <w:rFonts w:cstheme="minorHAnsi"/>
                <w:sz w:val="24"/>
                <w:szCs w:val="24"/>
              </w:rPr>
            </w:pPr>
            <w:r w:rsidRPr="00E37C11">
              <w:rPr>
                <w:rFonts w:cstheme="minorHAnsi"/>
                <w:sz w:val="24"/>
                <w:szCs w:val="24"/>
              </w:rPr>
              <w:t>The goals of the REDF WIOA ESE TA Project are to provide meaningful and individualized TA that leads to meeting or exceeding performance goals, increased operational capacity and knowledge, innovative service strategies for target populations, and highly developed partnerships with LWDBs and businesses. The TA provided will lead to better outcomes for WIOA</w:t>
            </w:r>
            <w:r>
              <w:rPr>
                <w:rFonts w:cstheme="minorHAnsi"/>
                <w:sz w:val="24"/>
                <w:szCs w:val="24"/>
              </w:rPr>
              <w:t xml:space="preserve"> </w:t>
            </w:r>
            <w:r w:rsidRPr="00E37C11">
              <w:rPr>
                <w:rFonts w:cstheme="minorHAnsi"/>
                <w:sz w:val="24"/>
                <w:szCs w:val="24"/>
              </w:rPr>
              <w:t>program participants, especially those with high</w:t>
            </w:r>
            <w:r>
              <w:rPr>
                <w:rFonts w:cstheme="minorHAnsi"/>
                <w:sz w:val="24"/>
                <w:szCs w:val="24"/>
              </w:rPr>
              <w:t xml:space="preserve"> </w:t>
            </w:r>
            <w:r w:rsidRPr="00E37C11">
              <w:rPr>
                <w:rFonts w:cstheme="minorHAnsi"/>
                <w:sz w:val="24"/>
                <w:szCs w:val="24"/>
              </w:rPr>
              <w:t>barriers. WIOA funded ESEs will create a meaningful change in the workforce system by bridging the gap between the need for work experience (transitional jobs) for adults with barriers, providing additional in-demand credentials or work-based training, and trauma-informed wrap around case management and supportive services that drives opportunities for participants towards competitive employment and earn a living wage. The goals of the TA project are tailored to meet those outcomes.</w:t>
            </w:r>
          </w:p>
        </w:tc>
      </w:tr>
    </w:tbl>
    <w:p w14:paraId="2A7B1A8E" w14:textId="5F83C3A1" w:rsidR="00E81F29" w:rsidRPr="00157D1F" w:rsidRDefault="00E81F2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81F29" w:rsidRPr="003A6798" w14:paraId="2A7B1A93" w14:textId="77777777" w:rsidTr="00130055">
        <w:tc>
          <w:tcPr>
            <w:tcW w:w="1975" w:type="dxa"/>
          </w:tcPr>
          <w:p w14:paraId="2A7B1A8F" w14:textId="66EE45CB" w:rsidR="00E81F29" w:rsidRPr="00DC7ED4" w:rsidRDefault="00E81F29" w:rsidP="00130055">
            <w:pPr>
              <w:rPr>
                <w:rFonts w:cs="Arial"/>
                <w:b/>
                <w:sz w:val="24"/>
                <w:szCs w:val="24"/>
              </w:rPr>
            </w:pPr>
          </w:p>
        </w:tc>
        <w:tc>
          <w:tcPr>
            <w:tcW w:w="7375" w:type="dxa"/>
          </w:tcPr>
          <w:p w14:paraId="2A7B1A92" w14:textId="079094E5" w:rsidR="00034B8F" w:rsidRPr="00DC7ED4" w:rsidRDefault="00034B8F" w:rsidP="00034B8F">
            <w:pPr>
              <w:rPr>
                <w:rFonts w:cs="Arial"/>
                <w:sz w:val="24"/>
                <w:szCs w:val="24"/>
              </w:rPr>
            </w:pPr>
          </w:p>
        </w:tc>
      </w:tr>
      <w:tr w:rsidR="00E81F29" w:rsidRPr="003A6798" w14:paraId="2A7B1A99" w14:textId="77777777" w:rsidTr="00130055">
        <w:tc>
          <w:tcPr>
            <w:tcW w:w="1975" w:type="dxa"/>
          </w:tcPr>
          <w:p w14:paraId="2A7B1A94" w14:textId="5DF861D3" w:rsidR="00E81F29" w:rsidRPr="00DC7ED4" w:rsidRDefault="00E81F29" w:rsidP="00130055">
            <w:pPr>
              <w:rPr>
                <w:rFonts w:cs="Arial"/>
                <w:b/>
                <w:sz w:val="24"/>
                <w:szCs w:val="24"/>
              </w:rPr>
            </w:pPr>
          </w:p>
        </w:tc>
        <w:tc>
          <w:tcPr>
            <w:tcW w:w="7375" w:type="dxa"/>
          </w:tcPr>
          <w:p w14:paraId="2A7B1A98" w14:textId="77777777" w:rsidR="00E81F29" w:rsidRPr="00DC7ED4" w:rsidRDefault="00E81F29" w:rsidP="005C4514">
            <w:pPr>
              <w:rPr>
                <w:rFonts w:cs="Arial"/>
                <w:sz w:val="24"/>
                <w:szCs w:val="24"/>
              </w:rPr>
            </w:pPr>
          </w:p>
        </w:tc>
      </w:tr>
      <w:tr w:rsidR="00E81F29" w:rsidRPr="003A6798" w14:paraId="2A7B1A9C" w14:textId="77777777" w:rsidTr="00130055">
        <w:trPr>
          <w:trHeight w:val="432"/>
        </w:trPr>
        <w:tc>
          <w:tcPr>
            <w:tcW w:w="1975" w:type="dxa"/>
          </w:tcPr>
          <w:p w14:paraId="2A7B1A9A" w14:textId="1CCDB6C5" w:rsidR="00E81F29" w:rsidRPr="00DC7ED4" w:rsidRDefault="00E81F29" w:rsidP="00130055">
            <w:pPr>
              <w:rPr>
                <w:rFonts w:cs="Arial"/>
                <w:b/>
                <w:sz w:val="24"/>
                <w:szCs w:val="24"/>
              </w:rPr>
            </w:pPr>
          </w:p>
        </w:tc>
        <w:tc>
          <w:tcPr>
            <w:tcW w:w="7375" w:type="dxa"/>
          </w:tcPr>
          <w:p w14:paraId="2A7B1A9B" w14:textId="49D0B64B" w:rsidR="00E81F29" w:rsidRPr="00DC7ED4" w:rsidRDefault="00E81F29" w:rsidP="00130055">
            <w:pPr>
              <w:rPr>
                <w:rFonts w:cs="Arial"/>
                <w:sz w:val="24"/>
                <w:szCs w:val="24"/>
              </w:rPr>
            </w:pPr>
          </w:p>
        </w:tc>
      </w:tr>
      <w:tr w:rsidR="00E81F29" w:rsidRPr="003A6798" w14:paraId="2A7B1A9F" w14:textId="77777777" w:rsidTr="00130055">
        <w:trPr>
          <w:trHeight w:val="567"/>
        </w:trPr>
        <w:tc>
          <w:tcPr>
            <w:tcW w:w="1975" w:type="dxa"/>
          </w:tcPr>
          <w:p w14:paraId="2A7B1A9D" w14:textId="1AE95240" w:rsidR="00E81F29" w:rsidRPr="00DC7ED4" w:rsidRDefault="00E81F29" w:rsidP="00130055">
            <w:pPr>
              <w:rPr>
                <w:rFonts w:cs="Arial"/>
                <w:b/>
                <w:sz w:val="24"/>
                <w:szCs w:val="24"/>
              </w:rPr>
            </w:pPr>
          </w:p>
        </w:tc>
        <w:tc>
          <w:tcPr>
            <w:tcW w:w="7375" w:type="dxa"/>
          </w:tcPr>
          <w:p w14:paraId="2A7B1A9E" w14:textId="19E4579C" w:rsidR="00E81F29" w:rsidRPr="00DC7ED4" w:rsidRDefault="00E81F29" w:rsidP="00130055">
            <w:pPr>
              <w:rPr>
                <w:rFonts w:cs="Arial"/>
                <w:sz w:val="24"/>
                <w:szCs w:val="24"/>
              </w:rPr>
            </w:pPr>
          </w:p>
        </w:tc>
      </w:tr>
      <w:tr w:rsidR="00E81F29" w:rsidRPr="003A6798" w14:paraId="2A7B1AA8" w14:textId="77777777" w:rsidTr="00130055">
        <w:tc>
          <w:tcPr>
            <w:tcW w:w="1975" w:type="dxa"/>
          </w:tcPr>
          <w:p w14:paraId="2A7B1AA5" w14:textId="04051AF3" w:rsidR="00E81F29" w:rsidRPr="00DC7ED4" w:rsidRDefault="00E81F29" w:rsidP="00130055">
            <w:pPr>
              <w:rPr>
                <w:rFonts w:cs="Arial"/>
                <w:b/>
                <w:sz w:val="24"/>
                <w:szCs w:val="24"/>
              </w:rPr>
            </w:pPr>
          </w:p>
        </w:tc>
        <w:tc>
          <w:tcPr>
            <w:tcW w:w="7375" w:type="dxa"/>
          </w:tcPr>
          <w:p w14:paraId="2A7B1AA7" w14:textId="77777777" w:rsidR="00E81F29" w:rsidRPr="00DC7ED4" w:rsidRDefault="00E81F29" w:rsidP="00130055">
            <w:pPr>
              <w:rPr>
                <w:rFonts w:cs="Arial"/>
                <w:sz w:val="24"/>
                <w:szCs w:val="24"/>
              </w:rPr>
            </w:pPr>
          </w:p>
        </w:tc>
      </w:tr>
      <w:tr w:rsidR="00E81F29" w:rsidRPr="003A6798" w14:paraId="2A7B1AAD" w14:textId="77777777" w:rsidTr="00130055">
        <w:tc>
          <w:tcPr>
            <w:tcW w:w="1975" w:type="dxa"/>
          </w:tcPr>
          <w:p w14:paraId="2A7B1AA9" w14:textId="52E78A82" w:rsidR="00E81F29" w:rsidRPr="00DC7ED4" w:rsidRDefault="00E81F29" w:rsidP="00130055">
            <w:pPr>
              <w:rPr>
                <w:rFonts w:cs="Arial"/>
                <w:b/>
                <w:sz w:val="24"/>
                <w:szCs w:val="24"/>
              </w:rPr>
            </w:pPr>
          </w:p>
        </w:tc>
        <w:tc>
          <w:tcPr>
            <w:tcW w:w="7375" w:type="dxa"/>
          </w:tcPr>
          <w:p w14:paraId="2A7B1AAC" w14:textId="77777777" w:rsidR="00E81F29" w:rsidRPr="00DC7ED4" w:rsidRDefault="00E81F29" w:rsidP="002964EC">
            <w:pPr>
              <w:pBdr>
                <w:top w:val="nil"/>
                <w:left w:val="nil"/>
                <w:bottom w:val="nil"/>
                <w:right w:val="nil"/>
                <w:between w:val="nil"/>
              </w:pBdr>
              <w:ind w:right="90"/>
              <w:rPr>
                <w:rFonts w:cs="Arial"/>
                <w:sz w:val="24"/>
                <w:szCs w:val="24"/>
              </w:rPr>
            </w:pPr>
          </w:p>
        </w:tc>
      </w:tr>
      <w:tr w:rsidR="00E81F29" w:rsidRPr="003A6798" w14:paraId="2A7B1AB0" w14:textId="77777777" w:rsidTr="00034B8F">
        <w:trPr>
          <w:trHeight w:val="80"/>
        </w:trPr>
        <w:tc>
          <w:tcPr>
            <w:tcW w:w="1975" w:type="dxa"/>
          </w:tcPr>
          <w:p w14:paraId="2A7B1AAE" w14:textId="17B979D7" w:rsidR="00E81F29" w:rsidRPr="00DC7ED4" w:rsidRDefault="00E81F29" w:rsidP="00130055">
            <w:pPr>
              <w:rPr>
                <w:rFonts w:cs="Arial"/>
                <w:b/>
                <w:sz w:val="24"/>
                <w:szCs w:val="24"/>
              </w:rPr>
            </w:pPr>
          </w:p>
        </w:tc>
        <w:tc>
          <w:tcPr>
            <w:tcW w:w="7375" w:type="dxa"/>
          </w:tcPr>
          <w:p w14:paraId="2A7B1AAF" w14:textId="4F1A94F1" w:rsidR="00E81F29" w:rsidRPr="00DC7ED4" w:rsidRDefault="00E81F29" w:rsidP="002F6048">
            <w:pPr>
              <w:rPr>
                <w:rFonts w:cs="Arial"/>
                <w:sz w:val="24"/>
                <w:szCs w:val="24"/>
              </w:rPr>
            </w:pPr>
          </w:p>
        </w:tc>
      </w:tr>
    </w:tbl>
    <w:p w14:paraId="2A7B1AB1" w14:textId="299953EE" w:rsidR="00034B8F" w:rsidRDefault="00034B8F" w:rsidP="007F1658"/>
    <w:sectPr w:rsidR="00034B8F"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333C8506" w:rsidR="005E57E5" w:rsidRDefault="00EF1F3F" w:rsidP="003A6798">
            <w:pPr>
              <w:pStyle w:val="Footer"/>
            </w:pPr>
            <w:r w:rsidRPr="00EF1F3F">
              <w:rPr>
                <w:rFonts w:ascii="Calibri" w:hAnsi="Calibri" w:cs="Calibri"/>
                <w:sz w:val="24"/>
                <w:szCs w:val="24"/>
              </w:rPr>
              <w:t>ESE TA</w:t>
            </w:r>
            <w:r w:rsidR="00DC7ED4" w:rsidRPr="00EF1F3F">
              <w:rPr>
                <w:rFonts w:ascii="Calibri" w:hAnsi="Calibri" w:cs="Calibri"/>
                <w:sz w:val="24"/>
                <w:szCs w:val="24"/>
              </w:rPr>
              <w:t xml:space="preserve"> </w:t>
            </w:r>
            <w:r w:rsidR="00E81F29" w:rsidRPr="00EF1F3F">
              <w:rPr>
                <w:rFonts w:ascii="Calibri" w:hAnsi="Calibri" w:cs="Calibri"/>
                <w:sz w:val="24"/>
                <w:szCs w:val="24"/>
              </w:rPr>
              <w:t xml:space="preserve">SFP </w:t>
            </w:r>
            <w:r w:rsidR="00011FF6" w:rsidRPr="00EF1F3F">
              <w:rPr>
                <w:rFonts w:ascii="Calibri" w:hAnsi="Calibri" w:cs="Calibri"/>
                <w:sz w:val="24"/>
                <w:szCs w:val="24"/>
              </w:rPr>
              <w:t xml:space="preserve">PY </w:t>
            </w:r>
            <w:r w:rsidR="00E81F29" w:rsidRPr="00EF1F3F">
              <w:rPr>
                <w:rFonts w:ascii="Calibri" w:hAnsi="Calibri" w:cs="Calibri"/>
                <w:sz w:val="24"/>
                <w:szCs w:val="24"/>
              </w:rPr>
              <w:t>20</w:t>
            </w:r>
            <w:r w:rsidR="00DC7ED4" w:rsidRPr="00EF1F3F">
              <w:rPr>
                <w:rFonts w:ascii="Calibri" w:hAnsi="Calibri" w:cs="Calibri"/>
                <w:sz w:val="24"/>
                <w:szCs w:val="24"/>
              </w:rPr>
              <w:t>24-25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27ED1990" w:rsidR="00C246E9" w:rsidRDefault="00EF1F3F" w:rsidP="00C246E9">
        <w:pPr>
          <w:pStyle w:val="Footer"/>
        </w:pPr>
        <w:r w:rsidRPr="00EF1F3F">
          <w:rPr>
            <w:rFonts w:ascii="Calibri" w:hAnsi="Calibri" w:cs="Calibri"/>
            <w:sz w:val="24"/>
            <w:szCs w:val="24"/>
          </w:rPr>
          <w:t>ESE TA</w:t>
        </w:r>
        <w:r w:rsidR="00C246E9" w:rsidRPr="00C246E9">
          <w:rPr>
            <w:sz w:val="24"/>
            <w:szCs w:val="24"/>
          </w:rPr>
          <w:t xml:space="preserve"> </w:t>
        </w:r>
        <w:r w:rsidR="00C246E9" w:rsidRPr="00EF1F3F">
          <w:rPr>
            <w:rFonts w:ascii="Calibri" w:hAnsi="Calibri" w:cs="Calibri"/>
            <w:sz w:val="24"/>
            <w:szCs w:val="24"/>
          </w:rPr>
          <w:t>SFP PY 20</w:t>
        </w:r>
        <w:r w:rsidR="00DC7ED4" w:rsidRPr="00EF1F3F">
          <w:rPr>
            <w:rFonts w:ascii="Calibri" w:hAnsi="Calibri" w:cs="Calibri"/>
            <w:sz w:val="24"/>
            <w:szCs w:val="24"/>
          </w:rPr>
          <w:t>24</w:t>
        </w:r>
        <w:r w:rsidR="00C246E9" w:rsidRPr="00EF1F3F">
          <w:rPr>
            <w:rFonts w:ascii="Calibri" w:hAnsi="Calibri" w:cs="Calibri"/>
            <w:sz w:val="24"/>
            <w:szCs w:val="24"/>
          </w:rPr>
          <w:t>-</w:t>
        </w:r>
        <w:r w:rsidR="00DC7ED4" w:rsidRPr="00EF1F3F">
          <w:rPr>
            <w:rFonts w:ascii="Calibri" w:hAnsi="Calibri" w:cs="Calibri"/>
            <w:sz w:val="24"/>
            <w:szCs w:val="24"/>
          </w:rPr>
          <w:t>25</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6E"/>
    <w:multiLevelType w:val="hybridMultilevel"/>
    <w:tmpl w:val="0EC6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28DC"/>
    <w:multiLevelType w:val="hybridMultilevel"/>
    <w:tmpl w:val="5B8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3F1E"/>
    <w:multiLevelType w:val="hybridMultilevel"/>
    <w:tmpl w:val="3A7E47B6"/>
    <w:lvl w:ilvl="0" w:tplc="011007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047"/>
    <w:multiLevelType w:val="hybridMultilevel"/>
    <w:tmpl w:val="B942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960DC"/>
    <w:multiLevelType w:val="hybridMultilevel"/>
    <w:tmpl w:val="4110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6ED3"/>
    <w:multiLevelType w:val="multilevel"/>
    <w:tmpl w:val="CCC4F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B1261"/>
    <w:multiLevelType w:val="hybridMultilevel"/>
    <w:tmpl w:val="7A4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649C"/>
    <w:multiLevelType w:val="hybridMultilevel"/>
    <w:tmpl w:val="EBA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E2C30"/>
    <w:multiLevelType w:val="hybridMultilevel"/>
    <w:tmpl w:val="C45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43C4"/>
    <w:multiLevelType w:val="hybridMultilevel"/>
    <w:tmpl w:val="E15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7837"/>
    <w:multiLevelType w:val="hybridMultilevel"/>
    <w:tmpl w:val="37E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2775"/>
    <w:multiLevelType w:val="multilevel"/>
    <w:tmpl w:val="EE7E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A57C16"/>
    <w:multiLevelType w:val="multilevel"/>
    <w:tmpl w:val="7296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20B47"/>
    <w:multiLevelType w:val="hybridMultilevel"/>
    <w:tmpl w:val="906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516E7"/>
    <w:multiLevelType w:val="hybridMultilevel"/>
    <w:tmpl w:val="A05C704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306B278C"/>
    <w:multiLevelType w:val="hybridMultilevel"/>
    <w:tmpl w:val="D0D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72814"/>
    <w:multiLevelType w:val="multilevel"/>
    <w:tmpl w:val="67D0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250E6F"/>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46ABD"/>
    <w:multiLevelType w:val="hybridMultilevel"/>
    <w:tmpl w:val="46B6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5527"/>
    <w:multiLevelType w:val="multilevel"/>
    <w:tmpl w:val="EEFA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321476"/>
    <w:multiLevelType w:val="hybridMultilevel"/>
    <w:tmpl w:val="5F36F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A38E7"/>
    <w:multiLevelType w:val="hybridMultilevel"/>
    <w:tmpl w:val="5D48EC5E"/>
    <w:lvl w:ilvl="0" w:tplc="04090001">
      <w:start w:val="1"/>
      <w:numFmt w:val="bullet"/>
      <w:lvlText w:val=""/>
      <w:lvlJc w:val="left"/>
      <w:pPr>
        <w:ind w:left="720" w:hanging="360"/>
      </w:pPr>
      <w:rPr>
        <w:rFonts w:ascii="Symbol" w:hAnsi="Symbol" w:hint="default"/>
      </w:rPr>
    </w:lvl>
    <w:lvl w:ilvl="1" w:tplc="7CBE0768">
      <w:numFmt w:val="bullet"/>
      <w:lvlText w:val="•"/>
      <w:lvlJc w:val="left"/>
      <w:pPr>
        <w:ind w:left="3240" w:hanging="21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52119"/>
    <w:multiLevelType w:val="hybridMultilevel"/>
    <w:tmpl w:val="D3D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D1B76"/>
    <w:multiLevelType w:val="hybridMultilevel"/>
    <w:tmpl w:val="520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E6807"/>
    <w:multiLevelType w:val="hybridMultilevel"/>
    <w:tmpl w:val="5DF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4199B"/>
    <w:multiLevelType w:val="hybridMultilevel"/>
    <w:tmpl w:val="2E9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04802"/>
    <w:multiLevelType w:val="hybridMultilevel"/>
    <w:tmpl w:val="2EBC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07DA5"/>
    <w:multiLevelType w:val="hybridMultilevel"/>
    <w:tmpl w:val="FCC8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44C29"/>
    <w:multiLevelType w:val="hybridMultilevel"/>
    <w:tmpl w:val="1AB8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4B39F8"/>
    <w:multiLevelType w:val="hybridMultilevel"/>
    <w:tmpl w:val="41D2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1AE4"/>
    <w:multiLevelType w:val="multilevel"/>
    <w:tmpl w:val="929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82AD9"/>
    <w:multiLevelType w:val="hybridMultilevel"/>
    <w:tmpl w:val="1732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447F23"/>
    <w:multiLevelType w:val="hybridMultilevel"/>
    <w:tmpl w:val="782CB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2091E"/>
    <w:multiLevelType w:val="hybridMultilevel"/>
    <w:tmpl w:val="FFFFFFFF"/>
    <w:lvl w:ilvl="0" w:tplc="0A305806">
      <w:start w:val="1"/>
      <w:numFmt w:val="bullet"/>
      <w:lvlText w:val="·"/>
      <w:lvlJc w:val="left"/>
      <w:pPr>
        <w:ind w:left="360" w:hanging="360"/>
      </w:pPr>
      <w:rPr>
        <w:rFonts w:ascii="Symbol" w:hAnsi="Symbol" w:hint="default"/>
      </w:rPr>
    </w:lvl>
    <w:lvl w:ilvl="1" w:tplc="486E3754">
      <w:start w:val="1"/>
      <w:numFmt w:val="bullet"/>
      <w:lvlText w:val="o"/>
      <w:lvlJc w:val="left"/>
      <w:pPr>
        <w:ind w:left="1080" w:hanging="360"/>
      </w:pPr>
      <w:rPr>
        <w:rFonts w:ascii="Courier New" w:hAnsi="Courier New" w:hint="default"/>
      </w:rPr>
    </w:lvl>
    <w:lvl w:ilvl="2" w:tplc="00DAF5DE">
      <w:start w:val="1"/>
      <w:numFmt w:val="bullet"/>
      <w:lvlText w:val=""/>
      <w:lvlJc w:val="left"/>
      <w:pPr>
        <w:ind w:left="1800" w:hanging="360"/>
      </w:pPr>
      <w:rPr>
        <w:rFonts w:ascii="Wingdings" w:hAnsi="Wingdings" w:hint="default"/>
      </w:rPr>
    </w:lvl>
    <w:lvl w:ilvl="3" w:tplc="EF760B86">
      <w:start w:val="1"/>
      <w:numFmt w:val="bullet"/>
      <w:lvlText w:val=""/>
      <w:lvlJc w:val="left"/>
      <w:pPr>
        <w:ind w:left="2520" w:hanging="360"/>
      </w:pPr>
      <w:rPr>
        <w:rFonts w:ascii="Symbol" w:hAnsi="Symbol" w:hint="default"/>
      </w:rPr>
    </w:lvl>
    <w:lvl w:ilvl="4" w:tplc="881285BA">
      <w:start w:val="1"/>
      <w:numFmt w:val="bullet"/>
      <w:lvlText w:val="o"/>
      <w:lvlJc w:val="left"/>
      <w:pPr>
        <w:ind w:left="3240" w:hanging="360"/>
      </w:pPr>
      <w:rPr>
        <w:rFonts w:ascii="Courier New" w:hAnsi="Courier New" w:hint="default"/>
      </w:rPr>
    </w:lvl>
    <w:lvl w:ilvl="5" w:tplc="917A5C44">
      <w:start w:val="1"/>
      <w:numFmt w:val="bullet"/>
      <w:lvlText w:val=""/>
      <w:lvlJc w:val="left"/>
      <w:pPr>
        <w:ind w:left="3960" w:hanging="360"/>
      </w:pPr>
      <w:rPr>
        <w:rFonts w:ascii="Wingdings" w:hAnsi="Wingdings" w:hint="default"/>
      </w:rPr>
    </w:lvl>
    <w:lvl w:ilvl="6" w:tplc="2242AFBE">
      <w:start w:val="1"/>
      <w:numFmt w:val="bullet"/>
      <w:lvlText w:val=""/>
      <w:lvlJc w:val="left"/>
      <w:pPr>
        <w:ind w:left="4680" w:hanging="360"/>
      </w:pPr>
      <w:rPr>
        <w:rFonts w:ascii="Symbol" w:hAnsi="Symbol" w:hint="default"/>
      </w:rPr>
    </w:lvl>
    <w:lvl w:ilvl="7" w:tplc="8708D4C8">
      <w:start w:val="1"/>
      <w:numFmt w:val="bullet"/>
      <w:lvlText w:val="o"/>
      <w:lvlJc w:val="left"/>
      <w:pPr>
        <w:ind w:left="5400" w:hanging="360"/>
      </w:pPr>
      <w:rPr>
        <w:rFonts w:ascii="Courier New" w:hAnsi="Courier New" w:hint="default"/>
      </w:rPr>
    </w:lvl>
    <w:lvl w:ilvl="8" w:tplc="785A728E">
      <w:start w:val="1"/>
      <w:numFmt w:val="bullet"/>
      <w:lvlText w:val=""/>
      <w:lvlJc w:val="left"/>
      <w:pPr>
        <w:ind w:left="6120" w:hanging="360"/>
      </w:pPr>
      <w:rPr>
        <w:rFonts w:ascii="Wingdings" w:hAnsi="Wingdings" w:hint="default"/>
      </w:rPr>
    </w:lvl>
  </w:abstractNum>
  <w:abstractNum w:abstractNumId="35" w15:restartNumberingAfterBreak="0">
    <w:nsid w:val="7D49EC7D"/>
    <w:multiLevelType w:val="hybridMultilevel"/>
    <w:tmpl w:val="FFFFFFFF"/>
    <w:lvl w:ilvl="0" w:tplc="B404AE64">
      <w:start w:val="1"/>
      <w:numFmt w:val="bullet"/>
      <w:lvlText w:val="·"/>
      <w:lvlJc w:val="left"/>
      <w:pPr>
        <w:ind w:left="360" w:hanging="360"/>
      </w:pPr>
      <w:rPr>
        <w:rFonts w:ascii="Symbol" w:hAnsi="Symbol" w:hint="default"/>
      </w:rPr>
    </w:lvl>
    <w:lvl w:ilvl="1" w:tplc="CFB6F940">
      <w:start w:val="1"/>
      <w:numFmt w:val="bullet"/>
      <w:lvlText w:val="o"/>
      <w:lvlJc w:val="left"/>
      <w:pPr>
        <w:ind w:left="1080" w:hanging="360"/>
      </w:pPr>
      <w:rPr>
        <w:rFonts w:ascii="Courier New" w:hAnsi="Courier New" w:hint="default"/>
      </w:rPr>
    </w:lvl>
    <w:lvl w:ilvl="2" w:tplc="AEDA5B9A">
      <w:start w:val="1"/>
      <w:numFmt w:val="bullet"/>
      <w:lvlText w:val=""/>
      <w:lvlJc w:val="left"/>
      <w:pPr>
        <w:ind w:left="1800" w:hanging="360"/>
      </w:pPr>
      <w:rPr>
        <w:rFonts w:ascii="Wingdings" w:hAnsi="Wingdings" w:hint="default"/>
      </w:rPr>
    </w:lvl>
    <w:lvl w:ilvl="3" w:tplc="BEF2C864">
      <w:start w:val="1"/>
      <w:numFmt w:val="bullet"/>
      <w:lvlText w:val=""/>
      <w:lvlJc w:val="left"/>
      <w:pPr>
        <w:ind w:left="2520" w:hanging="360"/>
      </w:pPr>
      <w:rPr>
        <w:rFonts w:ascii="Symbol" w:hAnsi="Symbol" w:hint="default"/>
      </w:rPr>
    </w:lvl>
    <w:lvl w:ilvl="4" w:tplc="49E0AB3A">
      <w:start w:val="1"/>
      <w:numFmt w:val="bullet"/>
      <w:lvlText w:val="o"/>
      <w:lvlJc w:val="left"/>
      <w:pPr>
        <w:ind w:left="3240" w:hanging="360"/>
      </w:pPr>
      <w:rPr>
        <w:rFonts w:ascii="Courier New" w:hAnsi="Courier New" w:hint="default"/>
      </w:rPr>
    </w:lvl>
    <w:lvl w:ilvl="5" w:tplc="7BCA5830">
      <w:start w:val="1"/>
      <w:numFmt w:val="bullet"/>
      <w:lvlText w:val=""/>
      <w:lvlJc w:val="left"/>
      <w:pPr>
        <w:ind w:left="3960" w:hanging="360"/>
      </w:pPr>
      <w:rPr>
        <w:rFonts w:ascii="Wingdings" w:hAnsi="Wingdings" w:hint="default"/>
      </w:rPr>
    </w:lvl>
    <w:lvl w:ilvl="6" w:tplc="A0C2CE12">
      <w:start w:val="1"/>
      <w:numFmt w:val="bullet"/>
      <w:lvlText w:val=""/>
      <w:lvlJc w:val="left"/>
      <w:pPr>
        <w:ind w:left="4680" w:hanging="360"/>
      </w:pPr>
      <w:rPr>
        <w:rFonts w:ascii="Symbol" w:hAnsi="Symbol" w:hint="default"/>
      </w:rPr>
    </w:lvl>
    <w:lvl w:ilvl="7" w:tplc="391073B8">
      <w:start w:val="1"/>
      <w:numFmt w:val="bullet"/>
      <w:lvlText w:val="o"/>
      <w:lvlJc w:val="left"/>
      <w:pPr>
        <w:ind w:left="5400" w:hanging="360"/>
      </w:pPr>
      <w:rPr>
        <w:rFonts w:ascii="Courier New" w:hAnsi="Courier New" w:hint="default"/>
      </w:rPr>
    </w:lvl>
    <w:lvl w:ilvl="8" w:tplc="E4F63F04">
      <w:start w:val="1"/>
      <w:numFmt w:val="bullet"/>
      <w:lvlText w:val=""/>
      <w:lvlJc w:val="left"/>
      <w:pPr>
        <w:ind w:left="6120" w:hanging="360"/>
      </w:pPr>
      <w:rPr>
        <w:rFonts w:ascii="Wingdings" w:hAnsi="Wingdings" w:hint="default"/>
      </w:rPr>
    </w:lvl>
  </w:abstractNum>
  <w:abstractNum w:abstractNumId="36" w15:restartNumberingAfterBreak="0">
    <w:nsid w:val="7F1E0853"/>
    <w:multiLevelType w:val="hybridMultilevel"/>
    <w:tmpl w:val="2C24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30"/>
  </w:num>
  <w:num w:numId="2" w16cid:durableId="1110665402">
    <w:abstractNumId w:val="33"/>
  </w:num>
  <w:num w:numId="3" w16cid:durableId="1534685563">
    <w:abstractNumId w:val="28"/>
  </w:num>
  <w:num w:numId="4" w16cid:durableId="1158156594">
    <w:abstractNumId w:val="32"/>
  </w:num>
  <w:num w:numId="5" w16cid:durableId="2113351530">
    <w:abstractNumId w:val="34"/>
  </w:num>
  <w:num w:numId="6" w16cid:durableId="60910205">
    <w:abstractNumId w:val="35"/>
  </w:num>
  <w:num w:numId="7" w16cid:durableId="796921755">
    <w:abstractNumId w:val="24"/>
  </w:num>
  <w:num w:numId="8" w16cid:durableId="821195190">
    <w:abstractNumId w:val="14"/>
  </w:num>
  <w:num w:numId="9" w16cid:durableId="1964732683">
    <w:abstractNumId w:val="2"/>
  </w:num>
  <w:num w:numId="10" w16cid:durableId="1455559421">
    <w:abstractNumId w:val="17"/>
  </w:num>
  <w:num w:numId="11" w16cid:durableId="2146851341">
    <w:abstractNumId w:val="27"/>
  </w:num>
  <w:num w:numId="12" w16cid:durableId="739136212">
    <w:abstractNumId w:val="26"/>
  </w:num>
  <w:num w:numId="13" w16cid:durableId="917984398">
    <w:abstractNumId w:val="6"/>
  </w:num>
  <w:num w:numId="14" w16cid:durableId="895317027">
    <w:abstractNumId w:val="11"/>
  </w:num>
  <w:num w:numId="15" w16cid:durableId="755203114">
    <w:abstractNumId w:val="15"/>
  </w:num>
  <w:num w:numId="16" w16cid:durableId="1023900013">
    <w:abstractNumId w:val="19"/>
  </w:num>
  <w:num w:numId="17" w16cid:durableId="662397609">
    <w:abstractNumId w:val="13"/>
  </w:num>
  <w:num w:numId="18" w16cid:durableId="397291628">
    <w:abstractNumId w:val="5"/>
  </w:num>
  <w:num w:numId="19" w16cid:durableId="477722797">
    <w:abstractNumId w:val="22"/>
  </w:num>
  <w:num w:numId="20" w16cid:durableId="2134327216">
    <w:abstractNumId w:val="16"/>
  </w:num>
  <w:num w:numId="21" w16cid:durableId="311258492">
    <w:abstractNumId w:val="0"/>
  </w:num>
  <w:num w:numId="22" w16cid:durableId="1864442895">
    <w:abstractNumId w:val="21"/>
  </w:num>
  <w:num w:numId="23" w16cid:durableId="890187689">
    <w:abstractNumId w:val="9"/>
  </w:num>
  <w:num w:numId="24" w16cid:durableId="112288902">
    <w:abstractNumId w:val="18"/>
  </w:num>
  <w:num w:numId="25" w16cid:durableId="2110734392">
    <w:abstractNumId w:val="23"/>
  </w:num>
  <w:num w:numId="26" w16cid:durableId="1770740068">
    <w:abstractNumId w:val="1"/>
  </w:num>
  <w:num w:numId="27" w16cid:durableId="1770197120">
    <w:abstractNumId w:val="7"/>
  </w:num>
  <w:num w:numId="28" w16cid:durableId="2040036920">
    <w:abstractNumId w:val="3"/>
  </w:num>
  <w:num w:numId="29" w16cid:durableId="1162815077">
    <w:abstractNumId w:val="31"/>
  </w:num>
  <w:num w:numId="30" w16cid:durableId="2004819081">
    <w:abstractNumId w:val="29"/>
  </w:num>
  <w:num w:numId="31" w16cid:durableId="1693797229">
    <w:abstractNumId w:val="25"/>
  </w:num>
  <w:num w:numId="32" w16cid:durableId="270819875">
    <w:abstractNumId w:val="8"/>
  </w:num>
  <w:num w:numId="33" w16cid:durableId="1766850697">
    <w:abstractNumId w:val="10"/>
  </w:num>
  <w:num w:numId="34" w16cid:durableId="147986223">
    <w:abstractNumId w:val="4"/>
  </w:num>
  <w:num w:numId="35" w16cid:durableId="97258646">
    <w:abstractNumId w:val="12"/>
  </w:num>
  <w:num w:numId="36" w16cid:durableId="1845321647">
    <w:abstractNumId w:val="36"/>
  </w:num>
  <w:num w:numId="37" w16cid:durableId="982975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NDM3tjQ1MDcyNDVQ0lEKTi0uzszPAykwqwUAlRFW4CwAAAA="/>
  </w:docVars>
  <w:rsids>
    <w:rsidRoot w:val="00C4619D"/>
    <w:rsid w:val="00010A4C"/>
    <w:rsid w:val="00011FF6"/>
    <w:rsid w:val="00034B8F"/>
    <w:rsid w:val="000627B5"/>
    <w:rsid w:val="00070957"/>
    <w:rsid w:val="00077074"/>
    <w:rsid w:val="000907CE"/>
    <w:rsid w:val="000C4CAC"/>
    <w:rsid w:val="000D3DFD"/>
    <w:rsid w:val="000D41F4"/>
    <w:rsid w:val="000F1D71"/>
    <w:rsid w:val="00115E7C"/>
    <w:rsid w:val="0015018E"/>
    <w:rsid w:val="001505A8"/>
    <w:rsid w:val="00157D1F"/>
    <w:rsid w:val="00166463"/>
    <w:rsid w:val="00176852"/>
    <w:rsid w:val="001A133B"/>
    <w:rsid w:val="00213313"/>
    <w:rsid w:val="00233C68"/>
    <w:rsid w:val="00243E97"/>
    <w:rsid w:val="0027732C"/>
    <w:rsid w:val="002815AB"/>
    <w:rsid w:val="00285A18"/>
    <w:rsid w:val="0029566A"/>
    <w:rsid w:val="002964EC"/>
    <w:rsid w:val="002A057F"/>
    <w:rsid w:val="002A49F5"/>
    <w:rsid w:val="002F1B40"/>
    <w:rsid w:val="002F6048"/>
    <w:rsid w:val="00340557"/>
    <w:rsid w:val="00350EB7"/>
    <w:rsid w:val="003A6798"/>
    <w:rsid w:val="003E4126"/>
    <w:rsid w:val="003F4960"/>
    <w:rsid w:val="00433A63"/>
    <w:rsid w:val="00484DC4"/>
    <w:rsid w:val="004C54B7"/>
    <w:rsid w:val="004C7A9D"/>
    <w:rsid w:val="004D2C52"/>
    <w:rsid w:val="004D4E7D"/>
    <w:rsid w:val="0051073A"/>
    <w:rsid w:val="00534AD0"/>
    <w:rsid w:val="0054657A"/>
    <w:rsid w:val="00547007"/>
    <w:rsid w:val="005779D9"/>
    <w:rsid w:val="005C4514"/>
    <w:rsid w:val="005E57E5"/>
    <w:rsid w:val="0064435D"/>
    <w:rsid w:val="00686543"/>
    <w:rsid w:val="00693DDF"/>
    <w:rsid w:val="006A609C"/>
    <w:rsid w:val="006D1667"/>
    <w:rsid w:val="0071078A"/>
    <w:rsid w:val="00716530"/>
    <w:rsid w:val="00716669"/>
    <w:rsid w:val="00745906"/>
    <w:rsid w:val="007538F6"/>
    <w:rsid w:val="00771FA8"/>
    <w:rsid w:val="00781E88"/>
    <w:rsid w:val="00781F8B"/>
    <w:rsid w:val="007A7D1F"/>
    <w:rsid w:val="007C0F9E"/>
    <w:rsid w:val="007D3711"/>
    <w:rsid w:val="007D7436"/>
    <w:rsid w:val="007F1658"/>
    <w:rsid w:val="0080148E"/>
    <w:rsid w:val="008061A0"/>
    <w:rsid w:val="00813EBF"/>
    <w:rsid w:val="00825658"/>
    <w:rsid w:val="00861DD5"/>
    <w:rsid w:val="00866244"/>
    <w:rsid w:val="008909EA"/>
    <w:rsid w:val="00897658"/>
    <w:rsid w:val="0095422E"/>
    <w:rsid w:val="009632DF"/>
    <w:rsid w:val="009C4813"/>
    <w:rsid w:val="009D3EEB"/>
    <w:rsid w:val="00A05EF4"/>
    <w:rsid w:val="00A11416"/>
    <w:rsid w:val="00A21B60"/>
    <w:rsid w:val="00A311B3"/>
    <w:rsid w:val="00A458DD"/>
    <w:rsid w:val="00A73267"/>
    <w:rsid w:val="00A753B5"/>
    <w:rsid w:val="00A86DD1"/>
    <w:rsid w:val="00A87723"/>
    <w:rsid w:val="00AF4047"/>
    <w:rsid w:val="00B37BB7"/>
    <w:rsid w:val="00B44FC5"/>
    <w:rsid w:val="00B61E64"/>
    <w:rsid w:val="00B775DE"/>
    <w:rsid w:val="00BA0F2F"/>
    <w:rsid w:val="00BC0771"/>
    <w:rsid w:val="00BC356A"/>
    <w:rsid w:val="00BF7C9C"/>
    <w:rsid w:val="00BF7E4A"/>
    <w:rsid w:val="00C124C4"/>
    <w:rsid w:val="00C246E9"/>
    <w:rsid w:val="00C4619D"/>
    <w:rsid w:val="00C4708B"/>
    <w:rsid w:val="00C5171D"/>
    <w:rsid w:val="00C86343"/>
    <w:rsid w:val="00C864F3"/>
    <w:rsid w:val="00CE79FB"/>
    <w:rsid w:val="00D00615"/>
    <w:rsid w:val="00D0081C"/>
    <w:rsid w:val="00D7273E"/>
    <w:rsid w:val="00D805BF"/>
    <w:rsid w:val="00DC7ED4"/>
    <w:rsid w:val="00DD5A7C"/>
    <w:rsid w:val="00DF1979"/>
    <w:rsid w:val="00E23A28"/>
    <w:rsid w:val="00E27A20"/>
    <w:rsid w:val="00E37C11"/>
    <w:rsid w:val="00E42452"/>
    <w:rsid w:val="00E52A71"/>
    <w:rsid w:val="00E57D3B"/>
    <w:rsid w:val="00E618E9"/>
    <w:rsid w:val="00E81F29"/>
    <w:rsid w:val="00E86BDE"/>
    <w:rsid w:val="00E9727C"/>
    <w:rsid w:val="00EA22D1"/>
    <w:rsid w:val="00EE6F6A"/>
    <w:rsid w:val="00EF1F3F"/>
    <w:rsid w:val="00EF2FB1"/>
    <w:rsid w:val="00EF4E2D"/>
    <w:rsid w:val="00F510A9"/>
    <w:rsid w:val="00F6796B"/>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ListParagraph">
    <w:name w:val="List Paragraph"/>
    <w:basedOn w:val="Normal"/>
    <w:uiPriority w:val="34"/>
    <w:qFormat/>
    <w:rsid w:val="00034B8F"/>
    <w:pPr>
      <w:ind w:left="720"/>
      <w:contextualSpacing/>
    </w:pPr>
  </w:style>
  <w:style w:type="paragraph" w:styleId="NoSpacing">
    <w:name w:val="No Spacing"/>
    <w:uiPriority w:val="1"/>
    <w:qFormat/>
    <w:rsid w:val="00176852"/>
    <w:pPr>
      <w:spacing w:after="0" w:line="240" w:lineRule="auto"/>
    </w:pPr>
    <w:rPr>
      <w:sz w:val="24"/>
    </w:rPr>
  </w:style>
  <w:style w:type="character" w:styleId="Strong">
    <w:name w:val="Strong"/>
    <w:basedOn w:val="DefaultParagraphFont"/>
    <w:uiPriority w:val="22"/>
    <w:qFormat/>
    <w:rsid w:val="00176852"/>
    <w:rPr>
      <w:b/>
      <w:bCs/>
    </w:rPr>
  </w:style>
  <w:style w:type="character" w:styleId="UnresolvedMention">
    <w:name w:val="Unresolved Mention"/>
    <w:basedOn w:val="DefaultParagraphFont"/>
    <w:uiPriority w:val="99"/>
    <w:semiHidden/>
    <w:unhideWhenUsed/>
    <w:rsid w:val="002F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ricksen@red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2.xml><?xml version="1.0" encoding="utf-8"?>
<ds:datastoreItem xmlns:ds="http://schemas.openxmlformats.org/officeDocument/2006/customXml" ds:itemID="{713DF960-B91E-42A4-BF44-EB0FF909A7FF}">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F6973D-9A30-4204-88C8-2F4C211D1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617</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ESE TA PY 24-25 Award List</vt:lpstr>
    </vt:vector>
  </TitlesOfParts>
  <Company>Employment Development Department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TA PY 24-25 Award List</dc:title>
  <dc:subject/>
  <dc:creator>KA</dc:creator>
  <cp:keywords>SFP, grant funding</cp:keywords>
  <dc:description/>
  <cp:lastModifiedBy>Richardson, Jeffrey@EDD</cp:lastModifiedBy>
  <cp:revision>13</cp:revision>
  <cp:lastPrinted>2017-06-15T19:41:00Z</cp:lastPrinted>
  <dcterms:created xsi:type="dcterms:W3CDTF">2025-04-02T21:31:00Z</dcterms:created>
  <dcterms:modified xsi:type="dcterms:W3CDTF">2025-05-09T16:39:00Z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GrammarlyDocumentId">
    <vt:lpwstr>a6218506766282e199ba9ab49b8ba66d9430aff5546b718b80c8548ea1a7ec68</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