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931E" w14:textId="77777777" w:rsidR="003A6798" w:rsidRPr="00457865" w:rsidRDefault="003A6798" w:rsidP="003A1359">
      <w:pPr>
        <w:rPr>
          <w:rFonts w:cstheme="minorHAnsi"/>
          <w:b/>
          <w:szCs w:val="24"/>
        </w:rPr>
      </w:pPr>
    </w:p>
    <w:p w14:paraId="34BD931F" w14:textId="77777777" w:rsidR="00C4619D" w:rsidRPr="00457865" w:rsidRDefault="00EB620C" w:rsidP="003A1359">
      <w:pPr>
        <w:pStyle w:val="Heading1"/>
        <w:rPr>
          <w:rFonts w:cstheme="minorHAnsi"/>
          <w:szCs w:val="24"/>
        </w:rPr>
      </w:pPr>
      <w:r w:rsidRPr="00457865">
        <w:rPr>
          <w:rFonts w:cstheme="minorHAnsi"/>
          <w:szCs w:val="24"/>
        </w:rPr>
        <w:t>Questions and Answers</w:t>
      </w:r>
    </w:p>
    <w:p w14:paraId="34BD9320" w14:textId="77777777" w:rsidR="00DF7D10" w:rsidRPr="00457865" w:rsidRDefault="00DF7D10" w:rsidP="003A1359">
      <w:pPr>
        <w:rPr>
          <w:rFonts w:cstheme="minorHAnsi"/>
          <w:b/>
          <w:color w:val="1F4E79" w:themeColor="accent1" w:themeShade="80"/>
          <w:szCs w:val="24"/>
        </w:rPr>
      </w:pPr>
    </w:p>
    <w:p w14:paraId="65668EB3" w14:textId="53B43C35" w:rsidR="006D0069" w:rsidRPr="00457865" w:rsidRDefault="006D0069" w:rsidP="00F24D65">
      <w:pPr>
        <w:pStyle w:val="Heading1"/>
        <w:rPr>
          <w:rFonts w:cstheme="minorHAnsi"/>
          <w:szCs w:val="24"/>
        </w:rPr>
      </w:pPr>
      <w:r w:rsidRPr="00457865">
        <w:rPr>
          <w:rFonts w:cstheme="minorHAnsi"/>
          <w:szCs w:val="24"/>
        </w:rPr>
        <w:t>1</w:t>
      </w:r>
      <w:r w:rsidR="005828C4" w:rsidRPr="00457865">
        <w:rPr>
          <w:rFonts w:cstheme="minorHAnsi"/>
          <w:szCs w:val="24"/>
        </w:rPr>
        <w:t xml:space="preserve">. </w:t>
      </w:r>
      <w:r w:rsidR="008A30B2" w:rsidRPr="00457865">
        <w:rPr>
          <w:rFonts w:cstheme="minorHAnsi"/>
          <w:szCs w:val="24"/>
        </w:rPr>
        <w:t>Can current FAP PY 23-24 recipients apply for PY 24-25 grant funds?</w:t>
      </w:r>
      <w:r w:rsidR="00DB1930" w:rsidRPr="00457865">
        <w:rPr>
          <w:rStyle w:val="Heading1Char"/>
          <w:rFonts w:cstheme="minorHAnsi"/>
          <w:b/>
          <w:szCs w:val="24"/>
        </w:rPr>
        <w:t xml:space="preserve"> </w:t>
      </w:r>
    </w:p>
    <w:p w14:paraId="2A7D462A" w14:textId="77777777" w:rsidR="006D0069" w:rsidRPr="00457865" w:rsidRDefault="006D0069" w:rsidP="003A1359">
      <w:pPr>
        <w:rPr>
          <w:rFonts w:cstheme="minorHAnsi"/>
          <w:szCs w:val="24"/>
        </w:rPr>
      </w:pPr>
    </w:p>
    <w:p w14:paraId="515304AD" w14:textId="42A3D31C" w:rsidR="005672DE" w:rsidRPr="00457865" w:rsidRDefault="008A30B2" w:rsidP="005672DE">
      <w:pPr>
        <w:rPr>
          <w:rFonts w:cstheme="minorHAnsi"/>
          <w:szCs w:val="24"/>
        </w:rPr>
      </w:pPr>
      <w:r w:rsidRPr="00457865">
        <w:rPr>
          <w:rFonts w:cstheme="minorHAnsi"/>
          <w:szCs w:val="24"/>
        </w:rPr>
        <w:t>FAP PY 23-24 grant recipients can apply for FAP PY 24-25 funds.</w:t>
      </w:r>
    </w:p>
    <w:p w14:paraId="5BB5466D" w14:textId="77777777" w:rsidR="00DB1930" w:rsidRPr="00457865" w:rsidRDefault="00DB1930" w:rsidP="005672DE">
      <w:pPr>
        <w:rPr>
          <w:rFonts w:cstheme="minorHAnsi"/>
          <w:szCs w:val="24"/>
        </w:rPr>
      </w:pPr>
    </w:p>
    <w:p w14:paraId="1CF4C2DC" w14:textId="32B2BF4C" w:rsidR="006D0069" w:rsidRPr="00457865" w:rsidRDefault="00B82125" w:rsidP="00B808CB">
      <w:pPr>
        <w:pStyle w:val="Heading1"/>
        <w:rPr>
          <w:rFonts w:cstheme="minorHAnsi"/>
          <w:szCs w:val="24"/>
        </w:rPr>
      </w:pPr>
      <w:r w:rsidRPr="00457865">
        <w:rPr>
          <w:rFonts w:cstheme="minorHAnsi"/>
          <w:szCs w:val="24"/>
        </w:rPr>
        <w:t>2.</w:t>
      </w:r>
      <w:r w:rsidR="006D0069" w:rsidRPr="00457865">
        <w:rPr>
          <w:rFonts w:cstheme="minorHAnsi"/>
          <w:szCs w:val="24"/>
        </w:rPr>
        <w:t xml:space="preserve"> </w:t>
      </w:r>
      <w:r w:rsidR="005036ED" w:rsidRPr="00457865">
        <w:rPr>
          <w:rFonts w:cstheme="minorHAnsi"/>
          <w:szCs w:val="24"/>
        </w:rPr>
        <w:t>If a FAP PY 23-24 recipient is funded in PY 24-25 as well, c</w:t>
      </w:r>
      <w:r w:rsidR="008A30B2" w:rsidRPr="00457865">
        <w:rPr>
          <w:rFonts w:cstheme="minorHAnsi"/>
          <w:szCs w:val="24"/>
        </w:rPr>
        <w:t xml:space="preserve">an </w:t>
      </w:r>
      <w:r w:rsidR="005036ED" w:rsidRPr="00457865">
        <w:rPr>
          <w:rFonts w:cstheme="minorHAnsi"/>
          <w:szCs w:val="24"/>
        </w:rPr>
        <w:t>they co-enroll participants?</w:t>
      </w:r>
    </w:p>
    <w:p w14:paraId="74E43C2C" w14:textId="56744C62" w:rsidR="006D0069" w:rsidRPr="00457865" w:rsidRDefault="006D0069" w:rsidP="003A1359">
      <w:pPr>
        <w:rPr>
          <w:rFonts w:cstheme="minorHAnsi"/>
          <w:szCs w:val="24"/>
        </w:rPr>
      </w:pPr>
    </w:p>
    <w:p w14:paraId="1E2E8715" w14:textId="4B1EF938" w:rsidR="001A419E" w:rsidRPr="00457865" w:rsidRDefault="007F6824" w:rsidP="003A1359">
      <w:pPr>
        <w:rPr>
          <w:rFonts w:cstheme="minorHAnsi"/>
          <w:szCs w:val="24"/>
        </w:rPr>
      </w:pPr>
      <w:r w:rsidRPr="00457865">
        <w:rPr>
          <w:rFonts w:cstheme="minorHAnsi"/>
          <w:szCs w:val="24"/>
        </w:rPr>
        <w:t xml:space="preserve">Applicants who were awarded PY 23-24 funding may re-apply for this PY 24-25 funding. However, the participants to be served through the PY 24-25 funding </w:t>
      </w:r>
      <w:r w:rsidR="00817B62" w:rsidRPr="00457865">
        <w:rPr>
          <w:rFonts w:cstheme="minorHAnsi"/>
          <w:szCs w:val="24"/>
        </w:rPr>
        <w:t>should serve new participants but if needed they can co-enroll participants.</w:t>
      </w:r>
    </w:p>
    <w:p w14:paraId="7DF14D78" w14:textId="77777777" w:rsidR="00DB1930" w:rsidRPr="00457865" w:rsidRDefault="00DB1930" w:rsidP="003A1359">
      <w:pPr>
        <w:rPr>
          <w:rFonts w:eastAsia="Times New Roman" w:cstheme="minorHAnsi"/>
          <w:color w:val="000000"/>
          <w:szCs w:val="24"/>
        </w:rPr>
      </w:pPr>
    </w:p>
    <w:p w14:paraId="6190A40C" w14:textId="5E3E0C16" w:rsidR="006D0069" w:rsidRPr="00457865" w:rsidRDefault="004B4D7D" w:rsidP="00B808CB">
      <w:pPr>
        <w:pStyle w:val="Heading1"/>
        <w:rPr>
          <w:rFonts w:cstheme="minorHAnsi"/>
          <w:szCs w:val="24"/>
        </w:rPr>
      </w:pPr>
      <w:r w:rsidRPr="00457865">
        <w:rPr>
          <w:rFonts w:cstheme="minorHAnsi"/>
          <w:szCs w:val="24"/>
        </w:rPr>
        <w:t>3.</w:t>
      </w:r>
      <w:r w:rsidR="002C59C1" w:rsidRPr="00457865">
        <w:rPr>
          <w:rFonts w:cstheme="minorHAnsi"/>
          <w:szCs w:val="24"/>
        </w:rPr>
        <w:t xml:space="preserve"> </w:t>
      </w:r>
      <w:r w:rsidR="005036ED" w:rsidRPr="00457865">
        <w:rPr>
          <w:rFonts w:cstheme="minorHAnsi"/>
          <w:szCs w:val="24"/>
        </w:rPr>
        <w:t>What other training modalities are there besides the</w:t>
      </w:r>
      <w:r w:rsidR="00FA3A89" w:rsidRPr="00457865">
        <w:rPr>
          <w:rFonts w:eastAsia="Times New Roman" w:cstheme="minorHAnsi"/>
          <w:color w:val="000000"/>
          <w:szCs w:val="24"/>
        </w:rPr>
        <w:t xml:space="preserve"> Integrated Education and Training</w:t>
      </w:r>
      <w:r w:rsidR="00FA3A89" w:rsidRPr="00457865">
        <w:rPr>
          <w:rFonts w:eastAsia="Times New Roman" w:cstheme="minorHAnsi"/>
          <w:color w:val="000000"/>
          <w:szCs w:val="24"/>
          <w:vertAlign w:val="superscript"/>
        </w:rPr>
        <w:footnoteReference w:id="1"/>
      </w:r>
      <w:r w:rsidR="00FA3A89" w:rsidRPr="00457865">
        <w:rPr>
          <w:rFonts w:eastAsia="Times New Roman" w:cstheme="minorHAnsi"/>
          <w:color w:val="000000"/>
          <w:szCs w:val="24"/>
        </w:rPr>
        <w:t xml:space="preserve"> (IET)</w:t>
      </w:r>
      <w:r w:rsidR="005036ED" w:rsidRPr="00457865">
        <w:rPr>
          <w:rFonts w:cstheme="minorHAnsi"/>
          <w:szCs w:val="24"/>
        </w:rPr>
        <w:t xml:space="preserve">? </w:t>
      </w:r>
      <w:r w:rsidR="006B251C" w:rsidRPr="00457865">
        <w:rPr>
          <w:rFonts w:cstheme="minorHAnsi"/>
          <w:szCs w:val="24"/>
        </w:rPr>
        <w:t xml:space="preserve"> </w:t>
      </w:r>
    </w:p>
    <w:p w14:paraId="3818C26E" w14:textId="77777777" w:rsidR="00B82125" w:rsidRPr="00457865" w:rsidRDefault="00B82125" w:rsidP="003A1359">
      <w:pPr>
        <w:rPr>
          <w:rFonts w:cstheme="minorHAnsi"/>
          <w:szCs w:val="24"/>
        </w:rPr>
      </w:pPr>
    </w:p>
    <w:p w14:paraId="6A07562E" w14:textId="59E449B2" w:rsidR="009377AA" w:rsidRPr="00457865" w:rsidRDefault="009377AA" w:rsidP="009377AA">
      <w:pPr>
        <w:rPr>
          <w:rFonts w:cstheme="minorHAnsi"/>
          <w:szCs w:val="24"/>
        </w:rPr>
      </w:pPr>
      <w:r w:rsidRPr="00457865">
        <w:rPr>
          <w:rFonts w:cstheme="minorHAnsi"/>
          <w:szCs w:val="24"/>
        </w:rPr>
        <w:t xml:space="preserve">Training must be allowable under the WIOA Title I Adult program. </w:t>
      </w:r>
      <w:r w:rsidR="0065257F" w:rsidRPr="00457865">
        <w:rPr>
          <w:rFonts w:cstheme="minorHAnsi"/>
          <w:szCs w:val="24"/>
        </w:rPr>
        <w:t>Refer to pages 8-9 of the SFP for a list of activities that are funded for Track 1 &amp; 2 of the grant.</w:t>
      </w:r>
    </w:p>
    <w:p w14:paraId="368219C6" w14:textId="77777777" w:rsidR="009377AA" w:rsidRPr="00457865" w:rsidRDefault="009377AA" w:rsidP="009377AA">
      <w:pPr>
        <w:rPr>
          <w:rFonts w:cstheme="minorHAnsi"/>
          <w:szCs w:val="24"/>
        </w:rPr>
      </w:pPr>
    </w:p>
    <w:p w14:paraId="0CB343A1" w14:textId="72B453AE" w:rsidR="00FA3A89" w:rsidRPr="00457865" w:rsidRDefault="00704B8C" w:rsidP="00FA3A89">
      <w:pPr>
        <w:rPr>
          <w:rFonts w:cstheme="minorHAnsi"/>
          <w:szCs w:val="24"/>
        </w:rPr>
      </w:pPr>
      <w:bookmarkStart w:id="0" w:name="_Hlk183156818"/>
      <w:r w:rsidRPr="00457865">
        <w:rPr>
          <w:rFonts w:cstheme="minorHAnsi"/>
          <w:szCs w:val="24"/>
        </w:rPr>
        <w:t>Refer to</w:t>
      </w:r>
      <w:r w:rsidR="00FA3A89" w:rsidRPr="00457865">
        <w:rPr>
          <w:rFonts w:cstheme="minorHAnsi"/>
          <w:szCs w:val="24"/>
        </w:rPr>
        <w:t xml:space="preserve"> Workforce</w:t>
      </w:r>
      <w:r w:rsidR="00FA3A89" w:rsidRPr="00457865">
        <w:rPr>
          <w:rFonts w:cstheme="minorHAnsi"/>
          <w:spacing w:val="-5"/>
          <w:szCs w:val="24"/>
        </w:rPr>
        <w:t xml:space="preserve"> </w:t>
      </w:r>
      <w:r w:rsidR="00FA3A89" w:rsidRPr="00457865">
        <w:rPr>
          <w:rFonts w:cstheme="minorHAnsi"/>
          <w:szCs w:val="24"/>
        </w:rPr>
        <w:t>Services</w:t>
      </w:r>
      <w:r w:rsidR="00FA3A89" w:rsidRPr="00457865">
        <w:rPr>
          <w:rFonts w:cstheme="minorHAnsi"/>
          <w:spacing w:val="-3"/>
          <w:szCs w:val="24"/>
        </w:rPr>
        <w:t xml:space="preserve"> </w:t>
      </w:r>
      <w:r w:rsidR="00FA3A89" w:rsidRPr="00457865">
        <w:rPr>
          <w:rFonts w:cstheme="minorHAnsi"/>
          <w:szCs w:val="24"/>
        </w:rPr>
        <w:t>Information</w:t>
      </w:r>
      <w:r w:rsidR="00FA3A89" w:rsidRPr="00457865">
        <w:rPr>
          <w:rFonts w:cstheme="minorHAnsi"/>
          <w:spacing w:val="-4"/>
          <w:szCs w:val="24"/>
        </w:rPr>
        <w:t xml:space="preserve"> </w:t>
      </w:r>
      <w:r w:rsidR="00FA3A89" w:rsidRPr="00457865">
        <w:rPr>
          <w:rFonts w:cstheme="minorHAnsi"/>
          <w:szCs w:val="24"/>
        </w:rPr>
        <w:t>Notice</w:t>
      </w:r>
      <w:r w:rsidR="00FA3A89" w:rsidRPr="00457865">
        <w:rPr>
          <w:rFonts w:cstheme="minorHAnsi"/>
          <w:spacing w:val="-2"/>
          <w:szCs w:val="24"/>
        </w:rPr>
        <w:t xml:space="preserve"> </w:t>
      </w:r>
      <w:r w:rsidR="00FA3A89" w:rsidRPr="00457865">
        <w:rPr>
          <w:rFonts w:cstheme="minorHAnsi"/>
          <w:i/>
          <w:szCs w:val="24"/>
        </w:rPr>
        <w:t>CalJOBS</w:t>
      </w:r>
      <w:r w:rsidR="00FA3A89" w:rsidRPr="00457865">
        <w:rPr>
          <w:rFonts w:cstheme="minorHAnsi"/>
          <w:i/>
          <w:spacing w:val="-19"/>
          <w:szCs w:val="24"/>
        </w:rPr>
        <w:t xml:space="preserve"> </w:t>
      </w:r>
      <w:r w:rsidR="00FA3A89" w:rsidRPr="00457865">
        <w:rPr>
          <w:rFonts w:cstheme="minorHAnsi"/>
          <w:i/>
          <w:szCs w:val="24"/>
        </w:rPr>
        <w:t>Activity</w:t>
      </w:r>
      <w:r w:rsidR="00FA3A89" w:rsidRPr="00457865">
        <w:rPr>
          <w:rFonts w:cstheme="minorHAnsi"/>
          <w:i/>
          <w:spacing w:val="-4"/>
          <w:szCs w:val="24"/>
        </w:rPr>
        <w:t xml:space="preserve"> </w:t>
      </w:r>
      <w:r w:rsidR="00FA3A89" w:rsidRPr="00457865">
        <w:rPr>
          <w:rFonts w:cstheme="minorHAnsi"/>
          <w:i/>
          <w:spacing w:val="-2"/>
          <w:szCs w:val="24"/>
        </w:rPr>
        <w:t>Codes</w:t>
      </w:r>
      <w:r w:rsidRPr="00457865">
        <w:rPr>
          <w:rFonts w:cstheme="minorHAnsi"/>
          <w:i/>
          <w:spacing w:val="-2"/>
          <w:szCs w:val="24"/>
        </w:rPr>
        <w:t xml:space="preserve"> </w:t>
      </w:r>
      <w:r w:rsidRPr="00457865">
        <w:rPr>
          <w:rFonts w:cstheme="minorHAnsi"/>
          <w:spacing w:val="-2"/>
          <w:szCs w:val="24"/>
        </w:rPr>
        <w:t>(</w:t>
      </w:r>
      <w:hyperlink r:id="rId11">
        <w:r w:rsidRPr="00457865">
          <w:rPr>
            <w:rFonts w:cstheme="minorHAnsi"/>
            <w:color w:val="0000FF"/>
            <w:szCs w:val="24"/>
            <w:u w:color="0000FF"/>
          </w:rPr>
          <w:t>WSD19-06</w:t>
        </w:r>
      </w:hyperlink>
      <w:r w:rsidRPr="00457865">
        <w:rPr>
          <w:rFonts w:cstheme="minorHAnsi"/>
          <w:spacing w:val="-2"/>
          <w:szCs w:val="24"/>
        </w:rPr>
        <w:t xml:space="preserve">) issued on </w:t>
      </w:r>
      <w:r w:rsidR="00FA3A89" w:rsidRPr="00457865">
        <w:rPr>
          <w:rFonts w:cstheme="minorHAnsi"/>
          <w:szCs w:val="24"/>
        </w:rPr>
        <w:t>December 27,</w:t>
      </w:r>
      <w:r w:rsidR="00FA3A89" w:rsidRPr="00457865">
        <w:rPr>
          <w:rFonts w:cstheme="minorHAnsi"/>
          <w:spacing w:val="-3"/>
          <w:szCs w:val="24"/>
        </w:rPr>
        <w:t xml:space="preserve"> </w:t>
      </w:r>
      <w:r w:rsidR="00FA3A89" w:rsidRPr="00457865">
        <w:rPr>
          <w:rFonts w:cstheme="minorHAnsi"/>
          <w:spacing w:val="-2"/>
          <w:szCs w:val="24"/>
        </w:rPr>
        <w:t>2019</w:t>
      </w:r>
      <w:r w:rsidRPr="00457865">
        <w:rPr>
          <w:rFonts w:cstheme="minorHAnsi"/>
          <w:spacing w:val="-2"/>
          <w:szCs w:val="24"/>
        </w:rPr>
        <w:t xml:space="preserve">, </w:t>
      </w:r>
      <w:r w:rsidR="00FA3A89" w:rsidRPr="00457865">
        <w:rPr>
          <w:rFonts w:cstheme="minorHAnsi"/>
          <w:spacing w:val="-2"/>
          <w:szCs w:val="24"/>
        </w:rPr>
        <w:t xml:space="preserve"> </w:t>
      </w:r>
      <w:r w:rsidRPr="00457865">
        <w:rPr>
          <w:rFonts w:cstheme="minorHAnsi"/>
          <w:spacing w:val="-2"/>
          <w:szCs w:val="24"/>
        </w:rPr>
        <w:t>f</w:t>
      </w:r>
      <w:r w:rsidRPr="00457865">
        <w:rPr>
          <w:rFonts w:cstheme="minorHAnsi"/>
          <w:szCs w:val="24"/>
        </w:rPr>
        <w:t>or the Title</w:t>
      </w:r>
      <w:r w:rsidRPr="00457865">
        <w:rPr>
          <w:rFonts w:cstheme="minorHAnsi"/>
          <w:spacing w:val="-5"/>
          <w:szCs w:val="24"/>
        </w:rPr>
        <w:t xml:space="preserve"> </w:t>
      </w:r>
      <w:r w:rsidRPr="00457865">
        <w:rPr>
          <w:rFonts w:cstheme="minorHAnsi"/>
          <w:szCs w:val="24"/>
        </w:rPr>
        <w:t>I</w:t>
      </w:r>
      <w:r w:rsidRPr="00457865">
        <w:rPr>
          <w:rFonts w:cstheme="minorHAnsi"/>
          <w:spacing w:val="-3"/>
          <w:szCs w:val="24"/>
        </w:rPr>
        <w:t xml:space="preserve"> </w:t>
      </w:r>
      <w:r w:rsidRPr="00457865">
        <w:rPr>
          <w:rFonts w:cstheme="minorHAnsi"/>
          <w:szCs w:val="24"/>
        </w:rPr>
        <w:t>and</w:t>
      </w:r>
      <w:r w:rsidRPr="00457865">
        <w:rPr>
          <w:rFonts w:cstheme="minorHAnsi"/>
          <w:spacing w:val="-1"/>
          <w:szCs w:val="24"/>
        </w:rPr>
        <w:t xml:space="preserve"> </w:t>
      </w:r>
      <w:r w:rsidRPr="00457865">
        <w:rPr>
          <w:rFonts w:cstheme="minorHAnsi"/>
          <w:szCs w:val="24"/>
        </w:rPr>
        <w:t>III</w:t>
      </w:r>
      <w:r w:rsidRPr="00457865">
        <w:rPr>
          <w:rFonts w:cstheme="minorHAnsi"/>
          <w:spacing w:val="-3"/>
          <w:szCs w:val="24"/>
        </w:rPr>
        <w:t xml:space="preserve"> </w:t>
      </w:r>
      <w:r w:rsidRPr="00457865">
        <w:rPr>
          <w:rFonts w:cstheme="minorHAnsi"/>
          <w:szCs w:val="24"/>
        </w:rPr>
        <w:t>service</w:t>
      </w:r>
      <w:r w:rsidRPr="00457865">
        <w:rPr>
          <w:rFonts w:cstheme="minorHAnsi"/>
          <w:spacing w:val="-4"/>
          <w:szCs w:val="24"/>
        </w:rPr>
        <w:t xml:space="preserve"> </w:t>
      </w:r>
      <w:r w:rsidRPr="00457865">
        <w:rPr>
          <w:rFonts w:cstheme="minorHAnsi"/>
          <w:szCs w:val="24"/>
        </w:rPr>
        <w:t>category</w:t>
      </w:r>
      <w:r w:rsidRPr="00457865">
        <w:rPr>
          <w:rFonts w:cstheme="minorHAnsi"/>
          <w:spacing w:val="-3"/>
          <w:szCs w:val="24"/>
        </w:rPr>
        <w:t xml:space="preserve"> </w:t>
      </w:r>
      <w:r w:rsidRPr="00457865">
        <w:rPr>
          <w:rFonts w:cstheme="minorHAnsi"/>
          <w:szCs w:val="24"/>
        </w:rPr>
        <w:t>definitions</w:t>
      </w:r>
      <w:r w:rsidRPr="00457865">
        <w:rPr>
          <w:rFonts w:cstheme="minorHAnsi"/>
          <w:spacing w:val="-3"/>
          <w:szCs w:val="24"/>
        </w:rPr>
        <w:t xml:space="preserve"> and </w:t>
      </w:r>
      <w:r w:rsidRPr="00457865">
        <w:rPr>
          <w:rFonts w:cstheme="minorHAnsi"/>
          <w:szCs w:val="24"/>
        </w:rPr>
        <w:t>a</w:t>
      </w:r>
      <w:r w:rsidRPr="00457865">
        <w:rPr>
          <w:rFonts w:cstheme="minorHAnsi"/>
          <w:spacing w:val="-2"/>
          <w:szCs w:val="24"/>
        </w:rPr>
        <w:t xml:space="preserve"> comp</w:t>
      </w:r>
      <w:r w:rsidRPr="00457865">
        <w:rPr>
          <w:rFonts w:cstheme="minorHAnsi"/>
          <w:szCs w:val="24"/>
        </w:rPr>
        <w:t>rehensive list of CalJOBS</w:t>
      </w:r>
      <w:r w:rsidRPr="00457865">
        <w:rPr>
          <w:rFonts w:cstheme="minorHAnsi"/>
          <w:szCs w:val="24"/>
          <w:vertAlign w:val="superscript"/>
        </w:rPr>
        <w:t>SM</w:t>
      </w:r>
      <w:r w:rsidRPr="00457865">
        <w:rPr>
          <w:rFonts w:cstheme="minorHAnsi"/>
          <w:szCs w:val="24"/>
        </w:rPr>
        <w:t xml:space="preserve"> activity codes.</w:t>
      </w:r>
    </w:p>
    <w:bookmarkEnd w:id="0"/>
    <w:p w14:paraId="56783B0D" w14:textId="54363886" w:rsidR="00A35FD6" w:rsidRPr="00457865" w:rsidRDefault="00A35FD6" w:rsidP="00B82125">
      <w:pPr>
        <w:rPr>
          <w:rFonts w:cstheme="minorHAnsi"/>
          <w:szCs w:val="24"/>
        </w:rPr>
      </w:pPr>
    </w:p>
    <w:p w14:paraId="02526C7F" w14:textId="25EC2701" w:rsidR="009D749D" w:rsidRPr="00457865" w:rsidRDefault="00A35FD6" w:rsidP="009377AA">
      <w:pPr>
        <w:pStyle w:val="Heading1"/>
        <w:rPr>
          <w:rFonts w:cstheme="minorHAnsi"/>
          <w:szCs w:val="24"/>
        </w:rPr>
      </w:pPr>
      <w:r w:rsidRPr="00457865">
        <w:rPr>
          <w:rFonts w:cstheme="minorHAnsi"/>
          <w:szCs w:val="24"/>
        </w:rPr>
        <w:t xml:space="preserve">4. </w:t>
      </w:r>
      <w:r w:rsidR="0065257F" w:rsidRPr="00457865">
        <w:rPr>
          <w:rFonts w:cstheme="minorHAnsi"/>
          <w:szCs w:val="24"/>
        </w:rPr>
        <w:t xml:space="preserve">Will </w:t>
      </w:r>
      <w:r w:rsidR="00631434">
        <w:rPr>
          <w:rFonts w:cstheme="minorHAnsi"/>
          <w:szCs w:val="24"/>
        </w:rPr>
        <w:t xml:space="preserve">the </w:t>
      </w:r>
      <w:r w:rsidR="0065257F" w:rsidRPr="00457865">
        <w:rPr>
          <w:rFonts w:cstheme="minorHAnsi"/>
          <w:szCs w:val="24"/>
        </w:rPr>
        <w:t>grantee be expected to scr</w:t>
      </w:r>
      <w:r w:rsidR="00C430C8" w:rsidRPr="00457865">
        <w:rPr>
          <w:rFonts w:cstheme="minorHAnsi"/>
          <w:szCs w:val="24"/>
        </w:rPr>
        <w:t>een participants for their residency status</w:t>
      </w:r>
      <w:r w:rsidR="0065257F" w:rsidRPr="00457865">
        <w:rPr>
          <w:rFonts w:cstheme="minorHAnsi"/>
          <w:szCs w:val="24"/>
        </w:rPr>
        <w:t xml:space="preserve"> </w:t>
      </w:r>
      <w:r w:rsidR="00C430C8" w:rsidRPr="00457865">
        <w:rPr>
          <w:rFonts w:cstheme="minorHAnsi"/>
          <w:szCs w:val="24"/>
        </w:rPr>
        <w:t>as part of the implementation of this grant?</w:t>
      </w:r>
    </w:p>
    <w:p w14:paraId="2AA2C7B6" w14:textId="77777777" w:rsidR="003E746B" w:rsidRPr="00457865" w:rsidRDefault="003E746B" w:rsidP="00F24D65">
      <w:pPr>
        <w:rPr>
          <w:rFonts w:cstheme="minorHAnsi"/>
          <w:szCs w:val="24"/>
        </w:rPr>
      </w:pPr>
    </w:p>
    <w:p w14:paraId="04D28529" w14:textId="37940F14" w:rsidR="00574CC7" w:rsidRPr="00457865" w:rsidRDefault="00B1761A" w:rsidP="00FA3A89">
      <w:pPr>
        <w:rPr>
          <w:rFonts w:cstheme="minorHAnsi"/>
          <w:szCs w:val="24"/>
        </w:rPr>
      </w:pPr>
      <w:r w:rsidRPr="00457865">
        <w:rPr>
          <w:rFonts w:eastAsia="Arial" w:cstheme="minorHAnsi"/>
          <w:color w:val="000000" w:themeColor="text1"/>
          <w:szCs w:val="24"/>
          <w:lang w:val="en"/>
        </w:rPr>
        <w:t xml:space="preserve">The SFP indicates on p. 10 that potential participants in the funded project must meet WIOA Title I Adult eligibility requirements. </w:t>
      </w:r>
      <w:bookmarkStart w:id="1" w:name="_Hlk178934406"/>
      <w:r w:rsidR="00631434">
        <w:rPr>
          <w:rFonts w:eastAsia="Arial" w:cstheme="minorHAnsi"/>
          <w:color w:val="000000" w:themeColor="text1"/>
          <w:szCs w:val="24"/>
          <w:lang w:val="en"/>
        </w:rPr>
        <w:t>O</w:t>
      </w:r>
      <w:r w:rsidR="00574CC7" w:rsidRPr="00457865">
        <w:rPr>
          <w:rFonts w:cstheme="minorHAnsi"/>
          <w:szCs w:val="24"/>
        </w:rPr>
        <w:t>n p. 11 of the SFP</w:t>
      </w:r>
      <w:r w:rsidR="00631434">
        <w:rPr>
          <w:rFonts w:cstheme="minorHAnsi"/>
          <w:szCs w:val="24"/>
        </w:rPr>
        <w:t>,</w:t>
      </w:r>
      <w:r w:rsidR="00574CC7" w:rsidRPr="00457865">
        <w:rPr>
          <w:rFonts w:cstheme="minorHAnsi"/>
          <w:szCs w:val="24"/>
        </w:rPr>
        <w:t xml:space="preserve"> it also states that funded agencies can provide “referrals for farmworkers without work authorization to supportive services and other programs.</w:t>
      </w:r>
    </w:p>
    <w:p w14:paraId="5D0B99EE" w14:textId="3E803789" w:rsidR="00FA3A89" w:rsidRPr="00457865" w:rsidRDefault="00FA3A89" w:rsidP="00FA3A89">
      <w:pPr>
        <w:rPr>
          <w:rFonts w:cstheme="minorHAnsi"/>
          <w:szCs w:val="24"/>
        </w:rPr>
      </w:pPr>
      <w:r w:rsidRPr="00457865">
        <w:rPr>
          <w:rFonts w:cstheme="minorHAnsi"/>
          <w:szCs w:val="24"/>
        </w:rPr>
        <w:t xml:space="preserve">Refer to Workforce Services Directive </w:t>
      </w:r>
      <w:r w:rsidRPr="00457865">
        <w:rPr>
          <w:rFonts w:cstheme="minorHAnsi"/>
          <w:i/>
          <w:iCs/>
          <w:szCs w:val="24"/>
        </w:rPr>
        <w:t>Pathway to Services, Referral, and Enrollment</w:t>
      </w:r>
      <w:r w:rsidRPr="00457865">
        <w:rPr>
          <w:rFonts w:cstheme="minorHAnsi"/>
          <w:szCs w:val="24"/>
        </w:rPr>
        <w:t xml:space="preserve"> (</w:t>
      </w:r>
      <w:hyperlink r:id="rId12" w:history="1">
        <w:r w:rsidRPr="00457865">
          <w:rPr>
            <w:rStyle w:val="Hyperlink"/>
            <w:rFonts w:cstheme="minorHAnsi"/>
            <w:color w:val="0000FF"/>
            <w:szCs w:val="24"/>
            <w:u w:val="none"/>
          </w:rPr>
          <w:t>WSD18-03</w:t>
        </w:r>
      </w:hyperlink>
      <w:r w:rsidRPr="00457865">
        <w:rPr>
          <w:rFonts w:cstheme="minorHAnsi"/>
          <w:szCs w:val="24"/>
        </w:rPr>
        <w:t xml:space="preserve">), </w:t>
      </w:r>
      <w:r w:rsidR="00574CC7" w:rsidRPr="00457865">
        <w:rPr>
          <w:rFonts w:cstheme="minorHAnsi"/>
          <w:szCs w:val="24"/>
        </w:rPr>
        <w:t>revised</w:t>
      </w:r>
      <w:r w:rsidRPr="00457865">
        <w:rPr>
          <w:rFonts w:cstheme="minorHAnsi"/>
          <w:szCs w:val="24"/>
        </w:rPr>
        <w:t xml:space="preserve"> on </w:t>
      </w:r>
      <w:r w:rsidR="00574CC7" w:rsidRPr="00457865">
        <w:rPr>
          <w:rFonts w:cstheme="minorHAnsi"/>
          <w:szCs w:val="24"/>
        </w:rPr>
        <w:t>September 3, 2024</w:t>
      </w:r>
      <w:r w:rsidRPr="00457865">
        <w:rPr>
          <w:rFonts w:cstheme="minorHAnsi"/>
          <w:szCs w:val="24"/>
        </w:rPr>
        <w:t>, for guidance on making services accessible to all populations.</w:t>
      </w:r>
    </w:p>
    <w:bookmarkEnd w:id="1"/>
    <w:p w14:paraId="25FDFD82" w14:textId="77777777" w:rsidR="00F00A7E" w:rsidRPr="00457865" w:rsidRDefault="00F00A7E" w:rsidP="00FA3A89">
      <w:pPr>
        <w:rPr>
          <w:rFonts w:cstheme="minorHAnsi"/>
          <w:szCs w:val="24"/>
        </w:rPr>
      </w:pPr>
    </w:p>
    <w:p w14:paraId="190FD850" w14:textId="4AB6A7C6" w:rsidR="00047FEB" w:rsidRPr="00457865" w:rsidRDefault="00047FEB" w:rsidP="00FA3A89">
      <w:pPr>
        <w:rPr>
          <w:rFonts w:cstheme="minorHAnsi"/>
          <w:b/>
          <w:bCs/>
          <w:szCs w:val="24"/>
        </w:rPr>
      </w:pPr>
      <w:r w:rsidRPr="00457865">
        <w:rPr>
          <w:rFonts w:cstheme="minorHAnsi"/>
          <w:b/>
          <w:bCs/>
          <w:szCs w:val="24"/>
        </w:rPr>
        <w:t xml:space="preserve">5. Can you provide guidance for line spacing for </w:t>
      </w:r>
      <w:r w:rsidR="00574CC7" w:rsidRPr="00457865">
        <w:rPr>
          <w:rFonts w:cstheme="minorHAnsi"/>
          <w:b/>
          <w:bCs/>
          <w:szCs w:val="24"/>
        </w:rPr>
        <w:t>Exhibit A: Project N</w:t>
      </w:r>
      <w:r w:rsidRPr="00457865">
        <w:rPr>
          <w:rFonts w:cstheme="minorHAnsi"/>
          <w:b/>
          <w:bCs/>
          <w:szCs w:val="24"/>
        </w:rPr>
        <w:t>arrative in the SFP, single-spaced or double-spaced, which is it?</w:t>
      </w:r>
    </w:p>
    <w:p w14:paraId="52AC4595" w14:textId="77777777" w:rsidR="00B1761A" w:rsidRPr="00457865" w:rsidRDefault="00B1761A" w:rsidP="00FA3A89">
      <w:pPr>
        <w:rPr>
          <w:rFonts w:cstheme="minorHAnsi"/>
          <w:b/>
          <w:bCs/>
          <w:szCs w:val="24"/>
        </w:rPr>
      </w:pPr>
    </w:p>
    <w:p w14:paraId="2FE15CAA" w14:textId="410B6A0D" w:rsidR="00047FEB" w:rsidRPr="00457865" w:rsidRDefault="00047FEB" w:rsidP="00FA3A89">
      <w:pPr>
        <w:rPr>
          <w:rFonts w:cstheme="minorHAnsi"/>
          <w:szCs w:val="24"/>
        </w:rPr>
      </w:pPr>
      <w:r w:rsidRPr="00457865">
        <w:rPr>
          <w:rFonts w:cstheme="minorHAnsi"/>
          <w:szCs w:val="24"/>
        </w:rPr>
        <w:t>Single-spaced is recommended</w:t>
      </w:r>
      <w:r w:rsidR="004C1F85" w:rsidRPr="00457865">
        <w:rPr>
          <w:rFonts w:cstheme="minorHAnsi"/>
          <w:szCs w:val="24"/>
        </w:rPr>
        <w:t xml:space="preserve"> because of the 10-page limit</w:t>
      </w:r>
      <w:r w:rsidRPr="00457865">
        <w:rPr>
          <w:rFonts w:cstheme="minorHAnsi"/>
          <w:szCs w:val="24"/>
        </w:rPr>
        <w:t>.</w:t>
      </w:r>
    </w:p>
    <w:p w14:paraId="71DDAC10" w14:textId="77777777" w:rsidR="00047FEB" w:rsidRPr="00457865" w:rsidRDefault="00047FEB" w:rsidP="00FA3A89">
      <w:pPr>
        <w:rPr>
          <w:rFonts w:cstheme="minorHAnsi"/>
          <w:szCs w:val="24"/>
        </w:rPr>
      </w:pPr>
    </w:p>
    <w:p w14:paraId="17EC1201" w14:textId="6853B61C" w:rsidR="00047FEB" w:rsidRPr="00457865" w:rsidRDefault="00047FEB" w:rsidP="00602392">
      <w:pPr>
        <w:pStyle w:val="Heading1"/>
        <w:rPr>
          <w:rFonts w:cstheme="minorHAnsi"/>
          <w:szCs w:val="24"/>
        </w:rPr>
      </w:pPr>
      <w:r w:rsidRPr="00457865">
        <w:rPr>
          <w:rFonts w:cstheme="minorHAnsi"/>
          <w:szCs w:val="24"/>
        </w:rPr>
        <w:t xml:space="preserve">6. </w:t>
      </w:r>
      <w:r w:rsidR="00602392" w:rsidRPr="00457865">
        <w:rPr>
          <w:rFonts w:cstheme="minorHAnsi"/>
          <w:szCs w:val="24"/>
        </w:rPr>
        <w:t>In the SFP, on p. 33, under section 3.4, it says "Describe how the strategies identified above will result in inequitable access to services". Shouldn't that be "equitable access"?</w:t>
      </w:r>
    </w:p>
    <w:p w14:paraId="79C81F21" w14:textId="77777777" w:rsidR="00602392" w:rsidRPr="00457865" w:rsidRDefault="00602392" w:rsidP="00602392">
      <w:pPr>
        <w:rPr>
          <w:rFonts w:cstheme="minorHAnsi"/>
          <w:szCs w:val="24"/>
        </w:rPr>
      </w:pPr>
    </w:p>
    <w:p w14:paraId="1688C192" w14:textId="6F4336F2" w:rsidR="00602392" w:rsidRPr="00457865" w:rsidRDefault="00817B62" w:rsidP="00602392">
      <w:pPr>
        <w:rPr>
          <w:rFonts w:cstheme="minorHAnsi"/>
          <w:szCs w:val="24"/>
        </w:rPr>
      </w:pPr>
      <w:r w:rsidRPr="00457865">
        <w:rPr>
          <w:rFonts w:cstheme="minorHAnsi"/>
          <w:szCs w:val="24"/>
        </w:rPr>
        <w:t xml:space="preserve">Yes, this is a typo in the SFP, </w:t>
      </w:r>
      <w:r w:rsidR="00602392" w:rsidRPr="00457865">
        <w:rPr>
          <w:rFonts w:cstheme="minorHAnsi"/>
          <w:szCs w:val="24"/>
        </w:rPr>
        <w:t xml:space="preserve">it should </w:t>
      </w:r>
      <w:r w:rsidRPr="00457865">
        <w:rPr>
          <w:rFonts w:cstheme="minorHAnsi"/>
          <w:szCs w:val="24"/>
        </w:rPr>
        <w:t>read</w:t>
      </w:r>
      <w:r w:rsidR="00602392" w:rsidRPr="00457865">
        <w:rPr>
          <w:rFonts w:cstheme="minorHAnsi"/>
          <w:szCs w:val="24"/>
        </w:rPr>
        <w:t xml:space="preserve"> “equitable access</w:t>
      </w:r>
      <w:r w:rsidR="00631434">
        <w:rPr>
          <w:rFonts w:cstheme="minorHAnsi"/>
          <w:szCs w:val="24"/>
        </w:rPr>
        <w:t>.</w:t>
      </w:r>
      <w:r w:rsidR="00602392" w:rsidRPr="00457865">
        <w:rPr>
          <w:rFonts w:cstheme="minorHAnsi"/>
          <w:szCs w:val="24"/>
        </w:rPr>
        <w:t>”</w:t>
      </w:r>
    </w:p>
    <w:p w14:paraId="70C8D3EE" w14:textId="77777777" w:rsidR="00602392" w:rsidRPr="00457865" w:rsidRDefault="00602392" w:rsidP="00602392">
      <w:pPr>
        <w:rPr>
          <w:rFonts w:cstheme="minorHAnsi"/>
          <w:szCs w:val="24"/>
        </w:rPr>
      </w:pPr>
    </w:p>
    <w:p w14:paraId="6FB513BB" w14:textId="667DEF56" w:rsidR="00602392" w:rsidRPr="00457865" w:rsidRDefault="004C1F85" w:rsidP="00602392">
      <w:pPr>
        <w:pStyle w:val="Heading1"/>
        <w:rPr>
          <w:rFonts w:cstheme="minorHAnsi"/>
          <w:szCs w:val="24"/>
        </w:rPr>
      </w:pPr>
      <w:r w:rsidRPr="00457865">
        <w:rPr>
          <w:rFonts w:cstheme="minorHAnsi"/>
          <w:szCs w:val="24"/>
        </w:rPr>
        <w:t>7</w:t>
      </w:r>
      <w:r w:rsidR="00602392" w:rsidRPr="00457865">
        <w:rPr>
          <w:rFonts w:cstheme="minorHAnsi"/>
          <w:szCs w:val="24"/>
        </w:rPr>
        <w:t xml:space="preserve">. Do families of </w:t>
      </w:r>
      <w:r w:rsidR="00817B62" w:rsidRPr="00457865">
        <w:rPr>
          <w:rFonts w:cstheme="minorHAnsi"/>
          <w:szCs w:val="24"/>
        </w:rPr>
        <w:t>migrant and seasonal farmworkers (</w:t>
      </w:r>
      <w:r w:rsidR="00602392" w:rsidRPr="00457865">
        <w:rPr>
          <w:rFonts w:cstheme="minorHAnsi"/>
          <w:szCs w:val="24"/>
        </w:rPr>
        <w:t>MSFW</w:t>
      </w:r>
      <w:r w:rsidR="00817B62" w:rsidRPr="00457865">
        <w:rPr>
          <w:rFonts w:cstheme="minorHAnsi"/>
          <w:szCs w:val="24"/>
        </w:rPr>
        <w:t>)</w:t>
      </w:r>
      <w:r w:rsidR="00602392" w:rsidRPr="00457865">
        <w:rPr>
          <w:rFonts w:cstheme="minorHAnsi"/>
          <w:szCs w:val="24"/>
        </w:rPr>
        <w:t xml:space="preserve"> qualify as well or just </w:t>
      </w:r>
      <w:r w:rsidR="00F46F88" w:rsidRPr="00457865">
        <w:rPr>
          <w:rFonts w:cstheme="minorHAnsi"/>
          <w:szCs w:val="24"/>
        </w:rPr>
        <w:t>farmworkers</w:t>
      </w:r>
      <w:r w:rsidR="00602392" w:rsidRPr="00457865">
        <w:rPr>
          <w:rFonts w:cstheme="minorHAnsi"/>
          <w:szCs w:val="24"/>
        </w:rPr>
        <w:t>?</w:t>
      </w:r>
    </w:p>
    <w:p w14:paraId="4DC9CE2F" w14:textId="77777777" w:rsidR="00602392" w:rsidRPr="00457865" w:rsidRDefault="00602392" w:rsidP="00602392">
      <w:pPr>
        <w:rPr>
          <w:rFonts w:cstheme="minorHAnsi"/>
          <w:szCs w:val="24"/>
        </w:rPr>
      </w:pPr>
    </w:p>
    <w:p w14:paraId="1CE514E5" w14:textId="39BCD144" w:rsidR="00817B62" w:rsidRPr="00457865" w:rsidRDefault="00817B62" w:rsidP="00817B62">
      <w:pPr>
        <w:rPr>
          <w:rFonts w:cstheme="minorHAnsi"/>
          <w:szCs w:val="24"/>
        </w:rPr>
      </w:pPr>
      <w:r w:rsidRPr="00457865">
        <w:rPr>
          <w:rFonts w:cstheme="minorHAnsi"/>
          <w:szCs w:val="24"/>
        </w:rPr>
        <w:t xml:space="preserve">An eligible MSFW young adult is an eligible </w:t>
      </w:r>
      <w:r w:rsidR="00F46F88" w:rsidRPr="00457865">
        <w:rPr>
          <w:rFonts w:cstheme="minorHAnsi"/>
          <w:szCs w:val="24"/>
        </w:rPr>
        <w:t>participant</w:t>
      </w:r>
      <w:r w:rsidRPr="00457865">
        <w:rPr>
          <w:rFonts w:cstheme="minorHAnsi"/>
          <w:szCs w:val="24"/>
        </w:rPr>
        <w:t xml:space="preserve"> aged 18–28 who is individually </w:t>
      </w:r>
    </w:p>
    <w:p w14:paraId="1B5F4D77" w14:textId="77777777" w:rsidR="00817B62" w:rsidRPr="00457865" w:rsidRDefault="00817B62" w:rsidP="00817B62">
      <w:pPr>
        <w:rPr>
          <w:rFonts w:cstheme="minorHAnsi"/>
          <w:szCs w:val="24"/>
        </w:rPr>
      </w:pPr>
      <w:r w:rsidRPr="00457865">
        <w:rPr>
          <w:rFonts w:cstheme="minorHAnsi"/>
          <w:szCs w:val="24"/>
        </w:rPr>
        <w:t xml:space="preserve">eligible or dependent on an eligible MSFW. The term eligible MSFW young adult is a </w:t>
      </w:r>
    </w:p>
    <w:p w14:paraId="322B9184" w14:textId="7C992382" w:rsidR="00817B62" w:rsidRPr="00457865" w:rsidRDefault="00817B62" w:rsidP="00817B62">
      <w:pPr>
        <w:rPr>
          <w:rFonts w:cstheme="minorHAnsi"/>
          <w:szCs w:val="24"/>
        </w:rPr>
      </w:pPr>
      <w:r w:rsidRPr="00457865">
        <w:rPr>
          <w:rFonts w:cstheme="minorHAnsi"/>
          <w:szCs w:val="24"/>
        </w:rPr>
        <w:t xml:space="preserve">subset of the FAP that entails a two-generation approach to create pathways for the </w:t>
      </w:r>
    </w:p>
    <w:p w14:paraId="27155CD4" w14:textId="27641C22" w:rsidR="00602392" w:rsidRPr="00457865" w:rsidRDefault="00817B62" w:rsidP="00817B62">
      <w:pPr>
        <w:rPr>
          <w:rFonts w:cstheme="minorHAnsi"/>
          <w:szCs w:val="24"/>
        </w:rPr>
      </w:pPr>
      <w:r w:rsidRPr="00457865">
        <w:rPr>
          <w:rFonts w:cstheme="minorHAnsi"/>
          <w:szCs w:val="24"/>
        </w:rPr>
        <w:t>children of farmworkers.</w:t>
      </w:r>
    </w:p>
    <w:p w14:paraId="11835FE6" w14:textId="36FE0FA9" w:rsidR="00602392" w:rsidRPr="00457865" w:rsidRDefault="00F00A7E" w:rsidP="00602392">
      <w:pPr>
        <w:rPr>
          <w:rFonts w:cstheme="minorHAnsi"/>
          <w:szCs w:val="24"/>
        </w:rPr>
      </w:pPr>
      <w:r w:rsidRPr="00457865">
        <w:rPr>
          <w:rFonts w:cstheme="minorHAnsi"/>
          <w:szCs w:val="24"/>
        </w:rPr>
        <w:t>For additional information</w:t>
      </w:r>
      <w:r w:rsidR="00B411BE" w:rsidRPr="00457865">
        <w:rPr>
          <w:rFonts w:cstheme="minorHAnsi"/>
          <w:szCs w:val="24"/>
        </w:rPr>
        <w:t xml:space="preserve"> </w:t>
      </w:r>
      <w:r w:rsidRPr="00457865">
        <w:rPr>
          <w:rFonts w:cstheme="minorHAnsi"/>
          <w:szCs w:val="24"/>
        </w:rPr>
        <w:t xml:space="preserve">reference </w:t>
      </w:r>
      <w:r w:rsidRPr="00457865">
        <w:rPr>
          <w:rFonts w:cstheme="minorHAnsi"/>
          <w:i/>
          <w:iCs/>
          <w:szCs w:val="24"/>
        </w:rPr>
        <w:t xml:space="preserve">Section 1: </w:t>
      </w:r>
      <w:r w:rsidR="00063836" w:rsidRPr="00457865">
        <w:rPr>
          <w:rFonts w:cstheme="minorHAnsi"/>
          <w:i/>
          <w:iCs/>
          <w:szCs w:val="24"/>
        </w:rPr>
        <w:t xml:space="preserve">D. </w:t>
      </w:r>
      <w:r w:rsidRPr="00457865">
        <w:rPr>
          <w:rFonts w:cstheme="minorHAnsi"/>
          <w:i/>
          <w:iCs/>
          <w:szCs w:val="24"/>
        </w:rPr>
        <w:t>Target Populations</w:t>
      </w:r>
      <w:r w:rsidRPr="00457865">
        <w:rPr>
          <w:rFonts w:cstheme="minorHAnsi"/>
          <w:szCs w:val="24"/>
        </w:rPr>
        <w:t>, page 5 of the SFP.</w:t>
      </w:r>
    </w:p>
    <w:p w14:paraId="4D415E7E" w14:textId="77777777" w:rsidR="00F00A7E" w:rsidRPr="00457865" w:rsidRDefault="00F00A7E" w:rsidP="00602392">
      <w:pPr>
        <w:rPr>
          <w:rFonts w:cstheme="minorHAnsi"/>
          <w:szCs w:val="24"/>
        </w:rPr>
      </w:pPr>
    </w:p>
    <w:p w14:paraId="188809D7" w14:textId="554799FB" w:rsidR="00602392" w:rsidRPr="00457865" w:rsidRDefault="004C1F85" w:rsidP="00602392">
      <w:pPr>
        <w:pStyle w:val="Heading1"/>
        <w:rPr>
          <w:rFonts w:cstheme="minorHAnsi"/>
          <w:szCs w:val="24"/>
        </w:rPr>
      </w:pPr>
      <w:r w:rsidRPr="00457865">
        <w:rPr>
          <w:rFonts w:cstheme="minorHAnsi"/>
          <w:szCs w:val="24"/>
        </w:rPr>
        <w:t>8.</w:t>
      </w:r>
      <w:r w:rsidR="00602392" w:rsidRPr="00457865">
        <w:rPr>
          <w:rFonts w:cstheme="minorHAnsi"/>
          <w:szCs w:val="24"/>
        </w:rPr>
        <w:t xml:space="preserve"> What will state oversight and monitoring of this program include?</w:t>
      </w:r>
    </w:p>
    <w:p w14:paraId="562B81D7" w14:textId="77777777" w:rsidR="00602392" w:rsidRPr="00457865" w:rsidRDefault="00602392" w:rsidP="00602392">
      <w:pPr>
        <w:rPr>
          <w:rFonts w:cstheme="minorHAnsi"/>
          <w:szCs w:val="24"/>
        </w:rPr>
      </w:pPr>
    </w:p>
    <w:p w14:paraId="694823DC" w14:textId="77777777" w:rsidR="00F00A7E" w:rsidRPr="00457865" w:rsidRDefault="00F00A7E" w:rsidP="00F00A7E">
      <w:pPr>
        <w:rPr>
          <w:rFonts w:cstheme="minorHAnsi"/>
          <w:szCs w:val="24"/>
        </w:rPr>
      </w:pPr>
      <w:r w:rsidRPr="00457865">
        <w:rPr>
          <w:rFonts w:cstheme="minorHAnsi"/>
          <w:szCs w:val="24"/>
        </w:rPr>
        <w:t xml:space="preserve">During the POP, subrecipients will be monitored and/or audited by the state in accordance with </w:t>
      </w:r>
    </w:p>
    <w:p w14:paraId="0F9496DA" w14:textId="738D32C8" w:rsidR="00F00A7E" w:rsidRPr="00457865" w:rsidRDefault="00F46F88" w:rsidP="00F00A7E">
      <w:pPr>
        <w:rPr>
          <w:rFonts w:cstheme="minorHAnsi"/>
          <w:szCs w:val="24"/>
        </w:rPr>
      </w:pPr>
      <w:r w:rsidRPr="00457865">
        <w:rPr>
          <w:rFonts w:cstheme="minorHAnsi"/>
          <w:szCs w:val="24"/>
        </w:rPr>
        <w:t>existing</w:t>
      </w:r>
      <w:r w:rsidR="00F00A7E" w:rsidRPr="00457865">
        <w:rPr>
          <w:rFonts w:cstheme="minorHAnsi"/>
          <w:szCs w:val="24"/>
        </w:rPr>
        <w:t xml:space="preserve"> policies, procedures, and EDD guidance to clarify requirements governing the use of </w:t>
      </w:r>
    </w:p>
    <w:p w14:paraId="5FCFA62D" w14:textId="77777777" w:rsidR="00B411BE" w:rsidRPr="00457865" w:rsidRDefault="00F00A7E" w:rsidP="00F00A7E">
      <w:pPr>
        <w:rPr>
          <w:rFonts w:cstheme="minorHAnsi"/>
          <w:szCs w:val="24"/>
        </w:rPr>
      </w:pPr>
      <w:r w:rsidRPr="00457865">
        <w:rPr>
          <w:rFonts w:cstheme="minorHAnsi"/>
          <w:szCs w:val="24"/>
        </w:rPr>
        <w:t>WIOA funds</w:t>
      </w:r>
      <w:r w:rsidR="00602392" w:rsidRPr="00457865">
        <w:rPr>
          <w:rFonts w:cstheme="minorHAnsi"/>
          <w:szCs w:val="24"/>
        </w:rPr>
        <w:t>.</w:t>
      </w:r>
      <w:r w:rsidRPr="00457865">
        <w:rPr>
          <w:rFonts w:cstheme="minorHAnsi"/>
          <w:szCs w:val="24"/>
        </w:rPr>
        <w:t xml:space="preserve"> Subrecipients that expend over $750,000 in federal funds from any source must complete a single or program-specific audit for the fiscal year per the Single Audit Act for State and Local Agencies, 1996 Amendments, Public Law 104-156. </w:t>
      </w:r>
    </w:p>
    <w:p w14:paraId="3AEEB9CC" w14:textId="1E594CDF" w:rsidR="00602392" w:rsidRPr="00457865" w:rsidRDefault="00B411BE" w:rsidP="00602392">
      <w:pPr>
        <w:rPr>
          <w:rFonts w:cstheme="minorHAnsi"/>
          <w:szCs w:val="24"/>
        </w:rPr>
      </w:pPr>
      <w:bookmarkStart w:id="2" w:name="_Hlk183158308"/>
      <w:r w:rsidRPr="00457865">
        <w:rPr>
          <w:rFonts w:cstheme="minorHAnsi"/>
          <w:szCs w:val="24"/>
        </w:rPr>
        <w:t>For additional information r</w:t>
      </w:r>
      <w:r w:rsidR="00F00A7E" w:rsidRPr="00457865">
        <w:rPr>
          <w:rFonts w:cstheme="minorHAnsi"/>
          <w:szCs w:val="24"/>
        </w:rPr>
        <w:t>efer</w:t>
      </w:r>
      <w:r w:rsidRPr="00457865">
        <w:rPr>
          <w:rFonts w:cstheme="minorHAnsi"/>
          <w:szCs w:val="24"/>
        </w:rPr>
        <w:t xml:space="preserve">ence </w:t>
      </w:r>
      <w:r w:rsidR="00F00A7E" w:rsidRPr="00457865">
        <w:rPr>
          <w:rFonts w:cstheme="minorHAnsi"/>
          <w:i/>
          <w:iCs/>
          <w:szCs w:val="24"/>
        </w:rPr>
        <w:t>Audit Requirements</w:t>
      </w:r>
      <w:r w:rsidR="00F00A7E" w:rsidRPr="00457865">
        <w:rPr>
          <w:rFonts w:cstheme="minorHAnsi"/>
          <w:szCs w:val="24"/>
        </w:rPr>
        <w:t xml:space="preserve"> (WSD20-03) (October 13, 2020) </w:t>
      </w:r>
      <w:r w:rsidRPr="00457865">
        <w:rPr>
          <w:rFonts w:cstheme="minorHAnsi"/>
          <w:szCs w:val="24"/>
        </w:rPr>
        <w:t xml:space="preserve">and </w:t>
      </w:r>
      <w:r w:rsidR="00F00A7E" w:rsidRPr="00457865">
        <w:rPr>
          <w:rFonts w:cstheme="minorHAnsi"/>
          <w:i/>
          <w:iCs/>
          <w:szCs w:val="24"/>
        </w:rPr>
        <w:t>Section 1</w:t>
      </w:r>
      <w:r w:rsidRPr="00457865">
        <w:rPr>
          <w:rFonts w:cstheme="minorHAnsi"/>
          <w:i/>
          <w:iCs/>
          <w:szCs w:val="24"/>
        </w:rPr>
        <w:t>. A-C</w:t>
      </w:r>
      <w:r w:rsidR="00F00A7E" w:rsidRPr="00457865">
        <w:rPr>
          <w:rFonts w:cstheme="minorHAnsi"/>
          <w:szCs w:val="24"/>
        </w:rPr>
        <w:t>,</w:t>
      </w:r>
      <w:r w:rsidRPr="00457865">
        <w:rPr>
          <w:rFonts w:cstheme="minorHAnsi"/>
          <w:szCs w:val="24"/>
        </w:rPr>
        <w:t xml:space="preserve"> </w:t>
      </w:r>
      <w:r w:rsidR="00F00A7E" w:rsidRPr="00457865">
        <w:rPr>
          <w:rFonts w:cstheme="minorHAnsi"/>
          <w:szCs w:val="24"/>
        </w:rPr>
        <w:t>page</w:t>
      </w:r>
      <w:r w:rsidRPr="00457865">
        <w:rPr>
          <w:rFonts w:cstheme="minorHAnsi"/>
          <w:szCs w:val="24"/>
        </w:rPr>
        <w:t>s 24-25</w:t>
      </w:r>
      <w:r w:rsidR="00F00A7E" w:rsidRPr="00457865">
        <w:rPr>
          <w:rFonts w:cstheme="minorHAnsi"/>
          <w:szCs w:val="24"/>
        </w:rPr>
        <w:t xml:space="preserve"> of the SFP.</w:t>
      </w:r>
    </w:p>
    <w:bookmarkEnd w:id="2"/>
    <w:p w14:paraId="2DA1D822" w14:textId="77777777" w:rsidR="00F00A7E" w:rsidRPr="00457865" w:rsidRDefault="00F00A7E" w:rsidP="00602392">
      <w:pPr>
        <w:rPr>
          <w:rFonts w:cstheme="minorHAnsi"/>
          <w:szCs w:val="24"/>
        </w:rPr>
      </w:pPr>
    </w:p>
    <w:p w14:paraId="752E2F58" w14:textId="65B3BBF7" w:rsidR="00602392" w:rsidRPr="00457865" w:rsidRDefault="00F00A7E" w:rsidP="00602392">
      <w:pPr>
        <w:pStyle w:val="Heading1"/>
        <w:rPr>
          <w:rFonts w:cstheme="minorHAnsi"/>
          <w:szCs w:val="24"/>
        </w:rPr>
      </w:pPr>
      <w:r w:rsidRPr="00457865">
        <w:rPr>
          <w:rFonts w:cstheme="minorHAnsi"/>
          <w:szCs w:val="24"/>
        </w:rPr>
        <w:t>9</w:t>
      </w:r>
      <w:r w:rsidR="00602392" w:rsidRPr="00457865">
        <w:rPr>
          <w:rFonts w:cstheme="minorHAnsi"/>
          <w:szCs w:val="24"/>
        </w:rPr>
        <w:t xml:space="preserve">. What </w:t>
      </w:r>
      <w:r w:rsidR="00631434">
        <w:rPr>
          <w:rFonts w:cstheme="minorHAnsi"/>
          <w:szCs w:val="24"/>
        </w:rPr>
        <w:t>are</w:t>
      </w:r>
      <w:r w:rsidR="00602392" w:rsidRPr="00457865">
        <w:rPr>
          <w:rFonts w:cstheme="minorHAnsi"/>
          <w:szCs w:val="24"/>
        </w:rPr>
        <w:t xml:space="preserve"> the eligibility criteria for farmworkers to </w:t>
      </w:r>
      <w:r w:rsidR="00F46F88" w:rsidRPr="00457865">
        <w:rPr>
          <w:rFonts w:cstheme="minorHAnsi"/>
          <w:szCs w:val="24"/>
        </w:rPr>
        <w:t>participate</w:t>
      </w:r>
      <w:r w:rsidR="00602392" w:rsidRPr="00457865">
        <w:rPr>
          <w:rFonts w:cstheme="minorHAnsi"/>
          <w:szCs w:val="24"/>
        </w:rPr>
        <w:t xml:space="preserve"> in </w:t>
      </w:r>
      <w:r w:rsidR="00631434">
        <w:rPr>
          <w:rFonts w:cstheme="minorHAnsi"/>
          <w:szCs w:val="24"/>
        </w:rPr>
        <w:t xml:space="preserve">a </w:t>
      </w:r>
      <w:r w:rsidR="00602392" w:rsidRPr="00457865">
        <w:rPr>
          <w:rFonts w:cstheme="minorHAnsi"/>
          <w:szCs w:val="24"/>
        </w:rPr>
        <w:t>funded program?</w:t>
      </w:r>
    </w:p>
    <w:p w14:paraId="76BA4AF5" w14:textId="77777777" w:rsidR="00602392" w:rsidRPr="00457865" w:rsidRDefault="00602392" w:rsidP="00602392">
      <w:pPr>
        <w:rPr>
          <w:rFonts w:cstheme="minorHAnsi"/>
          <w:szCs w:val="24"/>
        </w:rPr>
      </w:pPr>
    </w:p>
    <w:p w14:paraId="54C98679" w14:textId="010AB575" w:rsidR="00602392" w:rsidRPr="00457865" w:rsidRDefault="00063836" w:rsidP="00063836">
      <w:pPr>
        <w:rPr>
          <w:rFonts w:cstheme="minorHAnsi"/>
          <w:szCs w:val="24"/>
        </w:rPr>
      </w:pPr>
      <w:r w:rsidRPr="00457865">
        <w:rPr>
          <w:rFonts w:cstheme="minorHAnsi"/>
          <w:szCs w:val="24"/>
        </w:rPr>
        <w:t xml:space="preserve">All individuals must be at least 18 years of age and meet WIOA Title I Adult eligibility requirements to </w:t>
      </w:r>
      <w:r w:rsidR="00F46F88" w:rsidRPr="00457865">
        <w:rPr>
          <w:rFonts w:cstheme="minorHAnsi"/>
          <w:szCs w:val="24"/>
        </w:rPr>
        <w:t>participate</w:t>
      </w:r>
      <w:r w:rsidRPr="00457865">
        <w:rPr>
          <w:rFonts w:cstheme="minorHAnsi"/>
          <w:szCs w:val="24"/>
        </w:rPr>
        <w:t xml:space="preserve"> in the FAP PY 24-25 program.</w:t>
      </w:r>
    </w:p>
    <w:p w14:paraId="3C8488B3" w14:textId="2639A5C4" w:rsidR="00063836" w:rsidRPr="00457865" w:rsidRDefault="00063836" w:rsidP="00063836">
      <w:pPr>
        <w:rPr>
          <w:rFonts w:cstheme="minorHAnsi"/>
          <w:szCs w:val="24"/>
        </w:rPr>
      </w:pPr>
      <w:r w:rsidRPr="00457865">
        <w:rPr>
          <w:rFonts w:cstheme="minorHAnsi"/>
          <w:szCs w:val="24"/>
        </w:rPr>
        <w:t xml:space="preserve">For additional information reference </w:t>
      </w:r>
      <w:r w:rsidRPr="00457865">
        <w:rPr>
          <w:rFonts w:cstheme="minorHAnsi"/>
          <w:i/>
          <w:iCs/>
          <w:szCs w:val="24"/>
        </w:rPr>
        <w:t>Section 1.D. Target Population</w:t>
      </w:r>
      <w:r w:rsidRPr="00457865">
        <w:rPr>
          <w:rFonts w:cstheme="minorHAnsi"/>
          <w:szCs w:val="24"/>
        </w:rPr>
        <w:t>, page 5 of the SFP.</w:t>
      </w:r>
    </w:p>
    <w:p w14:paraId="6D31D3B6" w14:textId="77777777" w:rsidR="00063836" w:rsidRPr="00457865" w:rsidRDefault="00063836" w:rsidP="00063836">
      <w:pPr>
        <w:rPr>
          <w:rFonts w:cstheme="minorHAnsi"/>
          <w:szCs w:val="24"/>
        </w:rPr>
      </w:pPr>
    </w:p>
    <w:p w14:paraId="6457F773" w14:textId="41F55D39"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0</w:t>
      </w:r>
      <w:r w:rsidRPr="00457865">
        <w:rPr>
          <w:rFonts w:cstheme="minorHAnsi"/>
          <w:szCs w:val="24"/>
        </w:rPr>
        <w:t>. What are allowable leveraged funds?</w:t>
      </w:r>
    </w:p>
    <w:p w14:paraId="63DA3659" w14:textId="77777777" w:rsidR="00602392" w:rsidRPr="00457865" w:rsidRDefault="00602392" w:rsidP="00602392">
      <w:pPr>
        <w:rPr>
          <w:rFonts w:cstheme="minorHAnsi"/>
          <w:szCs w:val="24"/>
        </w:rPr>
      </w:pPr>
    </w:p>
    <w:p w14:paraId="610CC5D5" w14:textId="682EFE43" w:rsidR="00063836" w:rsidRPr="00457865" w:rsidRDefault="00063836" w:rsidP="00063836">
      <w:pPr>
        <w:rPr>
          <w:rFonts w:cstheme="minorHAnsi"/>
          <w:szCs w:val="24"/>
        </w:rPr>
      </w:pPr>
      <w:r w:rsidRPr="00457865">
        <w:rPr>
          <w:rFonts w:cstheme="minorHAnsi"/>
          <w:szCs w:val="24"/>
        </w:rPr>
        <w:t>Leverage is not defined in regulation or any related administrative requirements. For EDD</w:t>
      </w:r>
      <w:r w:rsidR="00631434">
        <w:rPr>
          <w:rFonts w:cstheme="minorHAnsi"/>
          <w:szCs w:val="24"/>
        </w:rPr>
        <w:t>-</w:t>
      </w:r>
      <w:r w:rsidRPr="00457865">
        <w:rPr>
          <w:rFonts w:cstheme="minorHAnsi"/>
          <w:szCs w:val="24"/>
        </w:rPr>
        <w:t xml:space="preserve">funded programs, the term means all resources the recipient uses to support grant activity and </w:t>
      </w:r>
    </w:p>
    <w:p w14:paraId="5DCC8C5C" w14:textId="6DDD46B9" w:rsidR="00063836" w:rsidRPr="00457865" w:rsidRDefault="00063836" w:rsidP="00063836">
      <w:pPr>
        <w:rPr>
          <w:rFonts w:cstheme="minorHAnsi"/>
          <w:szCs w:val="24"/>
        </w:rPr>
      </w:pPr>
      <w:r w:rsidRPr="00457865">
        <w:rPr>
          <w:rFonts w:cstheme="minorHAnsi"/>
          <w:szCs w:val="24"/>
        </w:rPr>
        <w:t xml:space="preserve">outcomes, regardless of whether those resources meet the standards required for </w:t>
      </w:r>
      <w:r w:rsidR="00631434">
        <w:rPr>
          <w:rFonts w:cstheme="minorHAnsi"/>
          <w:szCs w:val="24"/>
        </w:rPr>
        <w:t xml:space="preserve">the </w:t>
      </w:r>
      <w:r w:rsidRPr="00457865">
        <w:rPr>
          <w:rFonts w:cstheme="minorHAnsi"/>
          <w:szCs w:val="24"/>
        </w:rPr>
        <w:t>match.</w:t>
      </w:r>
    </w:p>
    <w:p w14:paraId="057BB88D" w14:textId="77777777" w:rsidR="00063836" w:rsidRPr="00457865" w:rsidRDefault="00063836" w:rsidP="00063836">
      <w:pPr>
        <w:rPr>
          <w:rFonts w:cstheme="minorHAnsi"/>
          <w:szCs w:val="24"/>
        </w:rPr>
      </w:pPr>
    </w:p>
    <w:p w14:paraId="49B9B9E2" w14:textId="77777777" w:rsidR="00063836" w:rsidRPr="00457865" w:rsidRDefault="00063836" w:rsidP="00063836">
      <w:pPr>
        <w:rPr>
          <w:rFonts w:cstheme="minorHAnsi"/>
          <w:szCs w:val="24"/>
        </w:rPr>
      </w:pPr>
      <w:r w:rsidRPr="00457865">
        <w:rPr>
          <w:rFonts w:cstheme="minorHAnsi"/>
          <w:szCs w:val="24"/>
        </w:rPr>
        <w:t xml:space="preserve">Leveraged resources can come from various sources. All leveraged funds will be subject to the </w:t>
      </w:r>
    </w:p>
    <w:p w14:paraId="751CE166" w14:textId="5CEF271C" w:rsidR="00063836" w:rsidRPr="00457865" w:rsidRDefault="00063836" w:rsidP="00063836">
      <w:pPr>
        <w:rPr>
          <w:rFonts w:cstheme="minorHAnsi"/>
          <w:szCs w:val="24"/>
        </w:rPr>
      </w:pPr>
      <w:r w:rsidRPr="00457865">
        <w:rPr>
          <w:rFonts w:cstheme="minorHAnsi"/>
          <w:szCs w:val="24"/>
        </w:rPr>
        <w:t xml:space="preserve">reporting requirements contained in </w:t>
      </w:r>
      <w:r w:rsidR="00631434">
        <w:rPr>
          <w:rFonts w:cstheme="minorHAnsi"/>
          <w:szCs w:val="24"/>
        </w:rPr>
        <w:t xml:space="preserve">the </w:t>
      </w:r>
      <w:r w:rsidRPr="00457865">
        <w:rPr>
          <w:rFonts w:cstheme="minorHAnsi"/>
          <w:szCs w:val="24"/>
        </w:rPr>
        <w:t xml:space="preserve">Workforce Services Directive Monthly and Quarterly </w:t>
      </w:r>
    </w:p>
    <w:p w14:paraId="6FFFFF23" w14:textId="77777777" w:rsidR="00063836" w:rsidRPr="00457865" w:rsidRDefault="00063836" w:rsidP="00063836">
      <w:pPr>
        <w:rPr>
          <w:rFonts w:cstheme="minorHAnsi"/>
          <w:szCs w:val="24"/>
        </w:rPr>
      </w:pPr>
      <w:r w:rsidRPr="00457865">
        <w:rPr>
          <w:rFonts w:cstheme="minorHAnsi"/>
          <w:szCs w:val="24"/>
        </w:rPr>
        <w:t xml:space="preserve">Financial Reporting Requirements (December 4, 2019) (WSD19-05) and Title 2 Code of Federal </w:t>
      </w:r>
    </w:p>
    <w:p w14:paraId="0315603B" w14:textId="44028BFC" w:rsidR="00063836" w:rsidRPr="00457865" w:rsidRDefault="00063836" w:rsidP="00063836">
      <w:pPr>
        <w:rPr>
          <w:rFonts w:cstheme="minorHAnsi"/>
          <w:szCs w:val="24"/>
        </w:rPr>
      </w:pPr>
      <w:r w:rsidRPr="00457865">
        <w:rPr>
          <w:rFonts w:cstheme="minorHAnsi"/>
          <w:szCs w:val="24"/>
        </w:rPr>
        <w:t>Regulations (CFR) Part 200: “Uniform Administrative Requirements, Cost Principles, and Audit</w:t>
      </w:r>
      <w:r w:rsidR="00602392" w:rsidRPr="00457865">
        <w:rPr>
          <w:rFonts w:cstheme="minorHAnsi"/>
          <w:szCs w:val="24"/>
        </w:rPr>
        <w:t>.</w:t>
      </w:r>
      <w:r w:rsidRPr="00457865">
        <w:rPr>
          <w:rFonts w:cstheme="minorHAnsi"/>
          <w:szCs w:val="24"/>
        </w:rPr>
        <w:t xml:space="preserve"> Requirements for Federal Awards” (Uniform Guidance), Section 200.306 Cost sharing or </w:t>
      </w:r>
    </w:p>
    <w:p w14:paraId="25B4A870" w14:textId="6619582D" w:rsidR="00602392" w:rsidRPr="00457865" w:rsidRDefault="00063836" w:rsidP="00063836">
      <w:pPr>
        <w:rPr>
          <w:rFonts w:cstheme="minorHAnsi"/>
          <w:szCs w:val="24"/>
        </w:rPr>
      </w:pPr>
      <w:r w:rsidRPr="00457865">
        <w:rPr>
          <w:rFonts w:cstheme="minorHAnsi"/>
          <w:szCs w:val="24"/>
        </w:rPr>
        <w:t>leveraging.</w:t>
      </w:r>
    </w:p>
    <w:p w14:paraId="27D6C4C0" w14:textId="1A02B0E5" w:rsidR="00602392" w:rsidRPr="00457865" w:rsidRDefault="008C7C55" w:rsidP="00602392">
      <w:pPr>
        <w:rPr>
          <w:rFonts w:cstheme="minorHAnsi"/>
          <w:szCs w:val="24"/>
        </w:rPr>
      </w:pPr>
      <w:r w:rsidRPr="00457865">
        <w:rPr>
          <w:rFonts w:cstheme="minorHAnsi"/>
          <w:szCs w:val="24"/>
        </w:rPr>
        <w:t xml:space="preserve">For additional information reference </w:t>
      </w:r>
      <w:r w:rsidRPr="00457865">
        <w:rPr>
          <w:rFonts w:cstheme="minorHAnsi"/>
          <w:i/>
          <w:iCs/>
          <w:szCs w:val="24"/>
        </w:rPr>
        <w:t xml:space="preserve">Section </w:t>
      </w:r>
      <w:r w:rsidR="00FA664B" w:rsidRPr="00457865">
        <w:rPr>
          <w:rFonts w:cstheme="minorHAnsi"/>
          <w:i/>
          <w:iCs/>
          <w:szCs w:val="24"/>
        </w:rPr>
        <w:t>2</w:t>
      </w:r>
      <w:r w:rsidRPr="00457865">
        <w:rPr>
          <w:rFonts w:cstheme="minorHAnsi"/>
          <w:i/>
          <w:iCs/>
          <w:szCs w:val="24"/>
        </w:rPr>
        <w:t>.B. Leveraging Funds and Resources</w:t>
      </w:r>
      <w:r w:rsidRPr="00457865">
        <w:rPr>
          <w:rFonts w:cstheme="minorHAnsi"/>
          <w:szCs w:val="24"/>
        </w:rPr>
        <w:t>, pages 16-17 of the SFP.</w:t>
      </w:r>
    </w:p>
    <w:p w14:paraId="09DB4CD3" w14:textId="77777777" w:rsidR="008C7C55" w:rsidRPr="00457865" w:rsidRDefault="008C7C55" w:rsidP="00602392">
      <w:pPr>
        <w:rPr>
          <w:rFonts w:cstheme="minorHAnsi"/>
          <w:szCs w:val="24"/>
        </w:rPr>
      </w:pPr>
    </w:p>
    <w:p w14:paraId="361F5CD6" w14:textId="5DBC3968"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1</w:t>
      </w:r>
      <w:r w:rsidRPr="00457865">
        <w:rPr>
          <w:rFonts w:cstheme="minorHAnsi"/>
          <w:szCs w:val="24"/>
        </w:rPr>
        <w:t xml:space="preserve">. </w:t>
      </w:r>
      <w:r w:rsidR="008C7C55" w:rsidRPr="00457865">
        <w:rPr>
          <w:rFonts w:cstheme="minorHAnsi"/>
          <w:szCs w:val="24"/>
        </w:rPr>
        <w:t xml:space="preserve">Please clarify </w:t>
      </w:r>
      <w:r w:rsidR="00FA664B" w:rsidRPr="00457865">
        <w:rPr>
          <w:rFonts w:cstheme="minorHAnsi"/>
          <w:szCs w:val="24"/>
        </w:rPr>
        <w:t xml:space="preserve">Track 2: Emerging Programs, </w:t>
      </w:r>
      <w:r w:rsidR="008C7C55" w:rsidRPr="00457865">
        <w:rPr>
          <w:rFonts w:cstheme="minorHAnsi"/>
          <w:szCs w:val="24"/>
        </w:rPr>
        <w:t xml:space="preserve">are they </w:t>
      </w:r>
      <w:r w:rsidRPr="00457865">
        <w:rPr>
          <w:rFonts w:cstheme="minorHAnsi"/>
          <w:szCs w:val="24"/>
        </w:rPr>
        <w:t xml:space="preserve">new programs and </w:t>
      </w:r>
      <w:r w:rsidR="008C7C55" w:rsidRPr="00457865">
        <w:rPr>
          <w:rFonts w:cstheme="minorHAnsi"/>
          <w:szCs w:val="24"/>
        </w:rPr>
        <w:t xml:space="preserve">do </w:t>
      </w:r>
      <w:r w:rsidR="00FA664B" w:rsidRPr="00457865">
        <w:rPr>
          <w:rFonts w:cstheme="minorHAnsi"/>
          <w:szCs w:val="24"/>
        </w:rPr>
        <w:t xml:space="preserve">not </w:t>
      </w:r>
      <w:r w:rsidRPr="00457865">
        <w:rPr>
          <w:rFonts w:cstheme="minorHAnsi"/>
          <w:szCs w:val="24"/>
        </w:rPr>
        <w:t xml:space="preserve">need </w:t>
      </w:r>
      <w:r w:rsidR="00F46F88" w:rsidRPr="00457865">
        <w:rPr>
          <w:rFonts w:cstheme="minorHAnsi"/>
          <w:szCs w:val="24"/>
        </w:rPr>
        <w:t>leveraged</w:t>
      </w:r>
      <w:r w:rsidRPr="00457865">
        <w:rPr>
          <w:rFonts w:cstheme="minorHAnsi"/>
          <w:szCs w:val="24"/>
        </w:rPr>
        <w:t xml:space="preserve"> funds?</w:t>
      </w:r>
    </w:p>
    <w:p w14:paraId="4E8C20F8" w14:textId="77777777" w:rsidR="00602392" w:rsidRPr="00457865" w:rsidRDefault="00602392" w:rsidP="00602392">
      <w:pPr>
        <w:rPr>
          <w:rFonts w:cstheme="minorHAnsi"/>
          <w:szCs w:val="24"/>
        </w:rPr>
      </w:pPr>
    </w:p>
    <w:p w14:paraId="6B051BE1" w14:textId="3DCECC52" w:rsidR="00602392" w:rsidRPr="00457865" w:rsidRDefault="00602392" w:rsidP="00FA664B">
      <w:pPr>
        <w:rPr>
          <w:rFonts w:cstheme="minorHAnsi"/>
          <w:szCs w:val="24"/>
        </w:rPr>
      </w:pPr>
      <w:r w:rsidRPr="00457865">
        <w:rPr>
          <w:rFonts w:cstheme="minorHAnsi"/>
          <w:szCs w:val="24"/>
        </w:rPr>
        <w:t>Track 2: Emerging Programs</w:t>
      </w:r>
      <w:r w:rsidR="00FA664B" w:rsidRPr="00457865">
        <w:rPr>
          <w:rFonts w:cstheme="minorHAnsi"/>
          <w:szCs w:val="24"/>
        </w:rPr>
        <w:t xml:space="preserve"> intended to support program design, development, and early implementation of FAPs that can be scaled and implemented in the future and</w:t>
      </w:r>
      <w:r w:rsidRPr="00457865">
        <w:rPr>
          <w:rFonts w:cstheme="minorHAnsi"/>
          <w:szCs w:val="24"/>
        </w:rPr>
        <w:t xml:space="preserve"> do not require leverage resources.</w:t>
      </w:r>
    </w:p>
    <w:p w14:paraId="47C54B7C" w14:textId="28B9EE77" w:rsidR="00602392" w:rsidRPr="00457865" w:rsidRDefault="00FA664B" w:rsidP="00602392">
      <w:pPr>
        <w:rPr>
          <w:rFonts w:cstheme="minorHAnsi"/>
          <w:szCs w:val="24"/>
        </w:rPr>
      </w:pPr>
      <w:r w:rsidRPr="00457865">
        <w:rPr>
          <w:rFonts w:cstheme="minorHAnsi"/>
          <w:szCs w:val="24"/>
        </w:rPr>
        <w:lastRenderedPageBreak/>
        <w:t xml:space="preserve">For additional information reference </w:t>
      </w:r>
      <w:r w:rsidRPr="00457865">
        <w:rPr>
          <w:rFonts w:cstheme="minorHAnsi"/>
          <w:i/>
          <w:iCs/>
          <w:szCs w:val="24"/>
        </w:rPr>
        <w:t>Section 4.A. Project Goals and Objectives</w:t>
      </w:r>
      <w:r w:rsidRPr="00457865">
        <w:rPr>
          <w:rFonts w:cstheme="minorHAnsi"/>
          <w:szCs w:val="24"/>
        </w:rPr>
        <w:t>, pages 7-8 of the SFP.</w:t>
      </w:r>
    </w:p>
    <w:p w14:paraId="53513BAD" w14:textId="77777777" w:rsidR="00FA664B" w:rsidRPr="00457865" w:rsidRDefault="00FA664B" w:rsidP="00602392">
      <w:pPr>
        <w:rPr>
          <w:rFonts w:cstheme="minorHAnsi"/>
          <w:szCs w:val="24"/>
        </w:rPr>
      </w:pPr>
    </w:p>
    <w:p w14:paraId="5DD7E89D" w14:textId="18F33BA0"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2</w:t>
      </w:r>
      <w:r w:rsidRPr="00457865">
        <w:rPr>
          <w:rFonts w:cstheme="minorHAnsi"/>
          <w:szCs w:val="24"/>
        </w:rPr>
        <w:t xml:space="preserve">. For WIOA performance measures, will the performance measures change anytime the State renegotiates these with </w:t>
      </w:r>
      <w:r w:rsidR="00631434">
        <w:rPr>
          <w:rFonts w:cstheme="minorHAnsi"/>
          <w:szCs w:val="24"/>
        </w:rPr>
        <w:t xml:space="preserve">the </w:t>
      </w:r>
      <w:r w:rsidR="00FA664B" w:rsidRPr="00457865">
        <w:rPr>
          <w:rFonts w:cstheme="minorHAnsi"/>
          <w:szCs w:val="24"/>
        </w:rPr>
        <w:t>Department of Labor (</w:t>
      </w:r>
      <w:r w:rsidRPr="00457865">
        <w:rPr>
          <w:rFonts w:cstheme="minorHAnsi"/>
          <w:szCs w:val="24"/>
        </w:rPr>
        <w:t>DOL</w:t>
      </w:r>
      <w:r w:rsidR="00FA664B" w:rsidRPr="00457865">
        <w:rPr>
          <w:rFonts w:cstheme="minorHAnsi"/>
          <w:szCs w:val="24"/>
        </w:rPr>
        <w:t>)</w:t>
      </w:r>
      <w:r w:rsidRPr="00457865">
        <w:rPr>
          <w:rFonts w:cstheme="minorHAnsi"/>
          <w:szCs w:val="24"/>
        </w:rPr>
        <w:t>?</w:t>
      </w:r>
    </w:p>
    <w:p w14:paraId="6FB01D95" w14:textId="77777777" w:rsidR="00602392" w:rsidRPr="00457865" w:rsidRDefault="00602392" w:rsidP="00602392">
      <w:pPr>
        <w:rPr>
          <w:rFonts w:cstheme="minorHAnsi"/>
          <w:szCs w:val="24"/>
        </w:rPr>
      </w:pPr>
    </w:p>
    <w:p w14:paraId="7FB16316" w14:textId="7A505D3C" w:rsidR="000E306E" w:rsidRPr="00457865" w:rsidRDefault="000E306E" w:rsidP="000E306E">
      <w:pPr>
        <w:rPr>
          <w:rFonts w:cstheme="minorHAnsi"/>
          <w:szCs w:val="24"/>
        </w:rPr>
      </w:pPr>
      <w:r w:rsidRPr="00457865">
        <w:rPr>
          <w:rFonts w:cstheme="minorHAnsi"/>
          <w:szCs w:val="24"/>
        </w:rPr>
        <w:t xml:space="preserve">For this SFP the State Negotiated Performance Goals PY 24 and 25 (WSIN23-54), and Local </w:t>
      </w:r>
    </w:p>
    <w:p w14:paraId="2192EE59" w14:textId="77777777" w:rsidR="000E306E" w:rsidRPr="00457865" w:rsidRDefault="000E306E" w:rsidP="000E306E">
      <w:pPr>
        <w:rPr>
          <w:rFonts w:cstheme="minorHAnsi"/>
          <w:szCs w:val="24"/>
        </w:rPr>
      </w:pPr>
      <w:r w:rsidRPr="00457865">
        <w:rPr>
          <w:rFonts w:cstheme="minorHAnsi"/>
          <w:szCs w:val="24"/>
        </w:rPr>
        <w:t xml:space="preserve">Area Negotiated Performance Goals PY 24 and 25 (WSIN24-17) (October 31, 2024) are provided as a point of reference for applicants when reviewing their local goals and are renegotiated every two years. </w:t>
      </w:r>
    </w:p>
    <w:p w14:paraId="4291E578" w14:textId="3CA18AA8" w:rsidR="00602392" w:rsidRPr="00457865" w:rsidRDefault="00C117AC" w:rsidP="000E306E">
      <w:pPr>
        <w:rPr>
          <w:rFonts w:cstheme="minorHAnsi"/>
          <w:szCs w:val="24"/>
        </w:rPr>
      </w:pPr>
      <w:bookmarkStart w:id="3" w:name="_Hlk183167143"/>
      <w:r w:rsidRPr="00457865">
        <w:rPr>
          <w:rFonts w:cstheme="minorHAnsi"/>
          <w:szCs w:val="24"/>
        </w:rPr>
        <w:t xml:space="preserve">For additional information reference </w:t>
      </w:r>
      <w:r w:rsidRPr="00457865">
        <w:rPr>
          <w:rFonts w:cstheme="minorHAnsi"/>
          <w:i/>
          <w:iCs/>
          <w:szCs w:val="24"/>
        </w:rPr>
        <w:t>Section 3.D. Performance Goals, Figure 3: State Negotiated Performance Goals</w:t>
      </w:r>
      <w:r w:rsidRPr="00457865">
        <w:rPr>
          <w:rFonts w:cstheme="minorHAnsi"/>
          <w:szCs w:val="24"/>
        </w:rPr>
        <w:t>, pages 14-15.</w:t>
      </w:r>
      <w:r w:rsidR="00FA664B" w:rsidRPr="00457865">
        <w:rPr>
          <w:rFonts w:cstheme="minorHAnsi"/>
          <w:szCs w:val="24"/>
        </w:rPr>
        <w:t xml:space="preserve"> </w:t>
      </w:r>
      <w:bookmarkStart w:id="4" w:name="_Hlk183160625"/>
    </w:p>
    <w:bookmarkEnd w:id="4"/>
    <w:bookmarkEnd w:id="3"/>
    <w:p w14:paraId="0FC62FAA" w14:textId="77777777" w:rsidR="00602392" w:rsidRPr="00457865" w:rsidRDefault="00602392" w:rsidP="00602392">
      <w:pPr>
        <w:rPr>
          <w:rFonts w:cstheme="minorHAnsi"/>
          <w:szCs w:val="24"/>
        </w:rPr>
      </w:pPr>
    </w:p>
    <w:p w14:paraId="1A06398F" w14:textId="111D959E"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3</w:t>
      </w:r>
      <w:r w:rsidRPr="00457865">
        <w:rPr>
          <w:rFonts w:cstheme="minorHAnsi"/>
          <w:szCs w:val="24"/>
        </w:rPr>
        <w:t>. W</w:t>
      </w:r>
      <w:r w:rsidR="008422DD" w:rsidRPr="00457865">
        <w:rPr>
          <w:rFonts w:cstheme="minorHAnsi"/>
          <w:szCs w:val="24"/>
        </w:rPr>
        <w:t>ill there be another round of funding with an announcement that offers sufficient time to respond to it?</w:t>
      </w:r>
    </w:p>
    <w:p w14:paraId="79B21E6B" w14:textId="77777777" w:rsidR="00602392" w:rsidRPr="00457865" w:rsidRDefault="00602392" w:rsidP="00602392">
      <w:pPr>
        <w:rPr>
          <w:rFonts w:cstheme="minorHAnsi"/>
          <w:szCs w:val="24"/>
        </w:rPr>
      </w:pPr>
    </w:p>
    <w:p w14:paraId="2047E463" w14:textId="6418B0C4" w:rsidR="00602392" w:rsidRPr="00457865" w:rsidRDefault="004D2FA8" w:rsidP="00602392">
      <w:pPr>
        <w:rPr>
          <w:rFonts w:cstheme="minorHAnsi"/>
          <w:szCs w:val="24"/>
        </w:rPr>
      </w:pPr>
      <w:r w:rsidRPr="00457865">
        <w:rPr>
          <w:rFonts w:cstheme="minorHAnsi"/>
          <w:szCs w:val="24"/>
        </w:rPr>
        <w:t>Currently</w:t>
      </w:r>
      <w:r w:rsidR="00F46F88" w:rsidRPr="00457865">
        <w:rPr>
          <w:rFonts w:cstheme="minorHAnsi"/>
          <w:szCs w:val="24"/>
        </w:rPr>
        <w:t>,</w:t>
      </w:r>
      <w:r w:rsidR="00602392" w:rsidRPr="00457865">
        <w:rPr>
          <w:rFonts w:cstheme="minorHAnsi"/>
          <w:szCs w:val="24"/>
        </w:rPr>
        <w:t xml:space="preserve"> we do not know, but please monitor </w:t>
      </w:r>
      <w:r w:rsidRPr="00457865">
        <w:rPr>
          <w:rFonts w:cstheme="minorHAnsi"/>
          <w:szCs w:val="24"/>
        </w:rPr>
        <w:t>this</w:t>
      </w:r>
      <w:r w:rsidR="00602392" w:rsidRPr="00457865">
        <w:rPr>
          <w:rFonts w:cstheme="minorHAnsi"/>
          <w:szCs w:val="24"/>
        </w:rPr>
        <w:t xml:space="preserve"> page for future opportunities. </w:t>
      </w:r>
      <w:hyperlink r:id="rId13" w:history="1">
        <w:r w:rsidR="00602392" w:rsidRPr="00457865">
          <w:rPr>
            <w:rStyle w:val="Hyperlink"/>
            <w:rFonts w:cstheme="minorHAnsi"/>
            <w:szCs w:val="24"/>
          </w:rPr>
          <w:t>https://edd.ca.gov/en/jobs_and_training/wdsfp_workforce_development_solicitations_for_proposals</w:t>
        </w:r>
      </w:hyperlink>
    </w:p>
    <w:p w14:paraId="33BAB499" w14:textId="77777777" w:rsidR="00602392" w:rsidRPr="00457865" w:rsidRDefault="00602392" w:rsidP="00602392">
      <w:pPr>
        <w:rPr>
          <w:rFonts w:cstheme="minorHAnsi"/>
          <w:szCs w:val="24"/>
        </w:rPr>
      </w:pPr>
    </w:p>
    <w:p w14:paraId="455519C8" w14:textId="2C43B423"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4</w:t>
      </w:r>
      <w:r w:rsidRPr="00457865">
        <w:rPr>
          <w:rFonts w:cstheme="minorHAnsi"/>
          <w:szCs w:val="24"/>
        </w:rPr>
        <w:t xml:space="preserve">. </w:t>
      </w:r>
      <w:r w:rsidR="0060671C" w:rsidRPr="00457865">
        <w:rPr>
          <w:rFonts w:cstheme="minorHAnsi"/>
          <w:szCs w:val="24"/>
        </w:rPr>
        <w:t xml:space="preserve">The Indirect Cost Declaration (ICD) is listed as required to submit in </w:t>
      </w:r>
      <w:r w:rsidR="00631434">
        <w:rPr>
          <w:rFonts w:cstheme="minorHAnsi"/>
          <w:szCs w:val="24"/>
        </w:rPr>
        <w:t>W</w:t>
      </w:r>
      <w:r w:rsidR="0060671C" w:rsidRPr="00457865">
        <w:rPr>
          <w:rFonts w:cstheme="minorHAnsi"/>
          <w:szCs w:val="24"/>
        </w:rPr>
        <w:t xml:space="preserve">ord but requires a </w:t>
      </w:r>
      <w:r w:rsidRPr="00457865">
        <w:rPr>
          <w:rFonts w:cstheme="minorHAnsi"/>
          <w:szCs w:val="24"/>
        </w:rPr>
        <w:t>signature</w:t>
      </w:r>
      <w:r w:rsidR="0060671C" w:rsidRPr="00457865">
        <w:rPr>
          <w:rFonts w:cstheme="minorHAnsi"/>
          <w:szCs w:val="24"/>
        </w:rPr>
        <w:t xml:space="preserve"> therefore can an applicant g</w:t>
      </w:r>
      <w:r w:rsidR="00E23947" w:rsidRPr="00457865">
        <w:rPr>
          <w:rFonts w:cstheme="minorHAnsi"/>
          <w:szCs w:val="24"/>
        </w:rPr>
        <w:t xml:space="preserve">et a hard copy signature and upload </w:t>
      </w:r>
      <w:r w:rsidR="00631434">
        <w:rPr>
          <w:rFonts w:cstheme="minorHAnsi"/>
          <w:szCs w:val="24"/>
        </w:rPr>
        <w:t>it in</w:t>
      </w:r>
      <w:r w:rsidR="00E23947" w:rsidRPr="00457865">
        <w:rPr>
          <w:rFonts w:cstheme="minorHAnsi"/>
          <w:szCs w:val="24"/>
        </w:rPr>
        <w:t xml:space="preserve"> </w:t>
      </w:r>
      <w:r w:rsidR="005C1ED9" w:rsidRPr="00457865">
        <w:rPr>
          <w:rFonts w:cstheme="minorHAnsi"/>
          <w:szCs w:val="24"/>
        </w:rPr>
        <w:t>Portal Data Format (</w:t>
      </w:r>
      <w:r w:rsidR="00E23947" w:rsidRPr="00457865">
        <w:rPr>
          <w:rFonts w:cstheme="minorHAnsi"/>
          <w:szCs w:val="24"/>
        </w:rPr>
        <w:t>PDF</w:t>
      </w:r>
      <w:r w:rsidR="005C1ED9" w:rsidRPr="00457865">
        <w:rPr>
          <w:rFonts w:cstheme="minorHAnsi"/>
          <w:szCs w:val="24"/>
        </w:rPr>
        <w:t>)</w:t>
      </w:r>
      <w:r w:rsidR="00E23947" w:rsidRPr="00457865">
        <w:rPr>
          <w:rFonts w:cstheme="minorHAnsi"/>
          <w:szCs w:val="24"/>
        </w:rPr>
        <w:t>? Or are the electronic signatures only required?</w:t>
      </w:r>
    </w:p>
    <w:p w14:paraId="27521819" w14:textId="77777777" w:rsidR="00602392" w:rsidRPr="00457865" w:rsidRDefault="00602392" w:rsidP="00602392">
      <w:pPr>
        <w:rPr>
          <w:rFonts w:cstheme="minorHAnsi"/>
          <w:szCs w:val="24"/>
        </w:rPr>
      </w:pPr>
    </w:p>
    <w:p w14:paraId="4684A6FB" w14:textId="387B9ED8" w:rsidR="00602392" w:rsidRPr="00457865" w:rsidRDefault="0060671C" w:rsidP="00602392">
      <w:pPr>
        <w:rPr>
          <w:rFonts w:cstheme="minorHAnsi"/>
          <w:szCs w:val="24"/>
        </w:rPr>
      </w:pPr>
      <w:r w:rsidRPr="00457865">
        <w:rPr>
          <w:rFonts w:cstheme="minorHAnsi"/>
          <w:szCs w:val="24"/>
        </w:rPr>
        <w:t xml:space="preserve">We will accept the ICD in both the </w:t>
      </w:r>
      <w:r w:rsidR="00631434">
        <w:rPr>
          <w:rFonts w:cstheme="minorHAnsi"/>
          <w:szCs w:val="24"/>
        </w:rPr>
        <w:t>W</w:t>
      </w:r>
      <w:r w:rsidRPr="00457865">
        <w:rPr>
          <w:rFonts w:cstheme="minorHAnsi"/>
          <w:szCs w:val="24"/>
        </w:rPr>
        <w:t xml:space="preserve">ord version or PDF with </w:t>
      </w:r>
      <w:r w:rsidR="00F46F88" w:rsidRPr="00457865">
        <w:rPr>
          <w:rFonts w:cstheme="minorHAnsi"/>
          <w:szCs w:val="24"/>
        </w:rPr>
        <w:t>an</w:t>
      </w:r>
      <w:r w:rsidRPr="00457865">
        <w:rPr>
          <w:rFonts w:cstheme="minorHAnsi"/>
          <w:szCs w:val="24"/>
        </w:rPr>
        <w:t xml:space="preserve"> electronic signature or a copy of the hard signature. </w:t>
      </w:r>
    </w:p>
    <w:p w14:paraId="25B440AE" w14:textId="77777777" w:rsidR="00602392" w:rsidRPr="00457865" w:rsidRDefault="00602392" w:rsidP="00602392">
      <w:pPr>
        <w:rPr>
          <w:rFonts w:cstheme="minorHAnsi"/>
          <w:szCs w:val="24"/>
        </w:rPr>
      </w:pPr>
    </w:p>
    <w:p w14:paraId="2BEDCB7E" w14:textId="1EDD1B03"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5</w:t>
      </w:r>
      <w:r w:rsidRPr="00457865">
        <w:rPr>
          <w:rFonts w:cstheme="minorHAnsi"/>
          <w:szCs w:val="24"/>
        </w:rPr>
        <w:t>. Does our project have to take place during the entirety of the grant period? Or can we have a shorter timeline?</w:t>
      </w:r>
    </w:p>
    <w:p w14:paraId="7E70C929" w14:textId="77777777" w:rsidR="00602392" w:rsidRPr="00457865" w:rsidRDefault="00602392" w:rsidP="00602392">
      <w:pPr>
        <w:rPr>
          <w:rFonts w:cstheme="minorHAnsi"/>
          <w:szCs w:val="24"/>
        </w:rPr>
      </w:pPr>
    </w:p>
    <w:p w14:paraId="4B504900" w14:textId="2779728D" w:rsidR="00602392" w:rsidRPr="00457865" w:rsidRDefault="0060671C" w:rsidP="0060671C">
      <w:pPr>
        <w:rPr>
          <w:rFonts w:cstheme="minorHAnsi"/>
          <w:szCs w:val="24"/>
        </w:rPr>
      </w:pPr>
      <w:r w:rsidRPr="00457865">
        <w:rPr>
          <w:rFonts w:cstheme="minorHAnsi"/>
          <w:szCs w:val="24"/>
        </w:rPr>
        <w:t xml:space="preserve">The state expects the performance period for participating projects funded under this SFP to be 18-24 months which is anticipated to be March 1, </w:t>
      </w:r>
      <w:r w:rsidR="004D2FA8" w:rsidRPr="00457865">
        <w:rPr>
          <w:rFonts w:cstheme="minorHAnsi"/>
          <w:szCs w:val="24"/>
        </w:rPr>
        <w:t>2025,</w:t>
      </w:r>
      <w:r w:rsidRPr="00457865">
        <w:rPr>
          <w:rFonts w:cstheme="minorHAnsi"/>
          <w:szCs w:val="24"/>
        </w:rPr>
        <w:t xml:space="preserve"> to December 31, </w:t>
      </w:r>
      <w:r w:rsidR="004D2FA8" w:rsidRPr="00457865">
        <w:rPr>
          <w:rFonts w:cstheme="minorHAnsi"/>
          <w:szCs w:val="24"/>
        </w:rPr>
        <w:t>2026,</w:t>
      </w:r>
      <w:r w:rsidRPr="00457865">
        <w:rPr>
          <w:rFonts w:cstheme="minorHAnsi"/>
          <w:szCs w:val="24"/>
        </w:rPr>
        <w:t xml:space="preserve"> which is </w:t>
      </w:r>
      <w:r w:rsidR="00F81011" w:rsidRPr="00457865">
        <w:rPr>
          <w:rFonts w:cstheme="minorHAnsi"/>
          <w:szCs w:val="24"/>
        </w:rPr>
        <w:t>21 months.</w:t>
      </w:r>
      <w:r w:rsidRPr="00457865">
        <w:rPr>
          <w:rFonts w:cstheme="minorHAnsi"/>
          <w:szCs w:val="24"/>
        </w:rPr>
        <w:t xml:space="preserve"> No obligation or commitment of funds will be allowed before or beyond the grant period of performance. Any funds not expended during the grant agreement period shall be returned to the </w:t>
      </w:r>
      <w:r w:rsidR="004D2FA8" w:rsidRPr="00457865">
        <w:rPr>
          <w:rFonts w:cstheme="minorHAnsi"/>
          <w:szCs w:val="24"/>
        </w:rPr>
        <w:t>state.</w:t>
      </w:r>
    </w:p>
    <w:p w14:paraId="4BC12E74" w14:textId="77777777" w:rsidR="00602392" w:rsidRPr="00457865" w:rsidRDefault="00602392" w:rsidP="00602392">
      <w:pPr>
        <w:rPr>
          <w:rFonts w:cstheme="minorHAnsi"/>
          <w:szCs w:val="24"/>
        </w:rPr>
      </w:pPr>
    </w:p>
    <w:p w14:paraId="5F422874" w14:textId="2A0DE8C1" w:rsidR="00602392" w:rsidRPr="00457865" w:rsidRDefault="00602392" w:rsidP="00602392">
      <w:pPr>
        <w:pStyle w:val="Heading1"/>
        <w:rPr>
          <w:rFonts w:cstheme="minorHAnsi"/>
          <w:szCs w:val="24"/>
        </w:rPr>
      </w:pPr>
      <w:r w:rsidRPr="00457865">
        <w:rPr>
          <w:rFonts w:cstheme="minorHAnsi"/>
          <w:szCs w:val="24"/>
        </w:rPr>
        <w:t>1</w:t>
      </w:r>
      <w:r w:rsidR="00F00A7E" w:rsidRPr="00457865">
        <w:rPr>
          <w:rFonts w:cstheme="minorHAnsi"/>
          <w:szCs w:val="24"/>
        </w:rPr>
        <w:t>6</w:t>
      </w:r>
      <w:r w:rsidRPr="00457865">
        <w:rPr>
          <w:rFonts w:cstheme="minorHAnsi"/>
          <w:szCs w:val="24"/>
        </w:rPr>
        <w:t xml:space="preserve">. </w:t>
      </w:r>
      <w:r w:rsidR="00B63C30" w:rsidRPr="00457865">
        <w:rPr>
          <w:rFonts w:cstheme="minorHAnsi"/>
          <w:szCs w:val="24"/>
        </w:rPr>
        <w:t xml:space="preserve">The </w:t>
      </w:r>
      <w:r w:rsidR="00E23947" w:rsidRPr="00457865">
        <w:rPr>
          <w:rFonts w:cstheme="minorHAnsi"/>
          <w:szCs w:val="24"/>
        </w:rPr>
        <w:t>de minimus indirect cost rate has increased from 10</w:t>
      </w:r>
      <w:r w:rsidR="00B63C30" w:rsidRPr="00457865">
        <w:rPr>
          <w:rFonts w:cstheme="minorHAnsi"/>
          <w:szCs w:val="24"/>
        </w:rPr>
        <w:t xml:space="preserve"> percent</w:t>
      </w:r>
      <w:r w:rsidR="00E23947" w:rsidRPr="00457865">
        <w:rPr>
          <w:rFonts w:cstheme="minorHAnsi"/>
          <w:szCs w:val="24"/>
        </w:rPr>
        <w:t xml:space="preserve"> to 15</w:t>
      </w:r>
      <w:r w:rsidR="00B63C30" w:rsidRPr="00457865">
        <w:rPr>
          <w:rFonts w:cstheme="minorHAnsi"/>
          <w:szCs w:val="24"/>
        </w:rPr>
        <w:t xml:space="preserve"> percent</w:t>
      </w:r>
      <w:r w:rsidR="00E23947" w:rsidRPr="00457865">
        <w:rPr>
          <w:rFonts w:cstheme="minorHAnsi"/>
          <w:szCs w:val="24"/>
        </w:rPr>
        <w:t xml:space="preserve">.  Will you allow a 15% indirect cost rate?  And, if not, can you please explain why not?  </w:t>
      </w:r>
    </w:p>
    <w:p w14:paraId="5069ABB7" w14:textId="77777777" w:rsidR="00E23947" w:rsidRPr="00457865" w:rsidRDefault="00E23947" w:rsidP="00E23947">
      <w:pPr>
        <w:rPr>
          <w:rFonts w:cstheme="minorHAnsi"/>
          <w:szCs w:val="24"/>
        </w:rPr>
      </w:pPr>
    </w:p>
    <w:p w14:paraId="2D355965" w14:textId="24D5E065" w:rsidR="00E23947" w:rsidRPr="00457865" w:rsidRDefault="00F81011" w:rsidP="00E23947">
      <w:pPr>
        <w:rPr>
          <w:rFonts w:cstheme="minorHAnsi"/>
          <w:szCs w:val="24"/>
        </w:rPr>
      </w:pPr>
      <w:bookmarkStart w:id="5" w:name="_Hlk183074999"/>
      <w:r w:rsidRPr="00457865">
        <w:rPr>
          <w:rFonts w:cstheme="minorHAnsi"/>
          <w:szCs w:val="24"/>
        </w:rPr>
        <w:t xml:space="preserve">DOL released TEGL 05-24: Implementation of the 2024 Revisions to the Office of Management and Budget (OMB) in early October 2024. That TEGL details the transition of the approved de minimis rate from 10% to 15%. Per that guidance, “Pass-through entities (PTE) must adhere to the revisions applicable to their original grant awards when releasing funds as a subaward. Funds awarded by ETA with a period of performance starting prior to October 1, 2024, must follow the 2020 revisions to the Uniform Guidance. Therefore, all subawards under those awards must also follow the 2020 revisions, regardless of whether those subawards are issued before or after October 1, 2024. Therefore, </w:t>
      </w:r>
      <w:r w:rsidR="00B63C30" w:rsidRPr="00457865">
        <w:rPr>
          <w:rFonts w:cstheme="minorHAnsi"/>
          <w:szCs w:val="24"/>
        </w:rPr>
        <w:t xml:space="preserve">a decision was made by the EDD that </w:t>
      </w:r>
      <w:r w:rsidRPr="00457865">
        <w:rPr>
          <w:rFonts w:cstheme="minorHAnsi"/>
          <w:szCs w:val="24"/>
        </w:rPr>
        <w:t>the de minimis rate will not apply to our grants released in PY 24</w:t>
      </w:r>
      <w:r w:rsidR="00B63C30" w:rsidRPr="00457865">
        <w:rPr>
          <w:rFonts w:cstheme="minorHAnsi"/>
          <w:szCs w:val="24"/>
        </w:rPr>
        <w:t>-</w:t>
      </w:r>
      <w:r w:rsidRPr="00457865">
        <w:rPr>
          <w:rFonts w:cstheme="minorHAnsi"/>
          <w:szCs w:val="24"/>
        </w:rPr>
        <w:t xml:space="preserve">25. </w:t>
      </w:r>
    </w:p>
    <w:p w14:paraId="4AF6088B" w14:textId="77777777" w:rsidR="00E23947" w:rsidRPr="00457865" w:rsidRDefault="00E23947" w:rsidP="00E23947">
      <w:pPr>
        <w:rPr>
          <w:rFonts w:cstheme="minorHAnsi"/>
          <w:szCs w:val="24"/>
        </w:rPr>
      </w:pPr>
    </w:p>
    <w:bookmarkEnd w:id="5"/>
    <w:p w14:paraId="6FFE733A" w14:textId="25A24FAE" w:rsidR="00E23947" w:rsidRPr="00457865" w:rsidRDefault="00E23947" w:rsidP="00E23947">
      <w:pPr>
        <w:pStyle w:val="Heading1"/>
        <w:rPr>
          <w:rFonts w:cstheme="minorHAnsi"/>
          <w:szCs w:val="24"/>
        </w:rPr>
      </w:pPr>
      <w:r w:rsidRPr="00457865">
        <w:rPr>
          <w:rFonts w:cstheme="minorHAnsi"/>
          <w:szCs w:val="24"/>
        </w:rPr>
        <w:t>1</w:t>
      </w:r>
      <w:r w:rsidR="00F00A7E" w:rsidRPr="00457865">
        <w:rPr>
          <w:rFonts w:cstheme="minorHAnsi"/>
          <w:szCs w:val="24"/>
        </w:rPr>
        <w:t>7</w:t>
      </w:r>
      <w:r w:rsidRPr="00457865">
        <w:rPr>
          <w:rFonts w:cstheme="minorHAnsi"/>
          <w:szCs w:val="24"/>
        </w:rPr>
        <w:t xml:space="preserve">. </w:t>
      </w:r>
      <w:r w:rsidR="00B63C30" w:rsidRPr="00457865">
        <w:rPr>
          <w:rFonts w:cstheme="minorHAnsi"/>
          <w:szCs w:val="24"/>
        </w:rPr>
        <w:t>If an organization</w:t>
      </w:r>
      <w:r w:rsidR="00631434">
        <w:rPr>
          <w:rFonts w:cstheme="minorHAnsi"/>
          <w:szCs w:val="24"/>
        </w:rPr>
        <w:t>'</w:t>
      </w:r>
      <w:r w:rsidR="00B63C30" w:rsidRPr="00457865">
        <w:rPr>
          <w:rFonts w:cstheme="minorHAnsi"/>
          <w:szCs w:val="24"/>
        </w:rPr>
        <w:t xml:space="preserve">s Indirect Cost Rate </w:t>
      </w:r>
      <w:r w:rsidR="00F46F88" w:rsidRPr="00457865">
        <w:rPr>
          <w:rFonts w:cstheme="minorHAnsi"/>
          <w:szCs w:val="24"/>
        </w:rPr>
        <w:t>Agreement</w:t>
      </w:r>
      <w:r w:rsidR="00B63C30" w:rsidRPr="00457865">
        <w:rPr>
          <w:rFonts w:cstheme="minorHAnsi"/>
          <w:szCs w:val="24"/>
        </w:rPr>
        <w:t xml:space="preserve"> (ICRA</w:t>
      </w:r>
      <w:r w:rsidR="005C1ED9" w:rsidRPr="00457865">
        <w:rPr>
          <w:rFonts w:cstheme="minorHAnsi"/>
          <w:szCs w:val="24"/>
        </w:rPr>
        <w:t>)</w:t>
      </w:r>
      <w:r w:rsidR="00B63C30" w:rsidRPr="00457865">
        <w:rPr>
          <w:rFonts w:cstheme="minorHAnsi"/>
          <w:szCs w:val="24"/>
        </w:rPr>
        <w:t xml:space="preserve"> is </w:t>
      </w:r>
      <w:r w:rsidR="00631434">
        <w:rPr>
          <w:rFonts w:cstheme="minorHAnsi"/>
          <w:szCs w:val="24"/>
        </w:rPr>
        <w:t xml:space="preserve">a </w:t>
      </w:r>
      <w:r w:rsidR="004D2FA8" w:rsidRPr="00457865">
        <w:rPr>
          <w:rFonts w:cstheme="minorHAnsi"/>
          <w:szCs w:val="24"/>
        </w:rPr>
        <w:t>PDF,</w:t>
      </w:r>
      <w:r w:rsidRPr="00457865">
        <w:rPr>
          <w:rFonts w:cstheme="minorHAnsi"/>
          <w:szCs w:val="24"/>
        </w:rPr>
        <w:t xml:space="preserve"> do we have to convert this into Word or can we turn in the PDF</w:t>
      </w:r>
      <w:r w:rsidR="005C1ED9" w:rsidRPr="00457865">
        <w:rPr>
          <w:rFonts w:cstheme="minorHAnsi"/>
          <w:szCs w:val="24"/>
        </w:rPr>
        <w:t>?</w:t>
      </w:r>
    </w:p>
    <w:p w14:paraId="153F1590" w14:textId="77777777" w:rsidR="00E23947" w:rsidRPr="00457865" w:rsidRDefault="00E23947" w:rsidP="00E23947">
      <w:pPr>
        <w:rPr>
          <w:rFonts w:cstheme="minorHAnsi"/>
          <w:szCs w:val="24"/>
        </w:rPr>
      </w:pPr>
    </w:p>
    <w:p w14:paraId="5DFDAE8C" w14:textId="0CABD7DF" w:rsidR="00E23947" w:rsidRPr="00457865" w:rsidRDefault="005C1ED9" w:rsidP="00E23947">
      <w:pPr>
        <w:rPr>
          <w:rFonts w:cstheme="minorHAnsi"/>
          <w:szCs w:val="24"/>
        </w:rPr>
      </w:pPr>
      <w:r w:rsidRPr="00457865">
        <w:rPr>
          <w:rFonts w:cstheme="minorHAnsi"/>
          <w:szCs w:val="24"/>
        </w:rPr>
        <w:t xml:space="preserve">We will accept the ICRA in both the </w:t>
      </w:r>
      <w:r w:rsidR="00631434">
        <w:rPr>
          <w:rFonts w:cstheme="minorHAnsi"/>
          <w:szCs w:val="24"/>
        </w:rPr>
        <w:t>W</w:t>
      </w:r>
      <w:r w:rsidRPr="00457865">
        <w:rPr>
          <w:rFonts w:cstheme="minorHAnsi"/>
          <w:szCs w:val="24"/>
        </w:rPr>
        <w:t xml:space="preserve">ord version </w:t>
      </w:r>
      <w:r w:rsidR="004D2FA8" w:rsidRPr="00457865">
        <w:rPr>
          <w:rFonts w:cstheme="minorHAnsi"/>
          <w:szCs w:val="24"/>
        </w:rPr>
        <w:t>and</w:t>
      </w:r>
      <w:r w:rsidRPr="00457865">
        <w:rPr>
          <w:rFonts w:cstheme="minorHAnsi"/>
          <w:szCs w:val="24"/>
        </w:rPr>
        <w:t xml:space="preserve"> PDF.</w:t>
      </w:r>
    </w:p>
    <w:p w14:paraId="7981DB6E" w14:textId="77777777" w:rsidR="00E23947" w:rsidRPr="00457865" w:rsidRDefault="00E23947" w:rsidP="00E23947">
      <w:pPr>
        <w:rPr>
          <w:rFonts w:cstheme="minorHAnsi"/>
          <w:szCs w:val="24"/>
        </w:rPr>
      </w:pPr>
    </w:p>
    <w:p w14:paraId="62FAAD4B" w14:textId="37852F99" w:rsidR="00E23947" w:rsidRPr="00457865" w:rsidRDefault="00E23947" w:rsidP="00E23947">
      <w:pPr>
        <w:pStyle w:val="Heading1"/>
        <w:rPr>
          <w:rFonts w:cstheme="minorHAnsi"/>
          <w:szCs w:val="24"/>
        </w:rPr>
      </w:pPr>
      <w:r w:rsidRPr="00457865">
        <w:rPr>
          <w:rFonts w:cstheme="minorHAnsi"/>
          <w:szCs w:val="24"/>
        </w:rPr>
        <w:t>1</w:t>
      </w:r>
      <w:r w:rsidR="00F00A7E" w:rsidRPr="00457865">
        <w:rPr>
          <w:rFonts w:cstheme="minorHAnsi"/>
          <w:szCs w:val="24"/>
        </w:rPr>
        <w:t>8</w:t>
      </w:r>
      <w:r w:rsidRPr="00457865">
        <w:rPr>
          <w:rFonts w:cstheme="minorHAnsi"/>
          <w:szCs w:val="24"/>
        </w:rPr>
        <w:t xml:space="preserve">. If a partner is providing </w:t>
      </w:r>
      <w:r w:rsidR="00631434">
        <w:rPr>
          <w:rFonts w:cstheme="minorHAnsi"/>
          <w:szCs w:val="24"/>
        </w:rPr>
        <w:t xml:space="preserve">an </w:t>
      </w:r>
      <w:r w:rsidRPr="00457865">
        <w:rPr>
          <w:rFonts w:cstheme="minorHAnsi"/>
          <w:szCs w:val="24"/>
        </w:rPr>
        <w:t>in-kind donation, would we need both letters?</w:t>
      </w:r>
    </w:p>
    <w:p w14:paraId="50285B2A" w14:textId="77777777" w:rsidR="00E23947" w:rsidRPr="00457865" w:rsidRDefault="00E23947" w:rsidP="00E23947">
      <w:pPr>
        <w:rPr>
          <w:rFonts w:cstheme="minorHAnsi"/>
          <w:szCs w:val="24"/>
        </w:rPr>
      </w:pPr>
    </w:p>
    <w:p w14:paraId="6913ACBC" w14:textId="0B5EA848" w:rsidR="00E23947" w:rsidRPr="00457865" w:rsidRDefault="005C1ED9" w:rsidP="00E23947">
      <w:pPr>
        <w:rPr>
          <w:rFonts w:cstheme="minorHAnsi"/>
          <w:szCs w:val="24"/>
        </w:rPr>
      </w:pPr>
      <w:r w:rsidRPr="00457865">
        <w:rPr>
          <w:rFonts w:cstheme="minorHAnsi"/>
          <w:szCs w:val="24"/>
        </w:rPr>
        <w:t xml:space="preserve">We will accept one letter stating the partnership and leveraged amount information if the one partner is providing both a partnership and the </w:t>
      </w:r>
      <w:r w:rsidR="00F46F88" w:rsidRPr="00457865">
        <w:rPr>
          <w:rFonts w:cstheme="minorHAnsi"/>
          <w:szCs w:val="24"/>
        </w:rPr>
        <w:t>leve</w:t>
      </w:r>
      <w:r w:rsidR="00631434">
        <w:rPr>
          <w:rFonts w:cstheme="minorHAnsi"/>
          <w:szCs w:val="24"/>
        </w:rPr>
        <w:t>r</w:t>
      </w:r>
      <w:r w:rsidR="00F46F88" w:rsidRPr="00457865">
        <w:rPr>
          <w:rFonts w:cstheme="minorHAnsi"/>
          <w:szCs w:val="24"/>
        </w:rPr>
        <w:t>aged</w:t>
      </w:r>
      <w:r w:rsidRPr="00457865">
        <w:rPr>
          <w:rFonts w:cstheme="minorHAnsi"/>
          <w:szCs w:val="24"/>
        </w:rPr>
        <w:t xml:space="preserve"> resources.</w:t>
      </w:r>
    </w:p>
    <w:p w14:paraId="541C4E82" w14:textId="77777777" w:rsidR="00E23947" w:rsidRPr="00457865" w:rsidRDefault="00E23947" w:rsidP="00E23947">
      <w:pPr>
        <w:rPr>
          <w:rFonts w:cstheme="minorHAnsi"/>
          <w:szCs w:val="24"/>
        </w:rPr>
      </w:pPr>
    </w:p>
    <w:p w14:paraId="64C85682" w14:textId="496A7C0A" w:rsidR="00E23947" w:rsidRPr="00457865" w:rsidRDefault="00F00A7E" w:rsidP="00E23947">
      <w:pPr>
        <w:pStyle w:val="Heading1"/>
        <w:rPr>
          <w:rFonts w:cstheme="minorHAnsi"/>
          <w:szCs w:val="24"/>
        </w:rPr>
      </w:pPr>
      <w:r w:rsidRPr="00457865">
        <w:rPr>
          <w:rFonts w:cstheme="minorHAnsi"/>
          <w:szCs w:val="24"/>
        </w:rPr>
        <w:t>19</w:t>
      </w:r>
      <w:r w:rsidR="00E23947" w:rsidRPr="00457865">
        <w:rPr>
          <w:rFonts w:cstheme="minorHAnsi"/>
          <w:szCs w:val="24"/>
        </w:rPr>
        <w:t>. Can you confirm</w:t>
      </w:r>
      <w:r w:rsidR="005C1ED9" w:rsidRPr="00457865">
        <w:rPr>
          <w:rFonts w:cstheme="minorHAnsi"/>
          <w:szCs w:val="24"/>
        </w:rPr>
        <w:t xml:space="preserve"> if Track 2 requires a </w:t>
      </w:r>
      <w:r w:rsidR="00E23947" w:rsidRPr="00457865">
        <w:rPr>
          <w:rFonts w:cstheme="minorHAnsi"/>
          <w:szCs w:val="24"/>
        </w:rPr>
        <w:t>20% leverage resource requirement?</w:t>
      </w:r>
    </w:p>
    <w:p w14:paraId="31A63C6A" w14:textId="77777777" w:rsidR="00E23947" w:rsidRPr="00457865" w:rsidRDefault="00E23947" w:rsidP="00E23947">
      <w:pPr>
        <w:rPr>
          <w:rFonts w:cstheme="minorHAnsi"/>
          <w:szCs w:val="24"/>
        </w:rPr>
      </w:pPr>
    </w:p>
    <w:p w14:paraId="617D4DF3" w14:textId="13E90217" w:rsidR="00E23947" w:rsidRPr="00457865" w:rsidRDefault="005C1ED9" w:rsidP="00E23947">
      <w:pPr>
        <w:rPr>
          <w:rFonts w:cstheme="minorHAnsi"/>
          <w:szCs w:val="24"/>
        </w:rPr>
      </w:pPr>
      <w:r w:rsidRPr="00457865">
        <w:rPr>
          <w:rFonts w:cstheme="minorHAnsi"/>
          <w:szCs w:val="24"/>
        </w:rPr>
        <w:t xml:space="preserve">Track 2 does not require a 20 percent leveraged resource requirement, just Track 1. </w:t>
      </w:r>
    </w:p>
    <w:p w14:paraId="0820652D" w14:textId="77777777" w:rsidR="00E23947" w:rsidRPr="00457865" w:rsidRDefault="00E23947" w:rsidP="00E23947">
      <w:pPr>
        <w:rPr>
          <w:rFonts w:cstheme="minorHAnsi"/>
          <w:szCs w:val="24"/>
        </w:rPr>
      </w:pPr>
    </w:p>
    <w:p w14:paraId="7C2DBCDF" w14:textId="15257A14" w:rsidR="00E23947" w:rsidRPr="00457865" w:rsidRDefault="00E23947" w:rsidP="00E23947">
      <w:pPr>
        <w:pStyle w:val="Heading1"/>
        <w:rPr>
          <w:rFonts w:cstheme="minorHAnsi"/>
          <w:szCs w:val="24"/>
        </w:rPr>
      </w:pPr>
      <w:r w:rsidRPr="00457865">
        <w:rPr>
          <w:rFonts w:cstheme="minorHAnsi"/>
          <w:szCs w:val="24"/>
        </w:rPr>
        <w:t>2</w:t>
      </w:r>
      <w:r w:rsidR="00F00A7E" w:rsidRPr="00457865">
        <w:rPr>
          <w:rFonts w:cstheme="minorHAnsi"/>
          <w:szCs w:val="24"/>
        </w:rPr>
        <w:t>0</w:t>
      </w:r>
      <w:r w:rsidRPr="00457865">
        <w:rPr>
          <w:rFonts w:cstheme="minorHAnsi"/>
          <w:szCs w:val="24"/>
        </w:rPr>
        <w:t xml:space="preserve">. If awarded, are these funds subject to </w:t>
      </w:r>
      <w:r w:rsidR="00631434">
        <w:rPr>
          <w:rFonts w:cstheme="minorHAnsi"/>
          <w:szCs w:val="24"/>
        </w:rPr>
        <w:t xml:space="preserve">a </w:t>
      </w:r>
      <w:r w:rsidRPr="00457865">
        <w:rPr>
          <w:rFonts w:cstheme="minorHAnsi"/>
          <w:szCs w:val="24"/>
        </w:rPr>
        <w:t>Single Audit for grantees?</w:t>
      </w:r>
    </w:p>
    <w:p w14:paraId="75ACC0AE" w14:textId="77777777" w:rsidR="00E23947" w:rsidRPr="00457865" w:rsidRDefault="00E23947" w:rsidP="00E23947">
      <w:pPr>
        <w:rPr>
          <w:rFonts w:cstheme="minorHAnsi"/>
          <w:szCs w:val="24"/>
        </w:rPr>
      </w:pPr>
    </w:p>
    <w:p w14:paraId="620987FF" w14:textId="66E965EC" w:rsidR="00631434" w:rsidRDefault="00E23947" w:rsidP="00E23947">
      <w:pPr>
        <w:rPr>
          <w:rFonts w:cstheme="minorHAnsi"/>
          <w:szCs w:val="24"/>
        </w:rPr>
      </w:pPr>
      <w:r w:rsidRPr="00457865">
        <w:rPr>
          <w:rFonts w:cstheme="minorHAnsi"/>
          <w:szCs w:val="24"/>
        </w:rPr>
        <w:t>Yes</w:t>
      </w:r>
      <w:r w:rsidR="005C1ED9" w:rsidRPr="00457865">
        <w:rPr>
          <w:rFonts w:cstheme="minorHAnsi"/>
          <w:szCs w:val="24"/>
        </w:rPr>
        <w:t xml:space="preserve">, </w:t>
      </w:r>
      <w:r w:rsidR="00631434">
        <w:rPr>
          <w:rFonts w:cstheme="minorHAnsi"/>
          <w:szCs w:val="24"/>
        </w:rPr>
        <w:t xml:space="preserve">grantees are subject to audit requirements, </w:t>
      </w:r>
      <w:r w:rsidR="005C1ED9" w:rsidRPr="00457865">
        <w:rPr>
          <w:rFonts w:cstheme="minorHAnsi"/>
          <w:szCs w:val="24"/>
        </w:rPr>
        <w:t xml:space="preserve">refer to </w:t>
      </w:r>
      <w:r w:rsidR="00457865" w:rsidRPr="00457865">
        <w:rPr>
          <w:rFonts w:cstheme="minorHAnsi"/>
          <w:szCs w:val="24"/>
        </w:rPr>
        <w:t>Question 8.</w:t>
      </w:r>
    </w:p>
    <w:p w14:paraId="73AB9971" w14:textId="239D2D49" w:rsidR="00E23947" w:rsidRPr="00457865" w:rsidRDefault="00631434" w:rsidP="00E23947">
      <w:pPr>
        <w:rPr>
          <w:rFonts w:cstheme="minorHAnsi"/>
          <w:szCs w:val="24"/>
        </w:rPr>
      </w:pPr>
      <w:r w:rsidRPr="00457865">
        <w:rPr>
          <w:rFonts w:cstheme="minorHAnsi"/>
          <w:szCs w:val="24"/>
        </w:rPr>
        <w:t xml:space="preserve">For additional information reference </w:t>
      </w:r>
      <w:r w:rsidRPr="00457865">
        <w:rPr>
          <w:rFonts w:cstheme="minorHAnsi"/>
          <w:i/>
          <w:iCs/>
          <w:szCs w:val="24"/>
        </w:rPr>
        <w:t>Audit Requirements</w:t>
      </w:r>
      <w:r w:rsidRPr="00457865">
        <w:rPr>
          <w:rFonts w:cstheme="minorHAnsi"/>
          <w:szCs w:val="24"/>
        </w:rPr>
        <w:t xml:space="preserve"> (WSD20-03) (October 13, 2020) and </w:t>
      </w:r>
      <w:r w:rsidRPr="00457865">
        <w:rPr>
          <w:rFonts w:cstheme="minorHAnsi"/>
          <w:i/>
          <w:iCs/>
          <w:szCs w:val="24"/>
        </w:rPr>
        <w:t>Section 1. A-C</w:t>
      </w:r>
      <w:r w:rsidRPr="00457865">
        <w:rPr>
          <w:rFonts w:cstheme="minorHAnsi"/>
          <w:szCs w:val="24"/>
        </w:rPr>
        <w:t>, pages 24-25 of the SFP.</w:t>
      </w:r>
      <w:r w:rsidR="00457865" w:rsidRPr="00457865">
        <w:rPr>
          <w:rFonts w:cstheme="minorHAnsi"/>
          <w:szCs w:val="24"/>
        </w:rPr>
        <w:t xml:space="preserve"> </w:t>
      </w:r>
    </w:p>
    <w:p w14:paraId="2E88E789" w14:textId="77777777" w:rsidR="00E23947" w:rsidRPr="00457865" w:rsidRDefault="00E23947" w:rsidP="00E23947">
      <w:pPr>
        <w:rPr>
          <w:rFonts w:cstheme="minorHAnsi"/>
          <w:szCs w:val="24"/>
        </w:rPr>
      </w:pPr>
    </w:p>
    <w:p w14:paraId="5F317429" w14:textId="60A36F39" w:rsidR="00E23947" w:rsidRPr="00457865" w:rsidRDefault="00E23947" w:rsidP="00E23947">
      <w:pPr>
        <w:pStyle w:val="Heading1"/>
        <w:rPr>
          <w:rFonts w:cstheme="minorHAnsi"/>
          <w:szCs w:val="24"/>
        </w:rPr>
      </w:pPr>
      <w:r w:rsidRPr="00457865">
        <w:rPr>
          <w:rFonts w:cstheme="minorHAnsi"/>
          <w:szCs w:val="24"/>
        </w:rPr>
        <w:t>2</w:t>
      </w:r>
      <w:r w:rsidR="00F00A7E" w:rsidRPr="00457865">
        <w:rPr>
          <w:rFonts w:cstheme="minorHAnsi"/>
          <w:szCs w:val="24"/>
        </w:rPr>
        <w:t>1</w:t>
      </w:r>
      <w:r w:rsidRPr="00457865">
        <w:rPr>
          <w:rFonts w:cstheme="minorHAnsi"/>
          <w:szCs w:val="24"/>
        </w:rPr>
        <w:t xml:space="preserve">. </w:t>
      </w:r>
      <w:r w:rsidR="00A253AD" w:rsidRPr="00457865">
        <w:rPr>
          <w:rFonts w:cstheme="minorHAnsi"/>
          <w:szCs w:val="24"/>
        </w:rPr>
        <w:t xml:space="preserve">For </w:t>
      </w:r>
      <w:r w:rsidR="00457865" w:rsidRPr="00457865">
        <w:rPr>
          <w:rFonts w:cstheme="minorHAnsi"/>
          <w:szCs w:val="24"/>
        </w:rPr>
        <w:t xml:space="preserve">leverage </w:t>
      </w:r>
      <w:r w:rsidR="00F46F88" w:rsidRPr="00457865">
        <w:rPr>
          <w:rFonts w:cstheme="minorHAnsi"/>
          <w:szCs w:val="24"/>
        </w:rPr>
        <w:t>resources</w:t>
      </w:r>
      <w:r w:rsidR="00457865" w:rsidRPr="00457865">
        <w:rPr>
          <w:rFonts w:cstheme="minorHAnsi"/>
          <w:szCs w:val="24"/>
        </w:rPr>
        <w:t xml:space="preserve">, </w:t>
      </w:r>
      <w:r w:rsidR="00A253AD" w:rsidRPr="00457865">
        <w:rPr>
          <w:rFonts w:cstheme="minorHAnsi"/>
          <w:szCs w:val="24"/>
        </w:rPr>
        <w:t xml:space="preserve">could </w:t>
      </w:r>
      <w:r w:rsidR="00457865" w:rsidRPr="00457865">
        <w:rPr>
          <w:rFonts w:cstheme="minorHAnsi"/>
          <w:szCs w:val="24"/>
        </w:rPr>
        <w:t>staff</w:t>
      </w:r>
      <w:r w:rsidR="00A253AD" w:rsidRPr="00457865">
        <w:rPr>
          <w:rFonts w:cstheme="minorHAnsi"/>
          <w:szCs w:val="24"/>
        </w:rPr>
        <w:t xml:space="preserve"> wages count?</w:t>
      </w:r>
    </w:p>
    <w:p w14:paraId="3812442D" w14:textId="77777777" w:rsidR="00A253AD" w:rsidRPr="00457865" w:rsidRDefault="00A253AD" w:rsidP="00A253AD">
      <w:pPr>
        <w:rPr>
          <w:rFonts w:cstheme="minorHAnsi"/>
          <w:szCs w:val="24"/>
        </w:rPr>
      </w:pPr>
    </w:p>
    <w:p w14:paraId="144B6D48" w14:textId="59C92110" w:rsidR="00A253AD" w:rsidRPr="00457865" w:rsidRDefault="00F46F88" w:rsidP="00A253AD">
      <w:pPr>
        <w:rPr>
          <w:rFonts w:cstheme="minorHAnsi"/>
          <w:szCs w:val="24"/>
        </w:rPr>
      </w:pPr>
      <w:r w:rsidRPr="00457865">
        <w:rPr>
          <w:rFonts w:cstheme="minorHAnsi"/>
          <w:szCs w:val="24"/>
        </w:rPr>
        <w:t>Yes,</w:t>
      </w:r>
      <w:r w:rsidR="00A253AD" w:rsidRPr="00457865">
        <w:rPr>
          <w:rFonts w:cstheme="minorHAnsi"/>
          <w:szCs w:val="24"/>
        </w:rPr>
        <w:t xml:space="preserve"> </w:t>
      </w:r>
      <w:r w:rsidR="00457865" w:rsidRPr="00457865">
        <w:rPr>
          <w:rFonts w:cstheme="minorHAnsi"/>
          <w:szCs w:val="24"/>
        </w:rPr>
        <w:t xml:space="preserve">program staff wages </w:t>
      </w:r>
      <w:r w:rsidR="00A253AD" w:rsidRPr="00457865">
        <w:rPr>
          <w:rFonts w:cstheme="minorHAnsi"/>
          <w:szCs w:val="24"/>
        </w:rPr>
        <w:t>count as a leverage</w:t>
      </w:r>
      <w:r w:rsidR="00631434">
        <w:rPr>
          <w:rFonts w:cstheme="minorHAnsi"/>
          <w:szCs w:val="24"/>
        </w:rPr>
        <w:t>d</w:t>
      </w:r>
      <w:r w:rsidR="00A253AD" w:rsidRPr="00457865">
        <w:rPr>
          <w:rFonts w:cstheme="minorHAnsi"/>
          <w:szCs w:val="24"/>
        </w:rPr>
        <w:t xml:space="preserve"> resource.</w:t>
      </w:r>
    </w:p>
    <w:p w14:paraId="02FD32CE" w14:textId="77777777" w:rsidR="00A253AD" w:rsidRPr="00457865" w:rsidRDefault="00A253AD" w:rsidP="00A253AD">
      <w:pPr>
        <w:rPr>
          <w:rFonts w:cstheme="minorHAnsi"/>
          <w:szCs w:val="24"/>
        </w:rPr>
      </w:pPr>
    </w:p>
    <w:p w14:paraId="56ABD2FA" w14:textId="5553FE47" w:rsidR="00A253AD" w:rsidRPr="00457865" w:rsidRDefault="00A253AD" w:rsidP="00A253AD">
      <w:pPr>
        <w:pStyle w:val="Heading1"/>
        <w:rPr>
          <w:rFonts w:cstheme="minorHAnsi"/>
          <w:szCs w:val="24"/>
        </w:rPr>
      </w:pPr>
      <w:r w:rsidRPr="00457865">
        <w:rPr>
          <w:rFonts w:cstheme="minorHAnsi"/>
          <w:szCs w:val="24"/>
        </w:rPr>
        <w:t>2</w:t>
      </w:r>
      <w:r w:rsidR="00457865" w:rsidRPr="00457865">
        <w:rPr>
          <w:rFonts w:cstheme="minorHAnsi"/>
          <w:szCs w:val="24"/>
        </w:rPr>
        <w:t>2</w:t>
      </w:r>
      <w:r w:rsidRPr="00457865">
        <w:rPr>
          <w:rFonts w:cstheme="minorHAnsi"/>
          <w:szCs w:val="24"/>
        </w:rPr>
        <w:t>. For Track 2, are partner organizations required?</w:t>
      </w:r>
    </w:p>
    <w:p w14:paraId="2940A68D" w14:textId="77777777" w:rsidR="00A253AD" w:rsidRPr="00457865" w:rsidRDefault="00A253AD" w:rsidP="00A253AD">
      <w:pPr>
        <w:rPr>
          <w:rFonts w:cstheme="minorHAnsi"/>
          <w:szCs w:val="24"/>
        </w:rPr>
      </w:pPr>
    </w:p>
    <w:p w14:paraId="5FD41523" w14:textId="3738B88D" w:rsidR="00A253AD" w:rsidRPr="00457865" w:rsidRDefault="00457865" w:rsidP="00457865">
      <w:pPr>
        <w:rPr>
          <w:rFonts w:cstheme="minorHAnsi"/>
          <w:szCs w:val="24"/>
        </w:rPr>
      </w:pPr>
      <w:r w:rsidRPr="00457865">
        <w:rPr>
          <w:rFonts w:cstheme="minorHAnsi"/>
          <w:szCs w:val="24"/>
        </w:rPr>
        <w:t>Successful applicants should use funding to partner with employers, farmworker-serving organizations, training providers, and other collaborators to address the needs of the agricultural workforce. This grant program seeks to create sustainable change by developing collaborative partnerships to design and test new strategies to support farmworkers’ career and wage growth.</w:t>
      </w:r>
    </w:p>
    <w:p w14:paraId="328E4CA4" w14:textId="44BDEA37" w:rsidR="00E23947" w:rsidRPr="00457865" w:rsidRDefault="00457865" w:rsidP="00E23947">
      <w:pPr>
        <w:rPr>
          <w:rFonts w:cstheme="minorHAnsi"/>
          <w:szCs w:val="24"/>
        </w:rPr>
      </w:pPr>
      <w:r w:rsidRPr="00457865">
        <w:rPr>
          <w:rFonts w:cstheme="minorHAnsi"/>
          <w:szCs w:val="24"/>
        </w:rPr>
        <w:t xml:space="preserve">For additional information reference </w:t>
      </w:r>
      <w:r w:rsidRPr="00457865">
        <w:rPr>
          <w:rFonts w:cstheme="minorHAnsi"/>
          <w:i/>
          <w:iCs/>
          <w:szCs w:val="24"/>
        </w:rPr>
        <w:t>Section 2.D. Collaboration and Strategic Partnerships</w:t>
      </w:r>
      <w:r w:rsidRPr="00457865">
        <w:rPr>
          <w:rFonts w:cstheme="minorHAnsi"/>
          <w:szCs w:val="24"/>
        </w:rPr>
        <w:t>, pages 11-12.</w:t>
      </w:r>
    </w:p>
    <w:sectPr w:rsidR="00E23947" w:rsidRPr="00457865" w:rsidSect="00A20493">
      <w:headerReference w:type="default" r:id="rId14"/>
      <w:footerReference w:type="default" r:id="rId15"/>
      <w:headerReference w:type="first" r:id="rId16"/>
      <w:footerReference w:type="first" r:id="rId17"/>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EE38" w14:textId="77777777" w:rsidR="00C5796D" w:rsidRDefault="00C5796D" w:rsidP="00C4619D">
      <w:r>
        <w:separator/>
      </w:r>
    </w:p>
  </w:endnote>
  <w:endnote w:type="continuationSeparator" w:id="0">
    <w:p w14:paraId="0F3B7D0F" w14:textId="77777777" w:rsidR="00C5796D" w:rsidRDefault="00C5796D" w:rsidP="00C4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1535" w14:textId="6CDA4F90" w:rsidR="006B0413" w:rsidRPr="00A20493" w:rsidRDefault="00FE308B" w:rsidP="006B0413">
    <w:pPr>
      <w:pStyle w:val="Footer"/>
      <w:rPr>
        <w:szCs w:val="24"/>
      </w:rPr>
    </w:pPr>
    <w:sdt>
      <w:sdtPr>
        <w:id w:val="2060745792"/>
        <w:docPartObj>
          <w:docPartGallery w:val="Page Numbers (Top of Page)"/>
          <w:docPartUnique/>
        </w:docPartObj>
      </w:sdtPr>
      <w:sdtEndPr>
        <w:rPr>
          <w:szCs w:val="24"/>
        </w:rPr>
      </w:sdtEndPr>
      <w:sdtContent>
        <w:r w:rsidR="00363DE9">
          <w:t>FAP</w:t>
        </w:r>
        <w:r w:rsidR="006B0413">
          <w:t xml:space="preserve"> </w:t>
        </w:r>
        <w:r w:rsidR="006B0413">
          <w:rPr>
            <w:szCs w:val="24"/>
          </w:rPr>
          <w:t>SFP PY 2</w:t>
        </w:r>
        <w:r w:rsidR="00631434">
          <w:rPr>
            <w:szCs w:val="24"/>
          </w:rPr>
          <w:t>4</w:t>
        </w:r>
        <w:r w:rsidR="006B0413" w:rsidRPr="00A20493">
          <w:rPr>
            <w:szCs w:val="24"/>
          </w:rPr>
          <w:t>-</w:t>
        </w:r>
        <w:r w:rsidR="006B0413">
          <w:rPr>
            <w:szCs w:val="24"/>
          </w:rPr>
          <w:t>2</w:t>
        </w:r>
        <w:r w:rsidR="00631434">
          <w:rPr>
            <w:szCs w:val="24"/>
          </w:rPr>
          <w:t>5</w:t>
        </w:r>
        <w:r w:rsidR="00DC6F0B">
          <w:rPr>
            <w:szCs w:val="24"/>
          </w:rPr>
          <w:t xml:space="preserve"> Q&amp;As</w:t>
        </w:r>
        <w:r w:rsidR="006B0413" w:rsidRPr="00A20493">
          <w:rPr>
            <w:szCs w:val="24"/>
          </w:rPr>
          <w:tab/>
          <w:t xml:space="preserve">Page </w:t>
        </w:r>
        <w:r w:rsidR="006B0413" w:rsidRPr="00A20493">
          <w:rPr>
            <w:bCs/>
            <w:szCs w:val="24"/>
          </w:rPr>
          <w:fldChar w:fldCharType="begin"/>
        </w:r>
        <w:r w:rsidR="006B0413" w:rsidRPr="00A20493">
          <w:rPr>
            <w:bCs/>
            <w:szCs w:val="24"/>
          </w:rPr>
          <w:instrText xml:space="preserve"> PAGE </w:instrText>
        </w:r>
        <w:r w:rsidR="006B0413" w:rsidRPr="00A20493">
          <w:rPr>
            <w:bCs/>
            <w:szCs w:val="24"/>
          </w:rPr>
          <w:fldChar w:fldCharType="separate"/>
        </w:r>
        <w:r w:rsidR="006B0413">
          <w:rPr>
            <w:bCs/>
            <w:szCs w:val="24"/>
          </w:rPr>
          <w:t>1</w:t>
        </w:r>
        <w:r w:rsidR="006B0413" w:rsidRPr="00A20493">
          <w:rPr>
            <w:bCs/>
            <w:szCs w:val="24"/>
          </w:rPr>
          <w:fldChar w:fldCharType="end"/>
        </w:r>
        <w:r w:rsidR="006B0413" w:rsidRPr="00A20493">
          <w:rPr>
            <w:szCs w:val="24"/>
          </w:rPr>
          <w:t xml:space="preserve"> of </w:t>
        </w:r>
        <w:r w:rsidR="006B0413" w:rsidRPr="00A20493">
          <w:rPr>
            <w:bCs/>
            <w:szCs w:val="24"/>
          </w:rPr>
          <w:fldChar w:fldCharType="begin"/>
        </w:r>
        <w:r w:rsidR="006B0413" w:rsidRPr="00A20493">
          <w:rPr>
            <w:bCs/>
            <w:szCs w:val="24"/>
          </w:rPr>
          <w:instrText xml:space="preserve"> NUMPAGES  </w:instrText>
        </w:r>
        <w:r w:rsidR="006B0413" w:rsidRPr="00A20493">
          <w:rPr>
            <w:bCs/>
            <w:szCs w:val="24"/>
          </w:rPr>
          <w:fldChar w:fldCharType="separate"/>
        </w:r>
        <w:r w:rsidR="006B0413">
          <w:rPr>
            <w:bCs/>
            <w:szCs w:val="24"/>
          </w:rPr>
          <w:t>6</w:t>
        </w:r>
        <w:r w:rsidR="006B0413" w:rsidRPr="00A20493">
          <w:rPr>
            <w:bCs/>
            <w:szCs w:val="24"/>
          </w:rPr>
          <w:fldChar w:fldCharType="end"/>
        </w:r>
        <w:r w:rsidR="006B0413" w:rsidRPr="00A20493">
          <w:rPr>
            <w:bCs/>
            <w:szCs w:val="24"/>
          </w:rPr>
          <w:t xml:space="preserve"> </w:t>
        </w:r>
        <w:r w:rsidR="006B0413">
          <w:rPr>
            <w:bCs/>
            <w:szCs w:val="24"/>
          </w:rPr>
          <w:tab/>
        </w:r>
        <w:r w:rsidR="003A7BFB">
          <w:rPr>
            <w:bCs/>
            <w:szCs w:val="24"/>
          </w:rPr>
          <w:t>November</w:t>
        </w:r>
        <w:r w:rsidR="006B0413">
          <w:rPr>
            <w:bCs/>
            <w:szCs w:val="24"/>
          </w:rPr>
          <w:t xml:space="preserve"> 202</w:t>
        </w:r>
        <w:r w:rsidR="00631434">
          <w:rPr>
            <w:bCs/>
            <w:szCs w:val="24"/>
          </w:rPr>
          <w:t>4</w:t>
        </w:r>
      </w:sdtContent>
    </w:sdt>
  </w:p>
  <w:p w14:paraId="2383EB9F" w14:textId="77777777" w:rsidR="006B0413" w:rsidRDefault="006B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9349" w14:textId="3997A133" w:rsidR="00A20493" w:rsidRPr="00A20493" w:rsidRDefault="00FE308B" w:rsidP="00A20493">
    <w:pPr>
      <w:pStyle w:val="Footer"/>
      <w:rPr>
        <w:szCs w:val="24"/>
      </w:rPr>
    </w:pPr>
    <w:sdt>
      <w:sdtPr>
        <w:id w:val="1728636285"/>
        <w:docPartObj>
          <w:docPartGallery w:val="Page Numbers (Top of Page)"/>
          <w:docPartUnique/>
        </w:docPartObj>
      </w:sdtPr>
      <w:sdtEndPr>
        <w:rPr>
          <w:szCs w:val="24"/>
        </w:rPr>
      </w:sdtEndPr>
      <w:sdtContent>
        <w:r w:rsidR="00363DE9">
          <w:t>FAP</w:t>
        </w:r>
        <w:r w:rsidR="00AD26CE">
          <w:t xml:space="preserve"> </w:t>
        </w:r>
        <w:r w:rsidR="00981B51">
          <w:rPr>
            <w:szCs w:val="24"/>
          </w:rPr>
          <w:t xml:space="preserve">SFP PY </w:t>
        </w:r>
        <w:r w:rsidR="006D0069">
          <w:rPr>
            <w:szCs w:val="24"/>
          </w:rPr>
          <w:t>2</w:t>
        </w:r>
        <w:r>
          <w:rPr>
            <w:szCs w:val="24"/>
          </w:rPr>
          <w:t>4-25 Q&amp;As</w:t>
        </w:r>
        <w:r w:rsidR="00A20493" w:rsidRPr="00A20493">
          <w:rPr>
            <w:szCs w:val="24"/>
          </w:rPr>
          <w:tab/>
          <w:t xml:space="preserve">Page </w:t>
        </w:r>
        <w:r w:rsidR="00A20493" w:rsidRPr="00A20493">
          <w:rPr>
            <w:bCs/>
            <w:szCs w:val="24"/>
          </w:rPr>
          <w:fldChar w:fldCharType="begin"/>
        </w:r>
        <w:r w:rsidR="00A20493" w:rsidRPr="00A20493">
          <w:rPr>
            <w:bCs/>
            <w:szCs w:val="24"/>
          </w:rPr>
          <w:instrText xml:space="preserve"> PAGE </w:instrText>
        </w:r>
        <w:r w:rsidR="00A20493" w:rsidRPr="00A20493">
          <w:rPr>
            <w:bCs/>
            <w:szCs w:val="24"/>
          </w:rPr>
          <w:fldChar w:fldCharType="separate"/>
        </w:r>
        <w:r w:rsidR="007A2BFD">
          <w:rPr>
            <w:bCs/>
            <w:noProof/>
            <w:szCs w:val="24"/>
          </w:rPr>
          <w:t>1</w:t>
        </w:r>
        <w:r w:rsidR="00A20493" w:rsidRPr="00A20493">
          <w:rPr>
            <w:bCs/>
            <w:szCs w:val="24"/>
          </w:rPr>
          <w:fldChar w:fldCharType="end"/>
        </w:r>
        <w:r w:rsidR="00A20493" w:rsidRPr="00A20493">
          <w:rPr>
            <w:szCs w:val="24"/>
          </w:rPr>
          <w:t xml:space="preserve"> of </w:t>
        </w:r>
        <w:r w:rsidR="00A20493" w:rsidRPr="00A20493">
          <w:rPr>
            <w:bCs/>
            <w:szCs w:val="24"/>
          </w:rPr>
          <w:fldChar w:fldCharType="begin"/>
        </w:r>
        <w:r w:rsidR="00A20493" w:rsidRPr="00A20493">
          <w:rPr>
            <w:bCs/>
            <w:szCs w:val="24"/>
          </w:rPr>
          <w:instrText xml:space="preserve"> NUMPAGES  </w:instrText>
        </w:r>
        <w:r w:rsidR="00A20493" w:rsidRPr="00A20493">
          <w:rPr>
            <w:bCs/>
            <w:szCs w:val="24"/>
          </w:rPr>
          <w:fldChar w:fldCharType="separate"/>
        </w:r>
        <w:r w:rsidR="007A2BFD">
          <w:rPr>
            <w:bCs/>
            <w:noProof/>
            <w:szCs w:val="24"/>
          </w:rPr>
          <w:t>1</w:t>
        </w:r>
        <w:r w:rsidR="00A20493" w:rsidRPr="00A20493">
          <w:rPr>
            <w:bCs/>
            <w:szCs w:val="24"/>
          </w:rPr>
          <w:fldChar w:fldCharType="end"/>
        </w:r>
        <w:r w:rsidR="00A20493" w:rsidRPr="00A20493">
          <w:rPr>
            <w:bCs/>
            <w:szCs w:val="24"/>
          </w:rPr>
          <w:t xml:space="preserve"> </w:t>
        </w:r>
        <w:r w:rsidR="00A20493">
          <w:rPr>
            <w:bCs/>
            <w:szCs w:val="24"/>
          </w:rPr>
          <w:tab/>
        </w:r>
        <w:r w:rsidR="003A7BFB">
          <w:rPr>
            <w:bCs/>
            <w:szCs w:val="24"/>
          </w:rPr>
          <w:t>November</w:t>
        </w:r>
        <w:r w:rsidR="00AD26CE">
          <w:rPr>
            <w:bCs/>
            <w:szCs w:val="24"/>
          </w:rPr>
          <w:t xml:space="preserve"> 202</w:t>
        </w:r>
        <w:r>
          <w:rPr>
            <w:bCs/>
            <w:szCs w:val="24"/>
          </w:rPr>
          <w:t>4</w:t>
        </w:r>
      </w:sdtContent>
    </w:sdt>
  </w:p>
  <w:p w14:paraId="34BD934A" w14:textId="77777777" w:rsidR="00A20493" w:rsidRDefault="00A2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B564" w14:textId="77777777" w:rsidR="00C5796D" w:rsidRDefault="00C5796D" w:rsidP="00C4619D">
      <w:r>
        <w:separator/>
      </w:r>
    </w:p>
  </w:footnote>
  <w:footnote w:type="continuationSeparator" w:id="0">
    <w:p w14:paraId="564C5732" w14:textId="77777777" w:rsidR="00C5796D" w:rsidRDefault="00C5796D" w:rsidP="00C4619D">
      <w:r>
        <w:continuationSeparator/>
      </w:r>
    </w:p>
  </w:footnote>
  <w:footnote w:id="1">
    <w:p w14:paraId="47437951" w14:textId="13DABC2E" w:rsidR="00FA3A89" w:rsidRPr="00224E9B" w:rsidRDefault="00FA3A89" w:rsidP="00FA3A89">
      <w:pPr>
        <w:pStyle w:val="FootnoteText"/>
        <w:rPr>
          <w:rFonts w:ascii="Calibri" w:hAnsi="Calibri" w:cs="Calibri"/>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9342" w14:textId="77777777" w:rsidR="00EB620C" w:rsidRDefault="00EB620C" w:rsidP="00DF7D10">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78"/>
      <w:gridCol w:w="7246"/>
    </w:tblGrid>
    <w:tr w:rsidR="00A20493" w14:paraId="34BD9347" w14:textId="77777777">
      <w:tc>
        <w:tcPr>
          <w:tcW w:w="2785" w:type="dxa"/>
        </w:tcPr>
        <w:p w14:paraId="34BD9343" w14:textId="77777777" w:rsidR="00A20493" w:rsidRDefault="00A20493" w:rsidP="00A20493">
          <w:pPr>
            <w:pStyle w:val="Header"/>
          </w:pPr>
          <w:r>
            <w:rPr>
              <w:noProof/>
            </w:rPr>
            <w:drawing>
              <wp:inline distT="0" distB="0" distL="0" distR="0" wp14:anchorId="34BD934B" wp14:editId="34BD934C">
                <wp:extent cx="1753974" cy="638175"/>
                <wp:effectExtent l="0" t="0" r="0" b="0"/>
                <wp:docPr id="2" name="Picture 2" descr="EDD, Employment Development Department, State of California" title="Employment Development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995" cy="638910"/>
                        </a:xfrm>
                        <a:prstGeom prst="rect">
                          <a:avLst/>
                        </a:prstGeom>
                        <a:noFill/>
                      </pic:spPr>
                    </pic:pic>
                  </a:graphicData>
                </a:graphic>
              </wp:inline>
            </w:drawing>
          </w:r>
        </w:p>
      </w:tc>
      <w:tc>
        <w:tcPr>
          <w:tcW w:w="7429" w:type="dxa"/>
        </w:tcPr>
        <w:p w14:paraId="34BD9344" w14:textId="2ED2F24E" w:rsidR="00A20493" w:rsidRDefault="00363DE9" w:rsidP="00A20493">
          <w:pPr>
            <w:pStyle w:val="Header"/>
            <w:rPr>
              <w:rFonts w:cstheme="minorHAnsi"/>
              <w:b/>
              <w:color w:val="1F4E79" w:themeColor="accent1" w:themeShade="80"/>
              <w:sz w:val="28"/>
              <w:szCs w:val="28"/>
            </w:rPr>
          </w:pPr>
          <w:r>
            <w:rPr>
              <w:rFonts w:cstheme="minorHAnsi"/>
              <w:b/>
              <w:color w:val="1F4E79" w:themeColor="accent1" w:themeShade="80"/>
              <w:sz w:val="28"/>
              <w:szCs w:val="28"/>
            </w:rPr>
            <w:t>Farmworkers Advancement Program</w:t>
          </w:r>
        </w:p>
        <w:p w14:paraId="34BD9345" w14:textId="77777777" w:rsidR="00C76E65" w:rsidRPr="00DF7D10" w:rsidRDefault="00C76E65" w:rsidP="00A20493">
          <w:pPr>
            <w:pStyle w:val="Header"/>
            <w:rPr>
              <w:rFonts w:cstheme="minorHAnsi"/>
              <w:b/>
              <w:color w:val="1F4E79" w:themeColor="accent1" w:themeShade="80"/>
              <w:sz w:val="28"/>
              <w:szCs w:val="28"/>
            </w:rPr>
          </w:pPr>
          <w:r>
            <w:rPr>
              <w:rFonts w:cstheme="minorHAnsi"/>
              <w:b/>
              <w:color w:val="1F4E79" w:themeColor="accent1" w:themeShade="80"/>
              <w:sz w:val="28"/>
              <w:szCs w:val="28"/>
            </w:rPr>
            <w:t>Solicitation for Proposals</w:t>
          </w:r>
        </w:p>
        <w:p w14:paraId="34BD9346" w14:textId="1C8DB914" w:rsidR="00A20493" w:rsidRDefault="00A20493" w:rsidP="00A20493">
          <w:pPr>
            <w:pStyle w:val="Header"/>
          </w:pPr>
          <w:r w:rsidRPr="00DF7D10">
            <w:rPr>
              <w:rFonts w:cstheme="minorHAnsi"/>
              <w:b/>
              <w:color w:val="1F4E79" w:themeColor="accent1" w:themeShade="80"/>
              <w:sz w:val="28"/>
              <w:szCs w:val="28"/>
            </w:rPr>
            <w:t>P</w:t>
          </w:r>
          <w:r w:rsidR="00635F03">
            <w:rPr>
              <w:rFonts w:cstheme="minorHAnsi"/>
              <w:b/>
              <w:color w:val="1F4E79" w:themeColor="accent1" w:themeShade="80"/>
              <w:sz w:val="28"/>
              <w:szCs w:val="28"/>
            </w:rPr>
            <w:t xml:space="preserve">rogram </w:t>
          </w:r>
          <w:r w:rsidRPr="00DF7D10">
            <w:rPr>
              <w:rFonts w:cstheme="minorHAnsi"/>
              <w:b/>
              <w:color w:val="1F4E79" w:themeColor="accent1" w:themeShade="80"/>
              <w:sz w:val="28"/>
              <w:szCs w:val="28"/>
            </w:rPr>
            <w:t>Y</w:t>
          </w:r>
          <w:r w:rsidR="00635F03">
            <w:rPr>
              <w:rFonts w:cstheme="minorHAnsi"/>
              <w:b/>
              <w:color w:val="1F4E79" w:themeColor="accent1" w:themeShade="80"/>
              <w:sz w:val="28"/>
              <w:szCs w:val="28"/>
            </w:rPr>
            <w:t>ear</w:t>
          </w:r>
          <w:r w:rsidRPr="00DF7D10">
            <w:rPr>
              <w:rFonts w:cstheme="minorHAnsi"/>
              <w:b/>
              <w:color w:val="1F4E79" w:themeColor="accent1" w:themeShade="80"/>
              <w:sz w:val="28"/>
              <w:szCs w:val="28"/>
            </w:rPr>
            <w:t xml:space="preserve"> </w:t>
          </w:r>
          <w:r w:rsidR="006D0069">
            <w:rPr>
              <w:rFonts w:cstheme="minorHAnsi"/>
              <w:b/>
              <w:color w:val="1F4E79" w:themeColor="accent1" w:themeShade="80"/>
              <w:sz w:val="28"/>
              <w:szCs w:val="28"/>
            </w:rPr>
            <w:t>202</w:t>
          </w:r>
          <w:r w:rsidR="008A30B2">
            <w:rPr>
              <w:rFonts w:cstheme="minorHAnsi"/>
              <w:b/>
              <w:color w:val="1F4E79" w:themeColor="accent1" w:themeShade="80"/>
              <w:sz w:val="28"/>
              <w:szCs w:val="28"/>
            </w:rPr>
            <w:t>4</w:t>
          </w:r>
          <w:r w:rsidR="006D0069">
            <w:rPr>
              <w:rFonts w:cstheme="minorHAnsi"/>
              <w:b/>
              <w:color w:val="1F4E79" w:themeColor="accent1" w:themeShade="80"/>
              <w:sz w:val="28"/>
              <w:szCs w:val="28"/>
            </w:rPr>
            <w:t>-2</w:t>
          </w:r>
          <w:r w:rsidR="008A30B2">
            <w:rPr>
              <w:rFonts w:cstheme="minorHAnsi"/>
              <w:b/>
              <w:color w:val="1F4E79" w:themeColor="accent1" w:themeShade="80"/>
              <w:sz w:val="28"/>
              <w:szCs w:val="28"/>
            </w:rPr>
            <w:t>5</w:t>
          </w:r>
        </w:p>
      </w:tc>
    </w:tr>
  </w:tbl>
  <w:p w14:paraId="34BD9348" w14:textId="77777777" w:rsidR="00A20493" w:rsidRPr="00A20493" w:rsidRDefault="00A20493" w:rsidP="00A20493">
    <w:pPr>
      <w:pStyle w:val="Header"/>
      <w:pBdr>
        <w:bottom w:val="single" w:sz="4" w:space="1" w:color="auto"/>
      </w:pBd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95808"/>
    <w:multiLevelType w:val="multilevel"/>
    <w:tmpl w:val="EF84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E74CA"/>
    <w:multiLevelType w:val="hybridMultilevel"/>
    <w:tmpl w:val="6DFE2A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F286934"/>
    <w:multiLevelType w:val="hybridMultilevel"/>
    <w:tmpl w:val="6A107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F339BE"/>
    <w:multiLevelType w:val="hybridMultilevel"/>
    <w:tmpl w:val="B8A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D2CDA"/>
    <w:multiLevelType w:val="hybridMultilevel"/>
    <w:tmpl w:val="ACAA76A6"/>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CDF1728"/>
    <w:multiLevelType w:val="hybridMultilevel"/>
    <w:tmpl w:val="652E3232"/>
    <w:lvl w:ilvl="0" w:tplc="2ED06E8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3759F"/>
    <w:multiLevelType w:val="hybridMultilevel"/>
    <w:tmpl w:val="46A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329C7"/>
    <w:multiLevelType w:val="hybridMultilevel"/>
    <w:tmpl w:val="BBE858EE"/>
    <w:lvl w:ilvl="0" w:tplc="CC3479B0">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F5509"/>
    <w:multiLevelType w:val="hybridMultilevel"/>
    <w:tmpl w:val="8B08223E"/>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218791">
    <w:abstractNumId w:val="6"/>
  </w:num>
  <w:num w:numId="2" w16cid:durableId="1276405098">
    <w:abstractNumId w:val="5"/>
  </w:num>
  <w:num w:numId="3" w16cid:durableId="1771044936">
    <w:abstractNumId w:val="4"/>
  </w:num>
  <w:num w:numId="4" w16cid:durableId="695666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079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068416">
    <w:abstractNumId w:val="2"/>
  </w:num>
  <w:num w:numId="7" w16cid:durableId="1148936398">
    <w:abstractNumId w:val="7"/>
  </w:num>
  <w:num w:numId="8" w16cid:durableId="1677535536">
    <w:abstractNumId w:val="8"/>
  </w:num>
  <w:num w:numId="9" w16cid:durableId="2014721931">
    <w:abstractNumId w:val="3"/>
  </w:num>
  <w:num w:numId="10" w16cid:durableId="245648504">
    <w:abstractNumId w:val="0"/>
  </w:num>
  <w:num w:numId="11" w16cid:durableId="312098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jIysLA0NTA3NDFR0lEKTi0uzszPAykwNK4FAN72zJAtAAAA"/>
  </w:docVars>
  <w:rsids>
    <w:rsidRoot w:val="00C4619D"/>
    <w:rsid w:val="0001155C"/>
    <w:rsid w:val="00011FF6"/>
    <w:rsid w:val="00014A32"/>
    <w:rsid w:val="00024496"/>
    <w:rsid w:val="00033C19"/>
    <w:rsid w:val="000351A3"/>
    <w:rsid w:val="00047FEB"/>
    <w:rsid w:val="0005733A"/>
    <w:rsid w:val="00061B9E"/>
    <w:rsid w:val="00063836"/>
    <w:rsid w:val="0006465F"/>
    <w:rsid w:val="00064B6E"/>
    <w:rsid w:val="00070957"/>
    <w:rsid w:val="00077074"/>
    <w:rsid w:val="00080B61"/>
    <w:rsid w:val="000868F5"/>
    <w:rsid w:val="000907CE"/>
    <w:rsid w:val="00096466"/>
    <w:rsid w:val="000A7E79"/>
    <w:rsid w:val="000C1C7E"/>
    <w:rsid w:val="000D27DB"/>
    <w:rsid w:val="000D41F4"/>
    <w:rsid w:val="000D5A07"/>
    <w:rsid w:val="000D66FA"/>
    <w:rsid w:val="000E2884"/>
    <w:rsid w:val="000E306E"/>
    <w:rsid w:val="00100C8E"/>
    <w:rsid w:val="0010159D"/>
    <w:rsid w:val="00102F32"/>
    <w:rsid w:val="00112DDD"/>
    <w:rsid w:val="00117620"/>
    <w:rsid w:val="001240FB"/>
    <w:rsid w:val="001424BC"/>
    <w:rsid w:val="0015040E"/>
    <w:rsid w:val="0016389F"/>
    <w:rsid w:val="00166463"/>
    <w:rsid w:val="0017715C"/>
    <w:rsid w:val="0018397F"/>
    <w:rsid w:val="00184425"/>
    <w:rsid w:val="00193521"/>
    <w:rsid w:val="001A419E"/>
    <w:rsid w:val="001A42C3"/>
    <w:rsid w:val="001B4B18"/>
    <w:rsid w:val="001D7C1A"/>
    <w:rsid w:val="001F3A50"/>
    <w:rsid w:val="001F5C62"/>
    <w:rsid w:val="001F6792"/>
    <w:rsid w:val="00207337"/>
    <w:rsid w:val="0021003B"/>
    <w:rsid w:val="00216136"/>
    <w:rsid w:val="002241D7"/>
    <w:rsid w:val="00230165"/>
    <w:rsid w:val="00233C68"/>
    <w:rsid w:val="00243E97"/>
    <w:rsid w:val="00254D65"/>
    <w:rsid w:val="002655E3"/>
    <w:rsid w:val="00270647"/>
    <w:rsid w:val="0027732C"/>
    <w:rsid w:val="002825AF"/>
    <w:rsid w:val="00291474"/>
    <w:rsid w:val="0029566A"/>
    <w:rsid w:val="00295C6E"/>
    <w:rsid w:val="002A49F5"/>
    <w:rsid w:val="002A54ED"/>
    <w:rsid w:val="002C59C1"/>
    <w:rsid w:val="002D636F"/>
    <w:rsid w:val="002E12B0"/>
    <w:rsid w:val="002E1426"/>
    <w:rsid w:val="002E225C"/>
    <w:rsid w:val="002F1B40"/>
    <w:rsid w:val="002F63E3"/>
    <w:rsid w:val="00330230"/>
    <w:rsid w:val="00331BF6"/>
    <w:rsid w:val="0034685C"/>
    <w:rsid w:val="00363DE9"/>
    <w:rsid w:val="00380DD6"/>
    <w:rsid w:val="00383678"/>
    <w:rsid w:val="0038630F"/>
    <w:rsid w:val="00387204"/>
    <w:rsid w:val="00392800"/>
    <w:rsid w:val="003A1359"/>
    <w:rsid w:val="003A1E24"/>
    <w:rsid w:val="003A6798"/>
    <w:rsid w:val="003A7BFB"/>
    <w:rsid w:val="003B43BB"/>
    <w:rsid w:val="003B4A65"/>
    <w:rsid w:val="003B60F7"/>
    <w:rsid w:val="003C4722"/>
    <w:rsid w:val="003D21B4"/>
    <w:rsid w:val="003D74DE"/>
    <w:rsid w:val="003E746B"/>
    <w:rsid w:val="003F24E9"/>
    <w:rsid w:val="003F4960"/>
    <w:rsid w:val="003F52C1"/>
    <w:rsid w:val="004152B5"/>
    <w:rsid w:val="004255B2"/>
    <w:rsid w:val="00437008"/>
    <w:rsid w:val="0045564E"/>
    <w:rsid w:val="00456691"/>
    <w:rsid w:val="00457865"/>
    <w:rsid w:val="00465C12"/>
    <w:rsid w:val="00485B57"/>
    <w:rsid w:val="00486070"/>
    <w:rsid w:val="004A6B20"/>
    <w:rsid w:val="004B4D7D"/>
    <w:rsid w:val="004C1F85"/>
    <w:rsid w:val="004C54B7"/>
    <w:rsid w:val="004C7838"/>
    <w:rsid w:val="004C7A9D"/>
    <w:rsid w:val="004D2C52"/>
    <w:rsid w:val="004D2FA8"/>
    <w:rsid w:val="004D4E7D"/>
    <w:rsid w:val="004E5383"/>
    <w:rsid w:val="004F2B3F"/>
    <w:rsid w:val="004F5248"/>
    <w:rsid w:val="004F6E44"/>
    <w:rsid w:val="005036ED"/>
    <w:rsid w:val="00525944"/>
    <w:rsid w:val="0053318B"/>
    <w:rsid w:val="00533F48"/>
    <w:rsid w:val="005428A4"/>
    <w:rsid w:val="00556885"/>
    <w:rsid w:val="0056283E"/>
    <w:rsid w:val="005672DE"/>
    <w:rsid w:val="00574CC7"/>
    <w:rsid w:val="005828C4"/>
    <w:rsid w:val="00583C58"/>
    <w:rsid w:val="005B7443"/>
    <w:rsid w:val="005C1ED9"/>
    <w:rsid w:val="005C4514"/>
    <w:rsid w:val="005C50CC"/>
    <w:rsid w:val="005E57E5"/>
    <w:rsid w:val="005F27A8"/>
    <w:rsid w:val="005F500A"/>
    <w:rsid w:val="00602392"/>
    <w:rsid w:val="00603577"/>
    <w:rsid w:val="0060671C"/>
    <w:rsid w:val="00606A66"/>
    <w:rsid w:val="00614C7B"/>
    <w:rsid w:val="0061565F"/>
    <w:rsid w:val="00624971"/>
    <w:rsid w:val="00631434"/>
    <w:rsid w:val="00635F03"/>
    <w:rsid w:val="0063751D"/>
    <w:rsid w:val="0065257F"/>
    <w:rsid w:val="006736D1"/>
    <w:rsid w:val="006740D3"/>
    <w:rsid w:val="00686543"/>
    <w:rsid w:val="00693DDF"/>
    <w:rsid w:val="006A3FCD"/>
    <w:rsid w:val="006A609C"/>
    <w:rsid w:val="006B0413"/>
    <w:rsid w:val="006B251C"/>
    <w:rsid w:val="006B415E"/>
    <w:rsid w:val="006B6A0B"/>
    <w:rsid w:val="006D0069"/>
    <w:rsid w:val="006D1667"/>
    <w:rsid w:val="006D51B5"/>
    <w:rsid w:val="006F2D42"/>
    <w:rsid w:val="00704B8C"/>
    <w:rsid w:val="0071078A"/>
    <w:rsid w:val="00712B5B"/>
    <w:rsid w:val="00716669"/>
    <w:rsid w:val="007272E8"/>
    <w:rsid w:val="0073382C"/>
    <w:rsid w:val="00733D79"/>
    <w:rsid w:val="00741E5C"/>
    <w:rsid w:val="007467FA"/>
    <w:rsid w:val="007538F6"/>
    <w:rsid w:val="00756427"/>
    <w:rsid w:val="007607FD"/>
    <w:rsid w:val="00771FA8"/>
    <w:rsid w:val="00790155"/>
    <w:rsid w:val="00794C3F"/>
    <w:rsid w:val="0079681F"/>
    <w:rsid w:val="007A2BFD"/>
    <w:rsid w:val="007B06AB"/>
    <w:rsid w:val="007C0F9E"/>
    <w:rsid w:val="007D2D06"/>
    <w:rsid w:val="007D3711"/>
    <w:rsid w:val="007F6824"/>
    <w:rsid w:val="008061A0"/>
    <w:rsid w:val="00814F1F"/>
    <w:rsid w:val="00817B62"/>
    <w:rsid w:val="008422DD"/>
    <w:rsid w:val="00860A98"/>
    <w:rsid w:val="00861DD5"/>
    <w:rsid w:val="008757F0"/>
    <w:rsid w:val="008909EA"/>
    <w:rsid w:val="008A2287"/>
    <w:rsid w:val="008A30B2"/>
    <w:rsid w:val="008C65D7"/>
    <w:rsid w:val="008C7C55"/>
    <w:rsid w:val="00900C04"/>
    <w:rsid w:val="00902085"/>
    <w:rsid w:val="00922A5D"/>
    <w:rsid w:val="0093064F"/>
    <w:rsid w:val="00935F8C"/>
    <w:rsid w:val="009377AA"/>
    <w:rsid w:val="00943137"/>
    <w:rsid w:val="009470D6"/>
    <w:rsid w:val="00957BB4"/>
    <w:rsid w:val="009632DF"/>
    <w:rsid w:val="0097322C"/>
    <w:rsid w:val="00981B51"/>
    <w:rsid w:val="00983499"/>
    <w:rsid w:val="009A21EF"/>
    <w:rsid w:val="009D749D"/>
    <w:rsid w:val="009E1A7B"/>
    <w:rsid w:val="009F7A09"/>
    <w:rsid w:val="00A03350"/>
    <w:rsid w:val="00A11416"/>
    <w:rsid w:val="00A141D9"/>
    <w:rsid w:val="00A20493"/>
    <w:rsid w:val="00A21A8C"/>
    <w:rsid w:val="00A21B60"/>
    <w:rsid w:val="00A253AD"/>
    <w:rsid w:val="00A311B3"/>
    <w:rsid w:val="00A35FD6"/>
    <w:rsid w:val="00A53A4A"/>
    <w:rsid w:val="00A676CF"/>
    <w:rsid w:val="00A73267"/>
    <w:rsid w:val="00A753B5"/>
    <w:rsid w:val="00A86DD1"/>
    <w:rsid w:val="00A87723"/>
    <w:rsid w:val="00AC3D73"/>
    <w:rsid w:val="00AD26CE"/>
    <w:rsid w:val="00AD7AC5"/>
    <w:rsid w:val="00AE7A8C"/>
    <w:rsid w:val="00AF6711"/>
    <w:rsid w:val="00B1761A"/>
    <w:rsid w:val="00B2569B"/>
    <w:rsid w:val="00B34956"/>
    <w:rsid w:val="00B37BB7"/>
    <w:rsid w:val="00B411BE"/>
    <w:rsid w:val="00B44FC5"/>
    <w:rsid w:val="00B61E64"/>
    <w:rsid w:val="00B63C30"/>
    <w:rsid w:val="00B65953"/>
    <w:rsid w:val="00B7712E"/>
    <w:rsid w:val="00B775DE"/>
    <w:rsid w:val="00B808CB"/>
    <w:rsid w:val="00B82125"/>
    <w:rsid w:val="00B9184A"/>
    <w:rsid w:val="00B978C8"/>
    <w:rsid w:val="00BB4329"/>
    <w:rsid w:val="00BC356A"/>
    <w:rsid w:val="00BF4997"/>
    <w:rsid w:val="00BF7C9C"/>
    <w:rsid w:val="00BF7E4A"/>
    <w:rsid w:val="00C00884"/>
    <w:rsid w:val="00C117AC"/>
    <w:rsid w:val="00C11BA3"/>
    <w:rsid w:val="00C13AF3"/>
    <w:rsid w:val="00C3531A"/>
    <w:rsid w:val="00C430C8"/>
    <w:rsid w:val="00C4619D"/>
    <w:rsid w:val="00C53531"/>
    <w:rsid w:val="00C5796D"/>
    <w:rsid w:val="00C61F3C"/>
    <w:rsid w:val="00C76E65"/>
    <w:rsid w:val="00C77556"/>
    <w:rsid w:val="00C822CB"/>
    <w:rsid w:val="00C864F3"/>
    <w:rsid w:val="00C975A2"/>
    <w:rsid w:val="00CA2F69"/>
    <w:rsid w:val="00CB0FC2"/>
    <w:rsid w:val="00CC019F"/>
    <w:rsid w:val="00CC3423"/>
    <w:rsid w:val="00CD5911"/>
    <w:rsid w:val="00CE0CB8"/>
    <w:rsid w:val="00CE165B"/>
    <w:rsid w:val="00CE339D"/>
    <w:rsid w:val="00D00615"/>
    <w:rsid w:val="00D130CF"/>
    <w:rsid w:val="00D20AFB"/>
    <w:rsid w:val="00D3262E"/>
    <w:rsid w:val="00D441D6"/>
    <w:rsid w:val="00D44DDA"/>
    <w:rsid w:val="00D53E91"/>
    <w:rsid w:val="00D61058"/>
    <w:rsid w:val="00D71FD0"/>
    <w:rsid w:val="00D7273E"/>
    <w:rsid w:val="00DB1930"/>
    <w:rsid w:val="00DC4413"/>
    <w:rsid w:val="00DC6F0B"/>
    <w:rsid w:val="00DD5A7C"/>
    <w:rsid w:val="00DE1873"/>
    <w:rsid w:val="00DF7D10"/>
    <w:rsid w:val="00E00ACF"/>
    <w:rsid w:val="00E2177D"/>
    <w:rsid w:val="00E23947"/>
    <w:rsid w:val="00E23A28"/>
    <w:rsid w:val="00E24E86"/>
    <w:rsid w:val="00E40708"/>
    <w:rsid w:val="00E45381"/>
    <w:rsid w:val="00E52A71"/>
    <w:rsid w:val="00E53643"/>
    <w:rsid w:val="00E53985"/>
    <w:rsid w:val="00E62748"/>
    <w:rsid w:val="00E81F29"/>
    <w:rsid w:val="00E82C02"/>
    <w:rsid w:val="00EA22D1"/>
    <w:rsid w:val="00EA436A"/>
    <w:rsid w:val="00EB620C"/>
    <w:rsid w:val="00EC1EEC"/>
    <w:rsid w:val="00EE6F6A"/>
    <w:rsid w:val="00EF5CDC"/>
    <w:rsid w:val="00F00A7E"/>
    <w:rsid w:val="00F24D65"/>
    <w:rsid w:val="00F25172"/>
    <w:rsid w:val="00F3340C"/>
    <w:rsid w:val="00F46F88"/>
    <w:rsid w:val="00F514C6"/>
    <w:rsid w:val="00F56318"/>
    <w:rsid w:val="00F80433"/>
    <w:rsid w:val="00F81011"/>
    <w:rsid w:val="00F8144E"/>
    <w:rsid w:val="00F87B09"/>
    <w:rsid w:val="00F9199D"/>
    <w:rsid w:val="00F9480C"/>
    <w:rsid w:val="00FA3A89"/>
    <w:rsid w:val="00FA49D8"/>
    <w:rsid w:val="00FA5D01"/>
    <w:rsid w:val="00FA664B"/>
    <w:rsid w:val="00FA7522"/>
    <w:rsid w:val="00FB67AA"/>
    <w:rsid w:val="00FD56D3"/>
    <w:rsid w:val="00FE11C7"/>
    <w:rsid w:val="00FE308B"/>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D931E"/>
  <w15:chartTrackingRefBased/>
  <w15:docId w15:val="{772A5BFF-1B30-4E94-AFE8-E6646DC3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AA"/>
    <w:rPr>
      <w:sz w:val="24"/>
    </w:rPr>
  </w:style>
  <w:style w:type="paragraph" w:styleId="Heading1">
    <w:name w:val="heading 1"/>
    <w:basedOn w:val="Normal"/>
    <w:next w:val="Normal"/>
    <w:link w:val="Heading1Char"/>
    <w:uiPriority w:val="9"/>
    <w:qFormat/>
    <w:rsid w:val="00F24D65"/>
    <w:pPr>
      <w:outlineLvl w:val="0"/>
    </w:pPr>
    <w:rPr>
      <w:b/>
      <w:color w:val="000000" w:themeColor="text1"/>
      <w:szCs w:val="28"/>
    </w:rPr>
  </w:style>
  <w:style w:type="paragraph" w:styleId="Heading2">
    <w:name w:val="heading 2"/>
    <w:basedOn w:val="Normal"/>
    <w:next w:val="Normal"/>
    <w:link w:val="Heading2Char"/>
    <w:uiPriority w:val="9"/>
    <w:unhideWhenUsed/>
    <w:qFormat/>
    <w:rsid w:val="008A2287"/>
    <w:pPr>
      <w:outlineLvl w:val="1"/>
    </w:pPr>
    <w:rPr>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C4619D"/>
    <w:rPr>
      <w:color w:val="0563C1" w:themeColor="hyperlink"/>
      <w:u w:val="single"/>
    </w:rPr>
  </w:style>
  <w:style w:type="paragraph" w:styleId="BalloonText">
    <w:name w:val="Balloon Text"/>
    <w:basedOn w:val="Normal"/>
    <w:link w:val="BalloonTextChar"/>
    <w:uiPriority w:val="99"/>
    <w:semiHidden/>
    <w:unhideWhenUsed/>
    <w:rsid w:val="00C46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F24D65"/>
    <w:rPr>
      <w:b/>
      <w:color w:val="000000" w:themeColor="text1"/>
      <w:sz w:val="24"/>
      <w:szCs w:val="28"/>
    </w:rPr>
  </w:style>
  <w:style w:type="character" w:customStyle="1" w:styleId="Heading2Char">
    <w:name w:val="Heading 2 Char"/>
    <w:basedOn w:val="DefaultParagraphFont"/>
    <w:link w:val="Heading2"/>
    <w:uiPriority w:val="9"/>
    <w:rsid w:val="008A2287"/>
    <w:rPr>
      <w:i/>
      <w:sz w:val="26"/>
      <w:szCs w:val="24"/>
    </w:rPr>
  </w:style>
  <w:style w:type="paragraph" w:styleId="ListParagraph">
    <w:name w:val="List Paragraph"/>
    <w:basedOn w:val="Normal"/>
    <w:uiPriority w:val="34"/>
    <w:qFormat/>
    <w:rsid w:val="00C77556"/>
    <w:pPr>
      <w:ind w:left="720"/>
      <w:contextualSpacing/>
    </w:pPr>
  </w:style>
  <w:style w:type="paragraph" w:styleId="CommentText">
    <w:name w:val="annotation text"/>
    <w:basedOn w:val="Normal"/>
    <w:link w:val="CommentTextChar"/>
    <w:uiPriority w:val="99"/>
    <w:unhideWhenUsed/>
    <w:rsid w:val="006D0069"/>
    <w:rPr>
      <w:sz w:val="20"/>
      <w:szCs w:val="20"/>
    </w:rPr>
  </w:style>
  <w:style w:type="character" w:customStyle="1" w:styleId="CommentTextChar">
    <w:name w:val="Comment Text Char"/>
    <w:basedOn w:val="DefaultParagraphFont"/>
    <w:link w:val="CommentText"/>
    <w:uiPriority w:val="99"/>
    <w:rsid w:val="006D0069"/>
    <w:rPr>
      <w:sz w:val="20"/>
      <w:szCs w:val="20"/>
    </w:rPr>
  </w:style>
  <w:style w:type="character" w:styleId="CommentReference">
    <w:name w:val="annotation reference"/>
    <w:basedOn w:val="DefaultParagraphFont"/>
    <w:uiPriority w:val="99"/>
    <w:semiHidden/>
    <w:unhideWhenUsed/>
    <w:rsid w:val="005828C4"/>
    <w:rPr>
      <w:sz w:val="16"/>
      <w:szCs w:val="16"/>
    </w:rPr>
  </w:style>
  <w:style w:type="paragraph" w:styleId="CommentSubject">
    <w:name w:val="annotation subject"/>
    <w:basedOn w:val="CommentText"/>
    <w:next w:val="CommentText"/>
    <w:link w:val="CommentSubjectChar"/>
    <w:uiPriority w:val="99"/>
    <w:semiHidden/>
    <w:unhideWhenUsed/>
    <w:rsid w:val="005828C4"/>
    <w:rPr>
      <w:b/>
      <w:bCs/>
    </w:rPr>
  </w:style>
  <w:style w:type="character" w:customStyle="1" w:styleId="CommentSubjectChar">
    <w:name w:val="Comment Subject Char"/>
    <w:basedOn w:val="CommentTextChar"/>
    <w:link w:val="CommentSubject"/>
    <w:uiPriority w:val="99"/>
    <w:semiHidden/>
    <w:rsid w:val="005828C4"/>
    <w:rPr>
      <w:b/>
      <w:bCs/>
      <w:sz w:val="20"/>
      <w:szCs w:val="20"/>
    </w:rPr>
  </w:style>
  <w:style w:type="paragraph" w:styleId="Revision">
    <w:name w:val="Revision"/>
    <w:hidden/>
    <w:uiPriority w:val="99"/>
    <w:semiHidden/>
    <w:rsid w:val="00F87B09"/>
    <w:rPr>
      <w:sz w:val="24"/>
    </w:rPr>
  </w:style>
  <w:style w:type="character" w:styleId="UnresolvedMention">
    <w:name w:val="Unresolved Mention"/>
    <w:basedOn w:val="DefaultParagraphFont"/>
    <w:uiPriority w:val="99"/>
    <w:semiHidden/>
    <w:unhideWhenUsed/>
    <w:rsid w:val="005F500A"/>
    <w:rPr>
      <w:color w:val="605E5C"/>
      <w:shd w:val="clear" w:color="auto" w:fill="E1DFDD"/>
    </w:rPr>
  </w:style>
  <w:style w:type="character" w:styleId="FollowedHyperlink">
    <w:name w:val="FollowedHyperlink"/>
    <w:basedOn w:val="DefaultParagraphFont"/>
    <w:uiPriority w:val="99"/>
    <w:semiHidden/>
    <w:unhideWhenUsed/>
    <w:rsid w:val="00100C8E"/>
    <w:rPr>
      <w:color w:val="954F72" w:themeColor="followedHyperlink"/>
      <w:u w:val="single"/>
    </w:rPr>
  </w:style>
  <w:style w:type="paragraph" w:styleId="FootnoteText">
    <w:name w:val="footnote text"/>
    <w:basedOn w:val="Normal"/>
    <w:link w:val="FootnoteTextChar"/>
    <w:uiPriority w:val="99"/>
    <w:unhideWhenUsed/>
    <w:rsid w:val="00FA3A8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A3A89"/>
    <w:rPr>
      <w:rFonts w:ascii="Times New Roman" w:eastAsia="Times New Roman" w:hAnsi="Times New Roman" w:cs="Times New Roman"/>
      <w:sz w:val="20"/>
      <w:szCs w:val="20"/>
    </w:rPr>
  </w:style>
  <w:style w:type="character" w:styleId="FootnoteReference">
    <w:name w:val="footnote reference"/>
    <w:uiPriority w:val="99"/>
    <w:unhideWhenUsed/>
    <w:rsid w:val="00FA3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 w:id="209808218">
      <w:bodyDiv w:val="1"/>
      <w:marLeft w:val="0"/>
      <w:marRight w:val="0"/>
      <w:marTop w:val="0"/>
      <w:marBottom w:val="0"/>
      <w:divBdr>
        <w:top w:val="none" w:sz="0" w:space="0" w:color="auto"/>
        <w:left w:val="none" w:sz="0" w:space="0" w:color="auto"/>
        <w:bottom w:val="none" w:sz="0" w:space="0" w:color="auto"/>
        <w:right w:val="none" w:sz="0" w:space="0" w:color="auto"/>
      </w:divBdr>
    </w:div>
    <w:div w:id="472605751">
      <w:bodyDiv w:val="1"/>
      <w:marLeft w:val="0"/>
      <w:marRight w:val="0"/>
      <w:marTop w:val="0"/>
      <w:marBottom w:val="0"/>
      <w:divBdr>
        <w:top w:val="none" w:sz="0" w:space="0" w:color="auto"/>
        <w:left w:val="none" w:sz="0" w:space="0" w:color="auto"/>
        <w:bottom w:val="none" w:sz="0" w:space="0" w:color="auto"/>
        <w:right w:val="none" w:sz="0" w:space="0" w:color="auto"/>
      </w:divBdr>
    </w:div>
    <w:div w:id="475298583">
      <w:bodyDiv w:val="1"/>
      <w:marLeft w:val="0"/>
      <w:marRight w:val="0"/>
      <w:marTop w:val="0"/>
      <w:marBottom w:val="0"/>
      <w:divBdr>
        <w:top w:val="none" w:sz="0" w:space="0" w:color="auto"/>
        <w:left w:val="none" w:sz="0" w:space="0" w:color="auto"/>
        <w:bottom w:val="none" w:sz="0" w:space="0" w:color="auto"/>
        <w:right w:val="none" w:sz="0" w:space="0" w:color="auto"/>
      </w:divBdr>
    </w:div>
    <w:div w:id="645626267">
      <w:bodyDiv w:val="1"/>
      <w:marLeft w:val="0"/>
      <w:marRight w:val="0"/>
      <w:marTop w:val="0"/>
      <w:marBottom w:val="0"/>
      <w:divBdr>
        <w:top w:val="none" w:sz="0" w:space="0" w:color="auto"/>
        <w:left w:val="none" w:sz="0" w:space="0" w:color="auto"/>
        <w:bottom w:val="none" w:sz="0" w:space="0" w:color="auto"/>
        <w:right w:val="none" w:sz="0" w:space="0" w:color="auto"/>
      </w:divBdr>
    </w:div>
    <w:div w:id="676811966">
      <w:bodyDiv w:val="1"/>
      <w:marLeft w:val="0"/>
      <w:marRight w:val="0"/>
      <w:marTop w:val="0"/>
      <w:marBottom w:val="0"/>
      <w:divBdr>
        <w:top w:val="none" w:sz="0" w:space="0" w:color="auto"/>
        <w:left w:val="none" w:sz="0" w:space="0" w:color="auto"/>
        <w:bottom w:val="none" w:sz="0" w:space="0" w:color="auto"/>
        <w:right w:val="none" w:sz="0" w:space="0" w:color="auto"/>
      </w:divBdr>
    </w:div>
    <w:div w:id="1030303479">
      <w:bodyDiv w:val="1"/>
      <w:marLeft w:val="0"/>
      <w:marRight w:val="0"/>
      <w:marTop w:val="0"/>
      <w:marBottom w:val="0"/>
      <w:divBdr>
        <w:top w:val="none" w:sz="0" w:space="0" w:color="auto"/>
        <w:left w:val="none" w:sz="0" w:space="0" w:color="auto"/>
        <w:bottom w:val="none" w:sz="0" w:space="0" w:color="auto"/>
        <w:right w:val="none" w:sz="0" w:space="0" w:color="auto"/>
      </w:divBdr>
    </w:div>
    <w:div w:id="1037899869">
      <w:bodyDiv w:val="1"/>
      <w:marLeft w:val="0"/>
      <w:marRight w:val="0"/>
      <w:marTop w:val="0"/>
      <w:marBottom w:val="0"/>
      <w:divBdr>
        <w:top w:val="none" w:sz="0" w:space="0" w:color="auto"/>
        <w:left w:val="none" w:sz="0" w:space="0" w:color="auto"/>
        <w:bottom w:val="none" w:sz="0" w:space="0" w:color="auto"/>
        <w:right w:val="none" w:sz="0" w:space="0" w:color="auto"/>
      </w:divBdr>
    </w:div>
    <w:div w:id="10481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d.ca.gov/en/jobs_and_training/wdsfp_workforce_development_solicitations_for_propos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d.ca.gov/en/Jobs_and_Training/Active_Directiv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d.ca.gov/en/Jobs_and_Training/Active_Direc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B95BF-8062-44FF-B4DB-3758EBE580F4}">
  <ds:schemaRefs>
    <ds:schemaRef ds:uri="http://schemas.openxmlformats.org/officeDocument/2006/bibliography"/>
  </ds:schemaRefs>
</ds:datastoreItem>
</file>

<file path=customXml/itemProps2.xml><?xml version="1.0" encoding="utf-8"?>
<ds:datastoreItem xmlns:ds="http://schemas.openxmlformats.org/officeDocument/2006/customXml" ds:itemID="{065D8BBD-2DCF-40F1-946C-4D7C304E1578}">
  <ds:schemaRefs>
    <ds:schemaRef ds:uri="http://schemas.microsoft.com/sharepoint/v3/contenttype/forms"/>
  </ds:schemaRefs>
</ds:datastoreItem>
</file>

<file path=customXml/itemProps3.xml><?xml version="1.0" encoding="utf-8"?>
<ds:datastoreItem xmlns:ds="http://schemas.openxmlformats.org/officeDocument/2006/customXml" ds:itemID="{D1A5AA3C-9380-400E-9EC3-FD7D16B97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0ADBC4-D5A2-437F-94B5-BF32A94331C5}">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WSB</dc:creator>
  <cp:keywords>SFP, grant funding</cp:keywords>
  <dc:description/>
  <cp:lastModifiedBy>Davis, Tirzah@EDD</cp:lastModifiedBy>
  <cp:revision>4</cp:revision>
  <cp:lastPrinted>2023-11-13T22:44:00Z</cp:lastPrinted>
  <dcterms:created xsi:type="dcterms:W3CDTF">2024-11-22T19:29:00Z</dcterms:created>
  <dcterms:modified xsi:type="dcterms:W3CDTF">2024-11-25T17:56:00Z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ies>
</file>