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27559593" w:rsidR="0015018E" w:rsidRPr="002A057F" w:rsidRDefault="00724C23" w:rsidP="002A057F">
      <w:pPr>
        <w:pStyle w:val="Heading1"/>
      </w:pPr>
      <w:r>
        <w:t>W</w:t>
      </w:r>
      <w:r w:rsidR="008B1F24">
        <w:t>orkforce</w:t>
      </w:r>
      <w:r>
        <w:t xml:space="preserve"> I</w:t>
      </w:r>
      <w:r w:rsidR="008B1F24">
        <w:t>nnovation</w:t>
      </w:r>
      <w:r>
        <w:t xml:space="preserve"> </w:t>
      </w:r>
      <w:r w:rsidR="008B1F24">
        <w:t>and</w:t>
      </w:r>
      <w:r>
        <w:t xml:space="preserve"> O</w:t>
      </w:r>
      <w:r w:rsidR="008B1F24">
        <w:t>pportunity</w:t>
      </w:r>
      <w:r w:rsidR="0015018E" w:rsidRPr="002A057F">
        <w:t xml:space="preserve"> A</w:t>
      </w:r>
      <w:r w:rsidR="008B1F24">
        <w:t>ct</w:t>
      </w:r>
    </w:p>
    <w:p w14:paraId="23446A20" w14:textId="42CF3A72" w:rsidR="0015018E" w:rsidRPr="00AA6392" w:rsidRDefault="00724C23" w:rsidP="002A057F">
      <w:pPr>
        <w:pStyle w:val="Heading1"/>
        <w:sectPr w:rsidR="0015018E" w:rsidRPr="00AA6392"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t>Opportunity Young Adult Evaluation and Technical Assistance</w:t>
      </w:r>
      <w:r w:rsidR="0015018E" w:rsidRPr="002A057F">
        <w:t xml:space="preserve"> Program Y</w:t>
      </w:r>
      <w:r>
        <w:t>ear 2024-25</w:t>
      </w:r>
      <w:r w:rsidR="00AA6392">
        <w:t xml:space="preserve"> </w:t>
      </w:r>
      <w:r w:rsidR="0015018E" w:rsidRPr="002A057F">
        <w:t>Award List and Project Summar</w:t>
      </w:r>
      <w:r w:rsidR="008B1F24">
        <w:t>y</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0B11EE13" w:rsidR="00C4619D" w:rsidRPr="00157D1F" w:rsidRDefault="00F9480C" w:rsidP="006A609C">
      <w:pPr>
        <w:ind w:right="864"/>
        <w:rPr>
          <w:rStyle w:val="Hyperlink"/>
        </w:rPr>
      </w:pPr>
      <w:r w:rsidRPr="0064435D">
        <w:rPr>
          <w:rFonts w:cs="Arial"/>
          <w:sz w:val="24"/>
          <w:szCs w:val="24"/>
        </w:rPr>
        <w:t>On</w:t>
      </w:r>
      <w:r w:rsidR="008B1F24">
        <w:rPr>
          <w:sz w:val="24"/>
          <w:szCs w:val="24"/>
        </w:rPr>
        <w:t xml:space="preserve"> </w:t>
      </w:r>
      <w:r w:rsidR="00A727A7">
        <w:rPr>
          <w:sz w:val="24"/>
          <w:szCs w:val="24"/>
        </w:rPr>
        <w:t xml:space="preserve">March </w:t>
      </w:r>
      <w:r w:rsidR="00133D16">
        <w:rPr>
          <w:sz w:val="24"/>
          <w:szCs w:val="24"/>
        </w:rPr>
        <w:t>17,</w:t>
      </w:r>
      <w:r w:rsidR="008B1F24">
        <w:rPr>
          <w:sz w:val="24"/>
          <w:szCs w:val="24"/>
        </w:rPr>
        <w:t xml:space="preserve"> 2025</w:t>
      </w:r>
      <w:r w:rsidRPr="0064435D">
        <w:rPr>
          <w:rFonts w:cs="Arial"/>
          <w:sz w:val="24"/>
          <w:szCs w:val="24"/>
        </w:rPr>
        <w:t>,</w:t>
      </w:r>
      <w:r w:rsidR="008B5B93">
        <w:rPr>
          <w:rFonts w:cs="Arial"/>
          <w:sz w:val="24"/>
          <w:szCs w:val="24"/>
        </w:rPr>
        <w:t xml:space="preserve"> approximately</w:t>
      </w:r>
      <w:r w:rsidRPr="0064435D">
        <w:rPr>
          <w:rFonts w:cs="Arial"/>
          <w:sz w:val="24"/>
          <w:szCs w:val="24"/>
        </w:rPr>
        <w:t xml:space="preserve"> $</w:t>
      </w:r>
      <w:r w:rsidR="00724C23">
        <w:rPr>
          <w:rFonts w:cs="Arial"/>
          <w:sz w:val="24"/>
          <w:szCs w:val="24"/>
        </w:rPr>
        <w:t>1</w:t>
      </w:r>
      <w:r w:rsidR="008B5B93">
        <w:rPr>
          <w:rFonts w:cs="Arial"/>
          <w:sz w:val="24"/>
          <w:szCs w:val="24"/>
        </w:rPr>
        <w:t>.</w:t>
      </w:r>
      <w:r w:rsidR="00724C23">
        <w:rPr>
          <w:rFonts w:cs="Arial"/>
          <w:sz w:val="24"/>
          <w:szCs w:val="24"/>
        </w:rPr>
        <w:t>7</w:t>
      </w:r>
      <w:r w:rsidR="008B5B93">
        <w:rPr>
          <w:rFonts w:cs="Arial"/>
          <w:sz w:val="24"/>
          <w:szCs w:val="24"/>
        </w:rPr>
        <w:t xml:space="preserve"> million</w:t>
      </w:r>
      <w:r w:rsidR="00724C23">
        <w:rPr>
          <w:rFonts w:cs="Arial"/>
          <w:sz w:val="24"/>
          <w:szCs w:val="24"/>
        </w:rPr>
        <w:t xml:space="preserve"> </w:t>
      </w:r>
      <w:r w:rsidR="00C4619D" w:rsidRPr="0064435D">
        <w:rPr>
          <w:rFonts w:cs="Arial"/>
          <w:sz w:val="24"/>
          <w:szCs w:val="24"/>
        </w:rPr>
        <w:t xml:space="preserve">of </w:t>
      </w:r>
      <w:r w:rsidR="00724C23" w:rsidRPr="00724C23">
        <w:rPr>
          <w:sz w:val="24"/>
          <w:szCs w:val="24"/>
        </w:rPr>
        <w:t xml:space="preserve">Workforce Innovation and Opportunity Act </w:t>
      </w:r>
      <w:r w:rsidR="00B33D8D">
        <w:rPr>
          <w:sz w:val="24"/>
          <w:szCs w:val="24"/>
        </w:rPr>
        <w:t>15%</w:t>
      </w:r>
      <w:r w:rsidR="00724C23" w:rsidRPr="00724C23">
        <w:rPr>
          <w:sz w:val="24"/>
          <w:szCs w:val="24"/>
        </w:rPr>
        <w:t xml:space="preserve"> Governor's Discretionary funds</w:t>
      </w:r>
      <w:r w:rsidR="00C4619D" w:rsidRPr="0064435D">
        <w:rPr>
          <w:rFonts w:cs="Arial"/>
          <w:sz w:val="24"/>
          <w:szCs w:val="24"/>
        </w:rPr>
        <w:t xml:space="preserve"> </w:t>
      </w:r>
      <w:r w:rsidR="008909EA" w:rsidRPr="0064435D">
        <w:rPr>
          <w:rFonts w:cs="Arial"/>
          <w:sz w:val="24"/>
          <w:szCs w:val="24"/>
        </w:rPr>
        <w:t>were awarded to</w:t>
      </w:r>
      <w:r w:rsidR="00C4619D" w:rsidRPr="0064435D">
        <w:rPr>
          <w:rFonts w:cs="Arial"/>
          <w:sz w:val="24"/>
          <w:szCs w:val="24"/>
        </w:rPr>
        <w:t xml:space="preserve"> </w:t>
      </w:r>
      <w:r w:rsidR="00724C23">
        <w:rPr>
          <w:rFonts w:cs="Arial"/>
          <w:sz w:val="24"/>
          <w:szCs w:val="24"/>
        </w:rPr>
        <w:t xml:space="preserve">one </w:t>
      </w:r>
      <w:r w:rsidR="00C4619D" w:rsidRPr="0064435D">
        <w:rPr>
          <w:rFonts w:cs="Arial"/>
          <w:sz w:val="24"/>
          <w:szCs w:val="24"/>
        </w:rPr>
        <w:t>organization</w:t>
      </w:r>
      <w:r w:rsidRPr="0064435D">
        <w:rPr>
          <w:rFonts w:cs="Arial"/>
          <w:sz w:val="24"/>
          <w:szCs w:val="24"/>
        </w:rPr>
        <w:t xml:space="preserve"> under the </w:t>
      </w:r>
      <w:r w:rsidR="00724C23" w:rsidRPr="00724C23">
        <w:rPr>
          <w:sz w:val="24"/>
          <w:szCs w:val="24"/>
        </w:rPr>
        <w:t>Opportunity Young Adult Evaluation and Technical Assistance Program Year 2024-25 Solicitation for Proposals</w:t>
      </w:r>
      <w:r w:rsidRPr="0064435D">
        <w:rPr>
          <w:rFonts w:cs="Arial"/>
          <w:sz w:val="24"/>
          <w:szCs w:val="24"/>
        </w:rPr>
        <w:t xml:space="preserve">. </w:t>
      </w:r>
      <w:r w:rsidR="00724C23">
        <w:rPr>
          <w:rFonts w:cs="Arial"/>
          <w:sz w:val="24"/>
          <w:szCs w:val="24"/>
        </w:rPr>
        <w:t>The selected a</w:t>
      </w:r>
      <w:r w:rsidRPr="0064435D">
        <w:rPr>
          <w:rFonts w:cs="Arial"/>
          <w:sz w:val="24"/>
          <w:szCs w:val="24"/>
        </w:rPr>
        <w:t>wardee</w:t>
      </w:r>
      <w:r w:rsidR="00724C23">
        <w:rPr>
          <w:rFonts w:cs="Arial"/>
          <w:sz w:val="24"/>
          <w:szCs w:val="24"/>
        </w:rPr>
        <w:t xml:space="preserve"> and their</w:t>
      </w:r>
      <w:r w:rsidRPr="0064435D">
        <w:rPr>
          <w:rFonts w:cs="Arial"/>
          <w:sz w:val="24"/>
          <w:szCs w:val="24"/>
        </w:rPr>
        <w:t xml:space="preserve"> project </w:t>
      </w:r>
      <w:r w:rsidR="00C4619D" w:rsidRPr="0064435D">
        <w:rPr>
          <w:rFonts w:cs="Arial"/>
          <w:sz w:val="24"/>
          <w:szCs w:val="24"/>
        </w:rPr>
        <w:t>summar</w:t>
      </w:r>
      <w:r w:rsidR="00724C23">
        <w:rPr>
          <w:rFonts w:cs="Arial"/>
          <w:sz w:val="24"/>
          <w:szCs w:val="24"/>
        </w:rPr>
        <w:t>y</w:t>
      </w:r>
      <w:r w:rsidR="00C4619D" w:rsidRPr="0064435D">
        <w:rPr>
          <w:rFonts w:cs="Arial"/>
          <w:sz w:val="24"/>
          <w:szCs w:val="24"/>
        </w:rPr>
        <w:t xml:space="preserve"> </w:t>
      </w:r>
      <w:r w:rsidR="00724C23">
        <w:rPr>
          <w:rFonts w:cs="Arial"/>
          <w:sz w:val="24"/>
          <w:szCs w:val="24"/>
        </w:rPr>
        <w:t>are</w:t>
      </w:r>
      <w:r w:rsidR="00C4619D" w:rsidRPr="0064435D">
        <w:rPr>
          <w:rFonts w:cs="Arial"/>
          <w:sz w:val="24"/>
          <w:szCs w:val="24"/>
        </w:rPr>
        <w:t xml:space="preserve"> listed below. </w:t>
      </w:r>
      <w:r w:rsidR="002A49F5" w:rsidRPr="0064435D">
        <w:rPr>
          <w:rFonts w:cs="Arial"/>
          <w:sz w:val="24"/>
          <w:szCs w:val="24"/>
        </w:rPr>
        <w:t>Funding</w:t>
      </w:r>
      <w:r w:rsidR="00C4619D" w:rsidRPr="0064435D">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1980"/>
      </w:tblGrid>
      <w:tr w:rsidR="00F9480C" w:rsidRPr="0064435D" w14:paraId="2A7B1A5C"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F9480C" w:rsidRPr="0064435D" w14:paraId="2A7B1A60"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A7B1A5D" w14:textId="38F794D2" w:rsidR="00F9480C" w:rsidRPr="0064435D" w:rsidRDefault="008B5B93" w:rsidP="00A753B5">
            <w:pPr>
              <w:pStyle w:val="Default"/>
              <w:rPr>
                <w:rFonts w:asciiTheme="minorHAnsi" w:hAnsiTheme="minorHAnsi"/>
                <w:bCs/>
              </w:rPr>
            </w:pPr>
            <w:r>
              <w:rPr>
                <w:rFonts w:asciiTheme="minorHAnsi" w:hAnsiTheme="minorHAnsi"/>
              </w:rPr>
              <w:t>MDRC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7B1A5E" w14:textId="61B88197" w:rsidR="00F9480C" w:rsidRPr="0064435D" w:rsidRDefault="008B5B93" w:rsidP="003A6798">
            <w:pPr>
              <w:pStyle w:val="Default"/>
              <w:jc w:val="center"/>
              <w:rPr>
                <w:rFonts w:asciiTheme="minorHAnsi" w:hAnsiTheme="minorHAnsi"/>
                <w:bCs/>
              </w:rPr>
            </w:pPr>
            <w:r>
              <w:rPr>
                <w:rFonts w:asciiTheme="minorHAnsi" w:hAnsiTheme="minorHAnsi"/>
              </w:rPr>
              <w:t>Statewide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7B1A5F" w14:textId="5A8D9D5C" w:rsidR="00F9480C" w:rsidRPr="0064435D" w:rsidRDefault="008B5B93" w:rsidP="003A6798">
            <w:pPr>
              <w:pStyle w:val="Default"/>
              <w:jc w:val="center"/>
              <w:rPr>
                <w:rFonts w:asciiTheme="minorHAnsi" w:hAnsiTheme="minorHAnsi"/>
              </w:rPr>
            </w:pPr>
            <w:r>
              <w:rPr>
                <w:rFonts w:asciiTheme="minorHAnsi" w:hAnsiTheme="minorHAnsi"/>
              </w:rPr>
              <w:t>$1,699,985.00</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3668361B" w:rsidR="00C4619D" w:rsidRPr="00340557" w:rsidRDefault="0071078A" w:rsidP="00C246E9">
            <w:pPr>
              <w:pStyle w:val="Heading2"/>
              <w:rPr>
                <w:szCs w:val="28"/>
              </w:rPr>
            </w:pPr>
            <w:r w:rsidRPr="00340557">
              <w:rPr>
                <w:szCs w:val="28"/>
              </w:rPr>
              <w:lastRenderedPageBreak/>
              <w:t>Project Summar</w:t>
            </w:r>
            <w:r w:rsidR="008B1F24">
              <w:rPr>
                <w:szCs w:val="28"/>
              </w:rPr>
              <w:t>y</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0986E51C"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pplicant</w:t>
            </w:r>
          </w:p>
        </w:tc>
        <w:tc>
          <w:tcPr>
            <w:tcW w:w="7375" w:type="dxa"/>
          </w:tcPr>
          <w:p w14:paraId="2A7B1A6D" w14:textId="2E86CB74" w:rsidR="00E81F29" w:rsidRPr="00157D1F" w:rsidRDefault="00EE69C7" w:rsidP="007538F6">
            <w:pPr>
              <w:rPr>
                <w:rFonts w:cs="Arial"/>
                <w:sz w:val="24"/>
                <w:szCs w:val="24"/>
              </w:rPr>
            </w:pPr>
            <w:r>
              <w:rPr>
                <w:b/>
                <w:sz w:val="24"/>
                <w:szCs w:val="24"/>
              </w:rPr>
              <w:t>MDRC</w:t>
            </w:r>
          </w:p>
          <w:p w14:paraId="2A7B1A6E" w14:textId="50D6B2FF" w:rsidR="00C4619D" w:rsidRDefault="00EE69C7" w:rsidP="007538F6">
            <w:pPr>
              <w:rPr>
                <w:sz w:val="24"/>
                <w:szCs w:val="24"/>
              </w:rPr>
            </w:pPr>
            <w:r>
              <w:rPr>
                <w:sz w:val="24"/>
                <w:szCs w:val="24"/>
              </w:rPr>
              <w:t>475 14</w:t>
            </w:r>
            <w:r w:rsidRPr="00EE69C7">
              <w:rPr>
                <w:sz w:val="24"/>
                <w:szCs w:val="24"/>
                <w:vertAlign w:val="superscript"/>
              </w:rPr>
              <w:t>th</w:t>
            </w:r>
            <w:r>
              <w:rPr>
                <w:sz w:val="24"/>
                <w:szCs w:val="24"/>
              </w:rPr>
              <w:t xml:space="preserve"> Street, Suite 750</w:t>
            </w:r>
          </w:p>
          <w:p w14:paraId="581356FC" w14:textId="43E41C32" w:rsidR="00EE69C7" w:rsidRPr="00157D1F" w:rsidRDefault="00EE69C7" w:rsidP="007538F6">
            <w:pPr>
              <w:rPr>
                <w:rFonts w:cs="Arial"/>
                <w:sz w:val="24"/>
                <w:szCs w:val="24"/>
              </w:rPr>
            </w:pPr>
            <w:r>
              <w:rPr>
                <w:rFonts w:cs="Arial"/>
                <w:sz w:val="24"/>
                <w:szCs w:val="24"/>
              </w:rPr>
              <w:t>Oakland, CA 94612</w:t>
            </w:r>
          </w:p>
          <w:p w14:paraId="2A7B1A6F" w14:textId="77777777" w:rsidR="005E57E5" w:rsidRPr="00157D1F" w:rsidRDefault="005E57E5" w:rsidP="007538F6">
            <w:pPr>
              <w:rPr>
                <w:rFonts w:cs="Arial"/>
                <w:sz w:val="24"/>
                <w:szCs w:val="24"/>
              </w:rPr>
            </w:pPr>
          </w:p>
        </w:tc>
      </w:tr>
      <w:tr w:rsidR="00C4619D" w:rsidRPr="003A6798" w14:paraId="2A7B1A76" w14:textId="77777777" w:rsidTr="007538F6">
        <w:tc>
          <w:tcPr>
            <w:tcW w:w="1975" w:type="dxa"/>
          </w:tcPr>
          <w:p w14:paraId="2A7B1A71" w14:textId="0E65436F" w:rsidR="00C4619D" w:rsidRPr="00157D1F" w:rsidRDefault="00C4619D" w:rsidP="00B37BB7">
            <w:pPr>
              <w:rPr>
                <w:rFonts w:cs="Arial"/>
                <w:b/>
                <w:sz w:val="24"/>
                <w:szCs w:val="24"/>
              </w:rPr>
            </w:pPr>
            <w:r w:rsidRPr="00157D1F">
              <w:rPr>
                <w:rFonts w:cs="Arial"/>
                <w:b/>
                <w:sz w:val="24"/>
                <w:szCs w:val="24"/>
              </w:rPr>
              <w:t>C</w:t>
            </w:r>
            <w:r w:rsidR="00157D1F" w:rsidRPr="00157D1F">
              <w:rPr>
                <w:rFonts w:cs="Arial"/>
                <w:b/>
                <w:sz w:val="24"/>
                <w:szCs w:val="24"/>
              </w:rPr>
              <w:t>ontact</w:t>
            </w:r>
          </w:p>
        </w:tc>
        <w:tc>
          <w:tcPr>
            <w:tcW w:w="7375" w:type="dxa"/>
          </w:tcPr>
          <w:p w14:paraId="2A7B1A72" w14:textId="10346FDF" w:rsidR="005C4514" w:rsidRPr="00AA6392" w:rsidRDefault="00EE69C7" w:rsidP="007538F6">
            <w:pPr>
              <w:rPr>
                <w:sz w:val="24"/>
                <w:szCs w:val="24"/>
              </w:rPr>
            </w:pPr>
            <w:r w:rsidRPr="00AA6392">
              <w:rPr>
                <w:sz w:val="24"/>
                <w:szCs w:val="24"/>
              </w:rPr>
              <w:t>Charles Michalopoulos</w:t>
            </w:r>
          </w:p>
          <w:p w14:paraId="2A7B1A73" w14:textId="03944622" w:rsidR="00E81F29" w:rsidRPr="00AA6392" w:rsidRDefault="00AA6392" w:rsidP="007538F6">
            <w:pPr>
              <w:rPr>
                <w:sz w:val="24"/>
                <w:szCs w:val="24"/>
              </w:rPr>
            </w:pPr>
            <w:r w:rsidRPr="00AA6392">
              <w:rPr>
                <w:sz w:val="24"/>
                <w:szCs w:val="24"/>
              </w:rPr>
              <w:t>1-</w:t>
            </w:r>
            <w:r w:rsidR="00EE69C7" w:rsidRPr="00AA6392">
              <w:rPr>
                <w:sz w:val="24"/>
                <w:szCs w:val="24"/>
              </w:rPr>
              <w:t>510</w:t>
            </w:r>
            <w:r w:rsidRPr="00AA6392">
              <w:rPr>
                <w:sz w:val="24"/>
                <w:szCs w:val="24"/>
              </w:rPr>
              <w:t>-</w:t>
            </w:r>
            <w:r w:rsidR="00EE69C7" w:rsidRPr="00AA6392">
              <w:rPr>
                <w:sz w:val="24"/>
                <w:szCs w:val="24"/>
              </w:rPr>
              <w:t>844-2235</w:t>
            </w:r>
          </w:p>
          <w:p w14:paraId="5CD36679" w14:textId="54F405C2" w:rsidR="00C46EDF" w:rsidRPr="00AA6392" w:rsidRDefault="00C46EDF" w:rsidP="00C46EDF">
            <w:pPr>
              <w:rPr>
                <w:rFonts w:ascii="Calibri" w:hAnsi="Calibri" w:cs="Calibri"/>
                <w:color w:val="0563C1"/>
                <w:sz w:val="24"/>
                <w:szCs w:val="24"/>
                <w:u w:val="single"/>
              </w:rPr>
            </w:pPr>
            <w:hyperlink r:id="rId13" w:history="1">
              <w:r w:rsidRPr="00AA6392">
                <w:rPr>
                  <w:rStyle w:val="Hyperlink"/>
                  <w:rFonts w:ascii="Calibri" w:hAnsi="Calibri" w:cs="Calibri"/>
                  <w:sz w:val="24"/>
                  <w:szCs w:val="24"/>
                </w:rPr>
                <w:t>Charles.Michalopoulos@mdrc.org</w:t>
              </w:r>
            </w:hyperlink>
          </w:p>
          <w:p w14:paraId="2A7B1A75" w14:textId="77777777" w:rsidR="005C4514" w:rsidRPr="00157D1F" w:rsidRDefault="005C4514" w:rsidP="007538F6">
            <w:pPr>
              <w:rPr>
                <w:rFonts w:cs="Arial"/>
                <w:sz w:val="24"/>
                <w:szCs w:val="24"/>
              </w:rPr>
            </w:pPr>
          </w:p>
        </w:tc>
      </w:tr>
      <w:tr w:rsidR="00C4619D" w:rsidRPr="003A6798" w14:paraId="2A7B1A79" w14:textId="77777777" w:rsidTr="007538F6">
        <w:trPr>
          <w:trHeight w:val="432"/>
        </w:trPr>
        <w:tc>
          <w:tcPr>
            <w:tcW w:w="1975" w:type="dxa"/>
          </w:tcPr>
          <w:p w14:paraId="2A7B1A77" w14:textId="6CB8584B"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ward</w:t>
            </w:r>
          </w:p>
        </w:tc>
        <w:tc>
          <w:tcPr>
            <w:tcW w:w="7375" w:type="dxa"/>
          </w:tcPr>
          <w:p w14:paraId="2A7B1A78" w14:textId="09BEFBFE" w:rsidR="00C4619D" w:rsidRPr="00157D1F" w:rsidRDefault="00E81F29" w:rsidP="00E81F29">
            <w:pPr>
              <w:rPr>
                <w:rFonts w:cs="Arial"/>
                <w:sz w:val="24"/>
                <w:szCs w:val="24"/>
              </w:rPr>
            </w:pPr>
            <w:r w:rsidRPr="00157D1F">
              <w:rPr>
                <w:rFonts w:cs="Arial"/>
                <w:sz w:val="24"/>
                <w:szCs w:val="24"/>
              </w:rPr>
              <w:t>$</w:t>
            </w:r>
            <w:r w:rsidR="00EE69C7">
              <w:rPr>
                <w:sz w:val="24"/>
                <w:szCs w:val="24"/>
              </w:rPr>
              <w:t>1,699,985.00</w:t>
            </w:r>
          </w:p>
        </w:tc>
      </w:tr>
      <w:tr w:rsidR="00C4619D" w:rsidRPr="003A6798" w14:paraId="2A7B1A7C" w14:textId="77777777" w:rsidTr="007538F6">
        <w:trPr>
          <w:trHeight w:val="567"/>
        </w:trPr>
        <w:tc>
          <w:tcPr>
            <w:tcW w:w="1975" w:type="dxa"/>
          </w:tcPr>
          <w:p w14:paraId="2A7B1A7A" w14:textId="254219EC" w:rsidR="00C4619D" w:rsidRPr="00157D1F" w:rsidRDefault="00B41A9C" w:rsidP="00B37BB7">
            <w:pPr>
              <w:rPr>
                <w:rFonts w:cs="Arial"/>
                <w:b/>
                <w:sz w:val="24"/>
                <w:szCs w:val="24"/>
              </w:rPr>
            </w:pPr>
            <w:r>
              <w:rPr>
                <w:rFonts w:cs="Arial"/>
                <w:b/>
                <w:sz w:val="24"/>
                <w:szCs w:val="24"/>
              </w:rPr>
              <w:t>Service</w:t>
            </w:r>
            <w:r w:rsidR="00157D1F" w:rsidRPr="00157D1F">
              <w:rPr>
                <w:rFonts w:cs="Arial"/>
                <w:b/>
                <w:sz w:val="24"/>
                <w:szCs w:val="24"/>
              </w:rPr>
              <w:t xml:space="preserve"> </w:t>
            </w:r>
            <w:r>
              <w:rPr>
                <w:rFonts w:cs="Arial"/>
                <w:b/>
                <w:sz w:val="24"/>
                <w:szCs w:val="24"/>
              </w:rPr>
              <w:t>Model</w:t>
            </w:r>
          </w:p>
        </w:tc>
        <w:tc>
          <w:tcPr>
            <w:tcW w:w="7375" w:type="dxa"/>
          </w:tcPr>
          <w:p w14:paraId="2FC7603B" w14:textId="42747C9C" w:rsidR="00B41A9C" w:rsidRDefault="00B41A9C" w:rsidP="00E81F29">
            <w:pPr>
              <w:rPr>
                <w:sz w:val="24"/>
                <w:szCs w:val="24"/>
              </w:rPr>
            </w:pPr>
            <w:r w:rsidRPr="00B41A9C">
              <w:rPr>
                <w:sz w:val="24"/>
                <w:szCs w:val="24"/>
              </w:rPr>
              <w:t xml:space="preserve">BOOST will support </w:t>
            </w:r>
            <w:r w:rsidR="004F29AA">
              <w:rPr>
                <w:sz w:val="24"/>
                <w:szCs w:val="24"/>
              </w:rPr>
              <w:t>Opportunity Young Adult Career Pathway Program (</w:t>
            </w:r>
            <w:r w:rsidRPr="00B41A9C">
              <w:rPr>
                <w:sz w:val="24"/>
                <w:szCs w:val="24"/>
              </w:rPr>
              <w:t>OYACPP</w:t>
            </w:r>
            <w:r w:rsidR="004F29AA">
              <w:rPr>
                <w:sz w:val="24"/>
                <w:szCs w:val="24"/>
              </w:rPr>
              <w:t>)</w:t>
            </w:r>
            <w:r w:rsidRPr="00B41A9C">
              <w:rPr>
                <w:sz w:val="24"/>
                <w:szCs w:val="24"/>
              </w:rPr>
              <w:t xml:space="preserve"> awardees </w:t>
            </w:r>
            <w:r w:rsidR="004F29AA">
              <w:rPr>
                <w:sz w:val="24"/>
                <w:szCs w:val="24"/>
              </w:rPr>
              <w:t>in developing and implementing employment and wrap-around case management services</w:t>
            </w:r>
            <w:r w:rsidRPr="00B41A9C">
              <w:rPr>
                <w:sz w:val="24"/>
                <w:szCs w:val="24"/>
              </w:rPr>
              <w:t xml:space="preserve"> with a trauma-informed lens.</w:t>
            </w:r>
          </w:p>
          <w:p w14:paraId="2A7B1A7B" w14:textId="6699A7CD" w:rsidR="00C4619D" w:rsidRPr="00157D1F" w:rsidRDefault="002A49F5" w:rsidP="00E81F29">
            <w:pPr>
              <w:rPr>
                <w:rFonts w:cs="Arial"/>
                <w:sz w:val="24"/>
                <w:szCs w:val="24"/>
              </w:rPr>
            </w:pPr>
            <w:r w:rsidRPr="00157D1F">
              <w:rPr>
                <w:rFonts w:cs="Arial"/>
                <w:sz w:val="24"/>
                <w:szCs w:val="24"/>
              </w:rPr>
              <w:t xml:space="preserve"> </w:t>
            </w:r>
          </w:p>
        </w:tc>
      </w:tr>
      <w:tr w:rsidR="00C4619D" w:rsidRPr="003A6798" w14:paraId="2A7B1A81" w14:textId="77777777" w:rsidTr="007538F6">
        <w:tc>
          <w:tcPr>
            <w:tcW w:w="1975" w:type="dxa"/>
          </w:tcPr>
          <w:p w14:paraId="2A7B1A7D" w14:textId="6BE5D6E8" w:rsidR="00C4619D" w:rsidRPr="00157D1F" w:rsidRDefault="00B41A9C" w:rsidP="00B37BB7">
            <w:pPr>
              <w:rPr>
                <w:rFonts w:cs="Arial"/>
                <w:b/>
                <w:sz w:val="24"/>
                <w:szCs w:val="24"/>
              </w:rPr>
            </w:pPr>
            <w:r>
              <w:rPr>
                <w:rFonts w:cs="Arial"/>
                <w:b/>
                <w:sz w:val="24"/>
                <w:szCs w:val="24"/>
              </w:rPr>
              <w:t xml:space="preserve">Expertise in Serving the </w:t>
            </w:r>
            <w:r w:rsidR="00C4619D" w:rsidRPr="00157D1F">
              <w:rPr>
                <w:rFonts w:cs="Arial"/>
                <w:b/>
                <w:sz w:val="24"/>
                <w:szCs w:val="24"/>
              </w:rPr>
              <w:t>T</w:t>
            </w:r>
            <w:r w:rsidR="00157D1F" w:rsidRPr="00157D1F">
              <w:rPr>
                <w:rFonts w:cs="Arial"/>
                <w:b/>
                <w:sz w:val="24"/>
                <w:szCs w:val="24"/>
              </w:rPr>
              <w:t>arget</w:t>
            </w:r>
            <w:r>
              <w:rPr>
                <w:rFonts w:cs="Arial"/>
                <w:b/>
                <w:sz w:val="24"/>
                <w:szCs w:val="24"/>
              </w:rPr>
              <w:t>ed</w:t>
            </w:r>
            <w:r w:rsidR="00157D1F" w:rsidRPr="00157D1F">
              <w:rPr>
                <w:rFonts w:cs="Arial"/>
                <w:b/>
                <w:sz w:val="24"/>
                <w:szCs w:val="24"/>
              </w:rPr>
              <w:t xml:space="preserve"> P</w:t>
            </w:r>
            <w:r w:rsidR="00EE69C7">
              <w:rPr>
                <w:rFonts w:cs="Arial"/>
                <w:b/>
                <w:sz w:val="24"/>
                <w:szCs w:val="24"/>
              </w:rPr>
              <w:t>opulations</w:t>
            </w:r>
          </w:p>
          <w:p w14:paraId="2A7B1A7E" w14:textId="77777777" w:rsidR="007538F6" w:rsidRPr="00157D1F" w:rsidRDefault="007538F6" w:rsidP="00B37BB7">
            <w:pPr>
              <w:rPr>
                <w:rFonts w:cs="Arial"/>
                <w:b/>
                <w:sz w:val="24"/>
                <w:szCs w:val="24"/>
              </w:rPr>
            </w:pPr>
          </w:p>
        </w:tc>
        <w:tc>
          <w:tcPr>
            <w:tcW w:w="7375" w:type="dxa"/>
          </w:tcPr>
          <w:p w14:paraId="5BC0FC72" w14:textId="78CA06EB" w:rsidR="00B41A9C" w:rsidRDefault="00B41A9C" w:rsidP="00B41A9C">
            <w:pPr>
              <w:rPr>
                <w:sz w:val="24"/>
                <w:szCs w:val="24"/>
              </w:rPr>
            </w:pPr>
            <w:r w:rsidRPr="00B41A9C">
              <w:rPr>
                <w:sz w:val="24"/>
                <w:szCs w:val="24"/>
              </w:rPr>
              <w:t xml:space="preserve">MDRC has conducted evaluations and provided </w:t>
            </w:r>
            <w:r w:rsidR="004F29AA">
              <w:rPr>
                <w:sz w:val="24"/>
                <w:szCs w:val="24"/>
              </w:rPr>
              <w:t>technical assistance (</w:t>
            </w:r>
            <w:r w:rsidRPr="00B41A9C">
              <w:rPr>
                <w:sz w:val="24"/>
                <w:szCs w:val="24"/>
              </w:rPr>
              <w:t>TA</w:t>
            </w:r>
            <w:r w:rsidR="004F29AA">
              <w:rPr>
                <w:sz w:val="24"/>
                <w:szCs w:val="24"/>
              </w:rPr>
              <w:t>)</w:t>
            </w:r>
            <w:r w:rsidRPr="00B41A9C">
              <w:rPr>
                <w:sz w:val="24"/>
                <w:szCs w:val="24"/>
              </w:rPr>
              <w:t xml:space="preserve"> to a range of workforce programs, including those using sectoral job training, subsidized employment, job search assistance, and supported employment. Beyond workforce-related research and TA, MDRC regularly conducts K12 and postsecondary education and criminal justice research</w:t>
            </w:r>
            <w:r w:rsidR="00B33D8D">
              <w:rPr>
                <w:sz w:val="24"/>
                <w:szCs w:val="24"/>
              </w:rPr>
              <w:t>,</w:t>
            </w:r>
            <w:r w:rsidRPr="00B41A9C">
              <w:rPr>
                <w:sz w:val="24"/>
                <w:szCs w:val="24"/>
              </w:rPr>
              <w:t xml:space="preserve"> and MDRC directly connects this work to the goal of improving outcomes for </w:t>
            </w:r>
            <w:r w:rsidR="004F29AA">
              <w:rPr>
                <w:sz w:val="24"/>
                <w:szCs w:val="24"/>
              </w:rPr>
              <w:t>opportunity young adults (</w:t>
            </w:r>
            <w:r w:rsidRPr="00B41A9C">
              <w:rPr>
                <w:sz w:val="24"/>
                <w:szCs w:val="24"/>
              </w:rPr>
              <w:t>OYA</w:t>
            </w:r>
            <w:r w:rsidR="004F29AA">
              <w:rPr>
                <w:sz w:val="24"/>
                <w:szCs w:val="24"/>
              </w:rPr>
              <w:t>)</w:t>
            </w:r>
            <w:r w:rsidRPr="00B41A9C">
              <w:rPr>
                <w:sz w:val="24"/>
                <w:szCs w:val="24"/>
              </w:rPr>
              <w:t xml:space="preserve"> and others with barriers to employment.</w:t>
            </w:r>
          </w:p>
          <w:p w14:paraId="2A7B1A80" w14:textId="3CC4008A" w:rsidR="00B41A9C" w:rsidRPr="00157D1F" w:rsidRDefault="00B41A9C" w:rsidP="00B41A9C">
            <w:pPr>
              <w:rPr>
                <w:rFonts w:cs="Arial"/>
                <w:sz w:val="24"/>
                <w:szCs w:val="24"/>
              </w:rPr>
            </w:pPr>
          </w:p>
        </w:tc>
      </w:tr>
      <w:tr w:rsidR="00C4619D" w:rsidRPr="003A6798" w14:paraId="2A7B1A85" w14:textId="77777777" w:rsidTr="007538F6">
        <w:tc>
          <w:tcPr>
            <w:tcW w:w="1975" w:type="dxa"/>
          </w:tcPr>
          <w:p w14:paraId="2A7B1A82" w14:textId="771C05EB" w:rsidR="00C4619D" w:rsidRPr="00157D1F" w:rsidRDefault="00C4619D" w:rsidP="00B37BB7">
            <w:pPr>
              <w:rPr>
                <w:rFonts w:cs="Arial"/>
                <w:b/>
                <w:sz w:val="24"/>
                <w:szCs w:val="24"/>
              </w:rPr>
            </w:pPr>
            <w:r w:rsidRPr="00157D1F">
              <w:rPr>
                <w:rFonts w:cs="Arial"/>
                <w:b/>
                <w:sz w:val="24"/>
                <w:szCs w:val="24"/>
              </w:rPr>
              <w:t>K</w:t>
            </w:r>
            <w:r w:rsidR="00157D1F" w:rsidRPr="00157D1F">
              <w:rPr>
                <w:rFonts w:cs="Arial"/>
                <w:b/>
                <w:sz w:val="24"/>
                <w:szCs w:val="24"/>
              </w:rPr>
              <w:t>ey Partners</w:t>
            </w:r>
          </w:p>
        </w:tc>
        <w:tc>
          <w:tcPr>
            <w:tcW w:w="7375" w:type="dxa"/>
          </w:tcPr>
          <w:p w14:paraId="2A7B1A83" w14:textId="5A22CAA1" w:rsidR="007538F6" w:rsidRPr="004F29AA" w:rsidRDefault="00EE69C7" w:rsidP="004F29AA">
            <w:pPr>
              <w:pStyle w:val="ListParagraph"/>
              <w:numPr>
                <w:ilvl w:val="0"/>
                <w:numId w:val="5"/>
              </w:numPr>
              <w:rPr>
                <w:sz w:val="24"/>
                <w:szCs w:val="24"/>
              </w:rPr>
            </w:pPr>
            <w:r w:rsidRPr="004F29AA">
              <w:rPr>
                <w:sz w:val="24"/>
                <w:szCs w:val="24"/>
              </w:rPr>
              <w:t>Line of Sight Consulting</w:t>
            </w:r>
          </w:p>
          <w:p w14:paraId="227DCD01" w14:textId="1C4C2430" w:rsidR="00EE69C7" w:rsidRPr="004F29AA" w:rsidRDefault="00EE69C7" w:rsidP="004F29AA">
            <w:pPr>
              <w:pStyle w:val="ListParagraph"/>
              <w:numPr>
                <w:ilvl w:val="0"/>
                <w:numId w:val="5"/>
              </w:numPr>
              <w:rPr>
                <w:sz w:val="24"/>
                <w:szCs w:val="24"/>
              </w:rPr>
            </w:pPr>
            <w:proofErr w:type="spellStart"/>
            <w:r w:rsidRPr="004F29AA">
              <w:rPr>
                <w:sz w:val="24"/>
                <w:szCs w:val="24"/>
              </w:rPr>
              <w:t>Bienestar</w:t>
            </w:r>
            <w:proofErr w:type="spellEnd"/>
            <w:r w:rsidRPr="004F29AA">
              <w:rPr>
                <w:sz w:val="24"/>
                <w:szCs w:val="24"/>
              </w:rPr>
              <w:t xml:space="preserve"> Community Economics</w:t>
            </w:r>
          </w:p>
          <w:p w14:paraId="33F668A2" w14:textId="578A00EC" w:rsidR="00EE69C7" w:rsidRPr="004F29AA" w:rsidRDefault="00EE69C7" w:rsidP="004F29AA">
            <w:pPr>
              <w:pStyle w:val="ListParagraph"/>
              <w:numPr>
                <w:ilvl w:val="0"/>
                <w:numId w:val="5"/>
              </w:numPr>
              <w:rPr>
                <w:sz w:val="24"/>
                <w:szCs w:val="24"/>
              </w:rPr>
            </w:pPr>
            <w:proofErr w:type="spellStart"/>
            <w:r w:rsidRPr="004F29AA">
              <w:rPr>
                <w:sz w:val="24"/>
                <w:szCs w:val="24"/>
              </w:rPr>
              <w:t>Redlo</w:t>
            </w:r>
            <w:proofErr w:type="spellEnd"/>
            <w:r w:rsidRPr="004F29AA">
              <w:rPr>
                <w:sz w:val="24"/>
                <w:szCs w:val="24"/>
              </w:rPr>
              <w:t xml:space="preserve"> Health Solutions</w:t>
            </w:r>
          </w:p>
          <w:p w14:paraId="429DA364" w14:textId="5B178E0A" w:rsidR="00EE69C7" w:rsidRPr="004F29AA" w:rsidRDefault="00EE69C7" w:rsidP="004F29AA">
            <w:pPr>
              <w:pStyle w:val="ListParagraph"/>
              <w:numPr>
                <w:ilvl w:val="0"/>
                <w:numId w:val="5"/>
              </w:numPr>
              <w:rPr>
                <w:sz w:val="24"/>
                <w:szCs w:val="24"/>
              </w:rPr>
            </w:pPr>
            <w:r w:rsidRPr="004F29AA">
              <w:rPr>
                <w:sz w:val="24"/>
                <w:szCs w:val="24"/>
              </w:rPr>
              <w:t>Per Scholas</w:t>
            </w:r>
          </w:p>
          <w:p w14:paraId="6C10A46E" w14:textId="308DD212" w:rsidR="00EE69C7" w:rsidRPr="004F29AA" w:rsidRDefault="00EE69C7" w:rsidP="004F29AA">
            <w:pPr>
              <w:pStyle w:val="ListParagraph"/>
              <w:numPr>
                <w:ilvl w:val="0"/>
                <w:numId w:val="5"/>
              </w:numPr>
              <w:rPr>
                <w:sz w:val="24"/>
                <w:szCs w:val="24"/>
              </w:rPr>
            </w:pPr>
            <w:r w:rsidRPr="004F29AA">
              <w:rPr>
                <w:sz w:val="24"/>
                <w:szCs w:val="24"/>
              </w:rPr>
              <w:t>YouthBuild Global</w:t>
            </w:r>
          </w:p>
          <w:p w14:paraId="2A7B1A84" w14:textId="77777777" w:rsidR="00E81F29" w:rsidRPr="00157D1F" w:rsidRDefault="00E81F29" w:rsidP="007538F6">
            <w:pPr>
              <w:rPr>
                <w:rFonts w:cs="Arial"/>
                <w:sz w:val="24"/>
                <w:szCs w:val="24"/>
              </w:rPr>
            </w:pPr>
          </w:p>
        </w:tc>
      </w:tr>
      <w:tr w:rsidR="00C4619D" w:rsidRPr="003A6798" w14:paraId="2A7B1A8A" w14:textId="77777777" w:rsidTr="007538F6">
        <w:tc>
          <w:tcPr>
            <w:tcW w:w="1975" w:type="dxa"/>
          </w:tcPr>
          <w:p w14:paraId="2A7B1A86" w14:textId="29150FC2" w:rsidR="00C4619D" w:rsidRPr="00157D1F" w:rsidRDefault="00C4619D" w:rsidP="00B37BB7">
            <w:pPr>
              <w:rPr>
                <w:rFonts w:cs="Arial"/>
                <w:b/>
                <w:sz w:val="24"/>
                <w:szCs w:val="24"/>
              </w:rPr>
            </w:pPr>
            <w:r w:rsidRPr="00157D1F">
              <w:rPr>
                <w:rFonts w:cs="Arial"/>
                <w:b/>
                <w:sz w:val="24"/>
                <w:szCs w:val="24"/>
              </w:rPr>
              <w:t>P</w:t>
            </w:r>
            <w:r w:rsidR="00157D1F" w:rsidRPr="00157D1F">
              <w:rPr>
                <w:rFonts w:cs="Arial"/>
                <w:b/>
                <w:sz w:val="24"/>
                <w:szCs w:val="24"/>
              </w:rPr>
              <w:t>roject Description</w:t>
            </w:r>
          </w:p>
        </w:tc>
        <w:tc>
          <w:tcPr>
            <w:tcW w:w="7375" w:type="dxa"/>
          </w:tcPr>
          <w:p w14:paraId="2A7B1A87" w14:textId="5CC63E01" w:rsidR="007538F6" w:rsidRPr="00157D1F" w:rsidRDefault="00EE69C7" w:rsidP="007538F6">
            <w:pPr>
              <w:rPr>
                <w:sz w:val="24"/>
                <w:szCs w:val="24"/>
              </w:rPr>
            </w:pPr>
            <w:r w:rsidRPr="00EE69C7">
              <w:rPr>
                <w:sz w:val="24"/>
                <w:szCs w:val="24"/>
              </w:rPr>
              <w:t>BOOST proposes comprehensive technical assistance, communities of practice, and developmental evaluation to support OYACPP awardees in creating opportunities and addressing barriers for OYAs in California. BOOST will first identify support needed among OYACPP awardees, review and prepare their data systems to gather baseline data and track progress over time, and document individualized Evaluation and Technical Assistance Plans. Following this initial assessment, the BOOST team will deliver both group and individual-based TA, including proposed in-person convenings, virtual communities of practice, and regular communication with individual awardees (both virtual and on-site). TA approaches will include MDRC’s iterative learn-do-reflect-sustain approach, which uses data to track progress and make adaptations based on results. The BOOST team will disseminate best practices and findings throughout the project period using multiple modes to key community partners and CA stakeholders.</w:t>
            </w:r>
          </w:p>
          <w:p w14:paraId="2A7B1A88" w14:textId="77777777" w:rsidR="00E81F29" w:rsidRPr="00157D1F" w:rsidRDefault="00E81F29" w:rsidP="007538F6">
            <w:pPr>
              <w:rPr>
                <w:sz w:val="24"/>
                <w:szCs w:val="24"/>
              </w:rPr>
            </w:pPr>
          </w:p>
          <w:p w14:paraId="2A7B1A89" w14:textId="77777777" w:rsidR="00E81F29" w:rsidRPr="00157D1F" w:rsidRDefault="00E81F29" w:rsidP="007538F6">
            <w:pPr>
              <w:rPr>
                <w:rFonts w:cs="Arial"/>
                <w:sz w:val="24"/>
                <w:szCs w:val="24"/>
              </w:rPr>
            </w:pPr>
          </w:p>
        </w:tc>
      </w:tr>
      <w:tr w:rsidR="00C4619D" w:rsidRPr="003A6798" w14:paraId="2A7B1A8D" w14:textId="77777777" w:rsidTr="007538F6">
        <w:tc>
          <w:tcPr>
            <w:tcW w:w="1975" w:type="dxa"/>
          </w:tcPr>
          <w:p w14:paraId="2A7B1A8B" w14:textId="1D5A9F53" w:rsidR="00C4619D" w:rsidRPr="00157D1F" w:rsidRDefault="00C4619D" w:rsidP="00B37BB7">
            <w:pPr>
              <w:rPr>
                <w:rFonts w:cs="Arial"/>
                <w:b/>
                <w:sz w:val="24"/>
                <w:szCs w:val="24"/>
              </w:rPr>
            </w:pPr>
            <w:r w:rsidRPr="00157D1F">
              <w:rPr>
                <w:rFonts w:cs="Arial"/>
                <w:b/>
                <w:sz w:val="24"/>
                <w:szCs w:val="24"/>
              </w:rPr>
              <w:lastRenderedPageBreak/>
              <w:t>E</w:t>
            </w:r>
            <w:r w:rsidR="00157D1F" w:rsidRPr="00157D1F">
              <w:rPr>
                <w:rFonts w:cs="Arial"/>
                <w:b/>
                <w:sz w:val="24"/>
                <w:szCs w:val="24"/>
              </w:rPr>
              <w:t>xpected Outcomes</w:t>
            </w:r>
          </w:p>
        </w:tc>
        <w:tc>
          <w:tcPr>
            <w:tcW w:w="7375" w:type="dxa"/>
          </w:tcPr>
          <w:p w14:paraId="113DB8AF" w14:textId="3AB80EE9" w:rsidR="00B41A9C" w:rsidRPr="00B41A9C" w:rsidRDefault="00B41A9C" w:rsidP="00B41A9C">
            <w:pPr>
              <w:pStyle w:val="ListParagraph"/>
              <w:numPr>
                <w:ilvl w:val="0"/>
                <w:numId w:val="4"/>
              </w:numPr>
              <w:rPr>
                <w:rFonts w:cs="Arial"/>
                <w:sz w:val="24"/>
                <w:szCs w:val="24"/>
              </w:rPr>
            </w:pPr>
            <w:r w:rsidRPr="00B41A9C">
              <w:rPr>
                <w:rFonts w:cs="Arial"/>
                <w:sz w:val="24"/>
                <w:szCs w:val="24"/>
              </w:rPr>
              <w:t>Helping awardees reach and support OYAs in reaching their own education and employment goals</w:t>
            </w:r>
            <w:r>
              <w:rPr>
                <w:rFonts w:cs="Arial"/>
                <w:sz w:val="24"/>
                <w:szCs w:val="24"/>
              </w:rPr>
              <w:t>.</w:t>
            </w:r>
            <w:r w:rsidRPr="00B41A9C">
              <w:rPr>
                <w:rFonts w:cs="Arial"/>
                <w:sz w:val="24"/>
                <w:szCs w:val="24"/>
              </w:rPr>
              <w:t xml:space="preserve"> </w:t>
            </w:r>
          </w:p>
          <w:p w14:paraId="07E2D517" w14:textId="01C3B4B7" w:rsidR="00B41A9C" w:rsidRPr="00B41A9C" w:rsidRDefault="00B41A9C" w:rsidP="00B41A9C">
            <w:pPr>
              <w:pStyle w:val="ListParagraph"/>
              <w:numPr>
                <w:ilvl w:val="0"/>
                <w:numId w:val="4"/>
              </w:numPr>
              <w:rPr>
                <w:rFonts w:cs="Arial"/>
                <w:sz w:val="24"/>
                <w:szCs w:val="24"/>
              </w:rPr>
            </w:pPr>
            <w:r w:rsidRPr="00B41A9C">
              <w:rPr>
                <w:rFonts w:cs="Arial"/>
                <w:sz w:val="24"/>
                <w:szCs w:val="24"/>
              </w:rPr>
              <w:t>Building capacity for awardees to sustain their programs beyond BOOST</w:t>
            </w:r>
            <w:r>
              <w:rPr>
                <w:rFonts w:cs="Arial"/>
                <w:sz w:val="24"/>
                <w:szCs w:val="24"/>
              </w:rPr>
              <w:t>.</w:t>
            </w:r>
          </w:p>
          <w:p w14:paraId="2A7B1A8C" w14:textId="4BF876D8" w:rsidR="00EE69C7" w:rsidRPr="00B41A9C" w:rsidRDefault="00B41A9C" w:rsidP="00B41A9C">
            <w:pPr>
              <w:pStyle w:val="ListParagraph"/>
              <w:numPr>
                <w:ilvl w:val="0"/>
                <w:numId w:val="4"/>
              </w:numPr>
              <w:rPr>
                <w:rFonts w:cs="Arial"/>
                <w:sz w:val="24"/>
                <w:szCs w:val="24"/>
              </w:rPr>
            </w:pPr>
            <w:r w:rsidRPr="00B41A9C">
              <w:rPr>
                <w:rFonts w:cs="Arial"/>
                <w:sz w:val="24"/>
                <w:szCs w:val="24"/>
              </w:rPr>
              <w:t>Disseminating findings from the developmental evaluation within the state of California around best practices and lessons learned</w:t>
            </w:r>
            <w:r>
              <w:rPr>
                <w:rFonts w:cs="Arial"/>
                <w:sz w:val="24"/>
                <w:szCs w:val="24"/>
              </w:rPr>
              <w:t>.</w:t>
            </w:r>
          </w:p>
        </w:tc>
      </w:tr>
    </w:tbl>
    <w:p w14:paraId="2A7B1A8E" w14:textId="31827DD0" w:rsidR="00E81F29" w:rsidRPr="00157D1F" w:rsidRDefault="00E81F2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81F29" w:rsidRPr="003A6798" w14:paraId="2A7B1A93" w14:textId="77777777" w:rsidTr="00130055">
        <w:tc>
          <w:tcPr>
            <w:tcW w:w="1975" w:type="dxa"/>
          </w:tcPr>
          <w:p w14:paraId="2A7B1A8F" w14:textId="73D0BFA7" w:rsidR="00E81F29" w:rsidRPr="003A6798" w:rsidRDefault="00E81F29" w:rsidP="00130055">
            <w:pPr>
              <w:rPr>
                <w:rFonts w:cs="Arial"/>
                <w:b/>
              </w:rPr>
            </w:pPr>
          </w:p>
        </w:tc>
        <w:tc>
          <w:tcPr>
            <w:tcW w:w="7375" w:type="dxa"/>
          </w:tcPr>
          <w:p w14:paraId="2A7B1A92" w14:textId="77777777" w:rsidR="00E81F29" w:rsidRPr="003A6798" w:rsidRDefault="00E81F29" w:rsidP="00130055">
            <w:pPr>
              <w:rPr>
                <w:rFonts w:cs="Arial"/>
              </w:rPr>
            </w:pPr>
          </w:p>
        </w:tc>
      </w:tr>
      <w:tr w:rsidR="00E81F29" w:rsidRPr="003A6798" w14:paraId="2A7B1A99" w14:textId="77777777" w:rsidTr="00130055">
        <w:tc>
          <w:tcPr>
            <w:tcW w:w="1975" w:type="dxa"/>
          </w:tcPr>
          <w:p w14:paraId="2A7B1A94" w14:textId="2A555CE9" w:rsidR="00E81F29" w:rsidRPr="003A6798" w:rsidRDefault="00E81F29" w:rsidP="00130055">
            <w:pPr>
              <w:rPr>
                <w:rFonts w:cs="Arial"/>
                <w:b/>
              </w:rPr>
            </w:pPr>
          </w:p>
        </w:tc>
        <w:tc>
          <w:tcPr>
            <w:tcW w:w="7375" w:type="dxa"/>
          </w:tcPr>
          <w:p w14:paraId="2A7B1A98" w14:textId="77777777" w:rsidR="00E81F29" w:rsidRPr="003A6798" w:rsidRDefault="00E81F29" w:rsidP="005C4514">
            <w:pPr>
              <w:rPr>
                <w:rFonts w:cs="Arial"/>
              </w:rPr>
            </w:pPr>
          </w:p>
        </w:tc>
      </w:tr>
      <w:tr w:rsidR="00E81F29" w:rsidRPr="003A6798" w14:paraId="2A7B1A9C" w14:textId="77777777" w:rsidTr="00130055">
        <w:trPr>
          <w:trHeight w:val="432"/>
        </w:trPr>
        <w:tc>
          <w:tcPr>
            <w:tcW w:w="1975" w:type="dxa"/>
          </w:tcPr>
          <w:p w14:paraId="2A7B1A9A" w14:textId="74DF809E" w:rsidR="00E81F29" w:rsidRPr="003A6798" w:rsidRDefault="00E81F29" w:rsidP="00130055">
            <w:pPr>
              <w:rPr>
                <w:rFonts w:cs="Arial"/>
                <w:b/>
              </w:rPr>
            </w:pPr>
          </w:p>
        </w:tc>
        <w:tc>
          <w:tcPr>
            <w:tcW w:w="7375" w:type="dxa"/>
          </w:tcPr>
          <w:p w14:paraId="2A7B1A9B" w14:textId="27DA1835" w:rsidR="00E81F29" w:rsidRPr="003A6798" w:rsidRDefault="00E81F29" w:rsidP="00130055">
            <w:pPr>
              <w:rPr>
                <w:rFonts w:cs="Arial"/>
              </w:rPr>
            </w:pPr>
          </w:p>
        </w:tc>
      </w:tr>
      <w:tr w:rsidR="00E81F29" w:rsidRPr="003A6798" w14:paraId="2A7B1A9F" w14:textId="77777777" w:rsidTr="00130055">
        <w:trPr>
          <w:trHeight w:val="567"/>
        </w:trPr>
        <w:tc>
          <w:tcPr>
            <w:tcW w:w="1975" w:type="dxa"/>
          </w:tcPr>
          <w:p w14:paraId="2A7B1A9D" w14:textId="2CEF8C67" w:rsidR="00E81F29" w:rsidRPr="003A6798" w:rsidRDefault="00E81F29" w:rsidP="00130055">
            <w:pPr>
              <w:rPr>
                <w:rFonts w:cs="Arial"/>
                <w:b/>
              </w:rPr>
            </w:pPr>
          </w:p>
        </w:tc>
        <w:tc>
          <w:tcPr>
            <w:tcW w:w="7375" w:type="dxa"/>
          </w:tcPr>
          <w:p w14:paraId="2A7B1A9E" w14:textId="3D5625A9" w:rsidR="00E81F29" w:rsidRPr="003A6798" w:rsidRDefault="00E81F29" w:rsidP="00130055">
            <w:pPr>
              <w:rPr>
                <w:rFonts w:cs="Arial"/>
              </w:rPr>
            </w:pPr>
          </w:p>
        </w:tc>
      </w:tr>
      <w:tr w:rsidR="00E81F29" w:rsidRPr="003A6798" w14:paraId="2A7B1AA4" w14:textId="77777777" w:rsidTr="00130055">
        <w:tc>
          <w:tcPr>
            <w:tcW w:w="1975" w:type="dxa"/>
          </w:tcPr>
          <w:p w14:paraId="2A7B1AA1" w14:textId="77777777" w:rsidR="00E81F29" w:rsidRPr="003A6798" w:rsidRDefault="00E81F29" w:rsidP="00130055">
            <w:pPr>
              <w:rPr>
                <w:rFonts w:cs="Arial"/>
                <w:b/>
              </w:rPr>
            </w:pPr>
          </w:p>
        </w:tc>
        <w:tc>
          <w:tcPr>
            <w:tcW w:w="7375" w:type="dxa"/>
          </w:tcPr>
          <w:p w14:paraId="2A7B1AA3" w14:textId="77777777" w:rsidR="00E81F29" w:rsidRPr="003A6798" w:rsidRDefault="00E81F29" w:rsidP="00130055">
            <w:pPr>
              <w:rPr>
                <w:rFonts w:cs="Arial"/>
              </w:rPr>
            </w:pPr>
          </w:p>
        </w:tc>
      </w:tr>
      <w:tr w:rsidR="00E81F29" w:rsidRPr="003A6798" w14:paraId="2A7B1AA8" w14:textId="77777777" w:rsidTr="00130055">
        <w:tc>
          <w:tcPr>
            <w:tcW w:w="1975" w:type="dxa"/>
          </w:tcPr>
          <w:p w14:paraId="2A7B1AA5" w14:textId="7CEA143F" w:rsidR="00E81F29" w:rsidRPr="003A6798" w:rsidRDefault="00E81F29" w:rsidP="00130055">
            <w:pPr>
              <w:rPr>
                <w:rFonts w:cs="Arial"/>
                <w:b/>
              </w:rPr>
            </w:pPr>
          </w:p>
        </w:tc>
        <w:tc>
          <w:tcPr>
            <w:tcW w:w="7375" w:type="dxa"/>
          </w:tcPr>
          <w:p w14:paraId="2A7B1AA7" w14:textId="77777777" w:rsidR="00E81F29" w:rsidRPr="003A6798" w:rsidRDefault="00E81F29" w:rsidP="00130055">
            <w:pPr>
              <w:rPr>
                <w:rFonts w:cs="Arial"/>
              </w:rPr>
            </w:pPr>
          </w:p>
        </w:tc>
      </w:tr>
      <w:tr w:rsidR="00E81F29" w:rsidRPr="003A6798" w14:paraId="2A7B1AAD" w14:textId="77777777" w:rsidTr="00130055">
        <w:tc>
          <w:tcPr>
            <w:tcW w:w="1975" w:type="dxa"/>
          </w:tcPr>
          <w:p w14:paraId="2A7B1AA9" w14:textId="3B17A402" w:rsidR="00E81F29" w:rsidRPr="003A6798" w:rsidRDefault="00E81F29" w:rsidP="00130055">
            <w:pPr>
              <w:rPr>
                <w:rFonts w:cs="Arial"/>
                <w:b/>
              </w:rPr>
            </w:pPr>
          </w:p>
        </w:tc>
        <w:tc>
          <w:tcPr>
            <w:tcW w:w="7375" w:type="dxa"/>
          </w:tcPr>
          <w:p w14:paraId="2A7B1AAC" w14:textId="77777777" w:rsidR="00E81F29" w:rsidRPr="003A6798" w:rsidRDefault="00E81F29" w:rsidP="00130055">
            <w:pPr>
              <w:rPr>
                <w:rFonts w:cs="Arial"/>
              </w:rPr>
            </w:pPr>
          </w:p>
        </w:tc>
      </w:tr>
      <w:tr w:rsidR="00E81F29" w:rsidRPr="003A6798" w14:paraId="2A7B1AB0" w14:textId="77777777" w:rsidTr="00130055">
        <w:tc>
          <w:tcPr>
            <w:tcW w:w="1975" w:type="dxa"/>
          </w:tcPr>
          <w:p w14:paraId="2A7B1AAE" w14:textId="149947BC" w:rsidR="00E81F29" w:rsidRPr="003A6798" w:rsidRDefault="00E81F29" w:rsidP="00130055">
            <w:pPr>
              <w:rPr>
                <w:rFonts w:cs="Arial"/>
                <w:b/>
              </w:rPr>
            </w:pPr>
          </w:p>
        </w:tc>
        <w:tc>
          <w:tcPr>
            <w:tcW w:w="7375" w:type="dxa"/>
          </w:tcPr>
          <w:p w14:paraId="2A7B1AAF" w14:textId="14FBA297" w:rsidR="00E81F29" w:rsidRPr="003A6798" w:rsidRDefault="00E81F29" w:rsidP="00130055">
            <w:pPr>
              <w:rPr>
                <w:rFonts w:cs="Arial"/>
              </w:rPr>
            </w:pPr>
          </w:p>
        </w:tc>
      </w:tr>
    </w:tbl>
    <w:p w14:paraId="2A7B1AB1" w14:textId="77777777" w:rsidR="003A6798" w:rsidRDefault="003A6798" w:rsidP="00E81F29"/>
    <w:sectPr w:rsidR="003A6798"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1C2A008D" w:rsidR="005E57E5" w:rsidRDefault="008B5B93" w:rsidP="003A6798">
            <w:pPr>
              <w:pStyle w:val="Footer"/>
            </w:pPr>
            <w:r>
              <w:t>OYA ETA</w:t>
            </w:r>
            <w:r w:rsidR="00E81F29" w:rsidRPr="00C246E9">
              <w:rPr>
                <w:sz w:val="24"/>
                <w:szCs w:val="24"/>
              </w:rPr>
              <w:t xml:space="preserve"> SFP </w:t>
            </w:r>
            <w:r w:rsidR="00011FF6" w:rsidRPr="00C246E9">
              <w:rPr>
                <w:sz w:val="24"/>
                <w:szCs w:val="24"/>
              </w:rPr>
              <w:t xml:space="preserve">PY </w:t>
            </w:r>
            <w:r w:rsidR="00E81F29" w:rsidRPr="00C246E9">
              <w:rPr>
                <w:sz w:val="24"/>
                <w:szCs w:val="24"/>
              </w:rPr>
              <w:t>20</w:t>
            </w:r>
            <w:r>
              <w:rPr>
                <w:sz w:val="24"/>
                <w:szCs w:val="24"/>
              </w:rPr>
              <w:t>24</w:t>
            </w:r>
            <w:r w:rsidR="003A6798" w:rsidRPr="00C246E9">
              <w:rPr>
                <w:sz w:val="24"/>
                <w:szCs w:val="24"/>
              </w:rPr>
              <w:t>-</w:t>
            </w:r>
            <w:r>
              <w:rPr>
                <w:sz w:val="24"/>
                <w:szCs w:val="24"/>
              </w:rPr>
              <w:t>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4BF779FB" w:rsidR="00C246E9" w:rsidRDefault="008B5B93" w:rsidP="00C246E9">
        <w:pPr>
          <w:pStyle w:val="Footer"/>
        </w:pPr>
        <w:r>
          <w:t xml:space="preserve">OYA ETA </w:t>
        </w:r>
        <w:r w:rsidR="00C246E9" w:rsidRPr="00C246E9">
          <w:rPr>
            <w:sz w:val="24"/>
            <w:szCs w:val="24"/>
          </w:rPr>
          <w:t>SFP PY 20</w:t>
        </w:r>
        <w:r>
          <w:rPr>
            <w:sz w:val="24"/>
            <w:szCs w:val="24"/>
          </w:rPr>
          <w:t>24</w:t>
        </w:r>
        <w:r w:rsidR="00C246E9" w:rsidRPr="00C246E9">
          <w:rPr>
            <w:sz w:val="24"/>
            <w:szCs w:val="24"/>
          </w:rPr>
          <w:t>-</w:t>
        </w:r>
        <w:r>
          <w:rPr>
            <w:sz w:val="24"/>
            <w:szCs w:val="24"/>
          </w:rPr>
          <w:t>25</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96083"/>
    <w:multiLevelType w:val="hybridMultilevel"/>
    <w:tmpl w:val="A42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87565"/>
    <w:multiLevelType w:val="hybridMultilevel"/>
    <w:tmpl w:val="EEB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61014"/>
    <w:multiLevelType w:val="hybridMultilevel"/>
    <w:tmpl w:val="FEE6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9D3C4F"/>
    <w:multiLevelType w:val="hybridMultilevel"/>
    <w:tmpl w:val="ADB0A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5167564">
    <w:abstractNumId w:val="2"/>
  </w:num>
  <w:num w:numId="2" w16cid:durableId="1172455245">
    <w:abstractNumId w:val="1"/>
  </w:num>
  <w:num w:numId="3" w16cid:durableId="949162539">
    <w:abstractNumId w:val="0"/>
  </w:num>
  <w:num w:numId="4" w16cid:durableId="703017816">
    <w:abstractNumId w:val="4"/>
  </w:num>
  <w:num w:numId="5" w16cid:durableId="2073119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tLC0NLQ0MbI0NLdU0lEKTi0uzszPAykwqQUAqXN++SwAAAA="/>
  </w:docVars>
  <w:rsids>
    <w:rsidRoot w:val="00C4619D"/>
    <w:rsid w:val="00011FF6"/>
    <w:rsid w:val="00070957"/>
    <w:rsid w:val="00077074"/>
    <w:rsid w:val="000907CE"/>
    <w:rsid w:val="000D41F4"/>
    <w:rsid w:val="000F1D71"/>
    <w:rsid w:val="00133D16"/>
    <w:rsid w:val="0015018E"/>
    <w:rsid w:val="00157D1F"/>
    <w:rsid w:val="00166463"/>
    <w:rsid w:val="001E40A3"/>
    <w:rsid w:val="00233C68"/>
    <w:rsid w:val="00243E97"/>
    <w:rsid w:val="00246028"/>
    <w:rsid w:val="0027732C"/>
    <w:rsid w:val="0029566A"/>
    <w:rsid w:val="002A057F"/>
    <w:rsid w:val="002A49F5"/>
    <w:rsid w:val="002A4A7B"/>
    <w:rsid w:val="002F1B40"/>
    <w:rsid w:val="00340557"/>
    <w:rsid w:val="00350EB7"/>
    <w:rsid w:val="003A6798"/>
    <w:rsid w:val="003F4960"/>
    <w:rsid w:val="004C54B7"/>
    <w:rsid w:val="004C7A9D"/>
    <w:rsid w:val="004D2C52"/>
    <w:rsid w:val="004D4E7D"/>
    <w:rsid w:val="004F29AA"/>
    <w:rsid w:val="005238EE"/>
    <w:rsid w:val="00534AD0"/>
    <w:rsid w:val="005C4514"/>
    <w:rsid w:val="005E57E5"/>
    <w:rsid w:val="006374D0"/>
    <w:rsid w:val="0064435D"/>
    <w:rsid w:val="00686543"/>
    <w:rsid w:val="00693DDF"/>
    <w:rsid w:val="006A609C"/>
    <w:rsid w:val="006D1667"/>
    <w:rsid w:val="0071078A"/>
    <w:rsid w:val="00716530"/>
    <w:rsid w:val="00716669"/>
    <w:rsid w:val="00724C23"/>
    <w:rsid w:val="007538F6"/>
    <w:rsid w:val="00771FA8"/>
    <w:rsid w:val="007C0F9E"/>
    <w:rsid w:val="007D3711"/>
    <w:rsid w:val="008061A0"/>
    <w:rsid w:val="00861DD5"/>
    <w:rsid w:val="008909EA"/>
    <w:rsid w:val="008B1F24"/>
    <w:rsid w:val="008B5B93"/>
    <w:rsid w:val="008E7120"/>
    <w:rsid w:val="0095422E"/>
    <w:rsid w:val="009632DF"/>
    <w:rsid w:val="00A05EF4"/>
    <w:rsid w:val="00A11416"/>
    <w:rsid w:val="00A21B60"/>
    <w:rsid w:val="00A311B3"/>
    <w:rsid w:val="00A727A7"/>
    <w:rsid w:val="00A73267"/>
    <w:rsid w:val="00A753B5"/>
    <w:rsid w:val="00A75959"/>
    <w:rsid w:val="00A86DD1"/>
    <w:rsid w:val="00A87723"/>
    <w:rsid w:val="00AA6392"/>
    <w:rsid w:val="00B33D8D"/>
    <w:rsid w:val="00B37BB7"/>
    <w:rsid w:val="00B41A9C"/>
    <w:rsid w:val="00B44FC5"/>
    <w:rsid w:val="00B61E64"/>
    <w:rsid w:val="00B76A06"/>
    <w:rsid w:val="00B775DE"/>
    <w:rsid w:val="00BC356A"/>
    <w:rsid w:val="00BF7C9C"/>
    <w:rsid w:val="00BF7E4A"/>
    <w:rsid w:val="00C246E9"/>
    <w:rsid w:val="00C33953"/>
    <w:rsid w:val="00C4619D"/>
    <w:rsid w:val="00C46EDF"/>
    <w:rsid w:val="00C864F3"/>
    <w:rsid w:val="00CE79FB"/>
    <w:rsid w:val="00D00615"/>
    <w:rsid w:val="00D229A2"/>
    <w:rsid w:val="00D7273E"/>
    <w:rsid w:val="00DD5A7C"/>
    <w:rsid w:val="00E23A28"/>
    <w:rsid w:val="00E52A71"/>
    <w:rsid w:val="00E601D8"/>
    <w:rsid w:val="00E81F29"/>
    <w:rsid w:val="00EA22D1"/>
    <w:rsid w:val="00EE69C7"/>
    <w:rsid w:val="00EE6F6A"/>
    <w:rsid w:val="00EF2FB1"/>
    <w:rsid w:val="00EF4E2D"/>
    <w:rsid w:val="00F510A9"/>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ListParagraph">
    <w:name w:val="List Paragraph"/>
    <w:basedOn w:val="Normal"/>
    <w:uiPriority w:val="34"/>
    <w:qFormat/>
    <w:rsid w:val="00EE69C7"/>
    <w:pPr>
      <w:ind w:left="720"/>
      <w:contextualSpacing/>
    </w:pPr>
  </w:style>
  <w:style w:type="character" w:styleId="UnresolvedMention">
    <w:name w:val="Unresolved Mention"/>
    <w:basedOn w:val="DefaultParagraphFont"/>
    <w:uiPriority w:val="99"/>
    <w:semiHidden/>
    <w:unhideWhenUsed/>
    <w:rsid w:val="00C46EDF"/>
    <w:rPr>
      <w:color w:val="605E5C"/>
      <w:shd w:val="clear" w:color="auto" w:fill="E1DFDD"/>
    </w:rPr>
  </w:style>
  <w:style w:type="character" w:styleId="FollowedHyperlink">
    <w:name w:val="FollowedHyperlink"/>
    <w:basedOn w:val="DefaultParagraphFont"/>
    <w:uiPriority w:val="99"/>
    <w:semiHidden/>
    <w:unhideWhenUsed/>
    <w:rsid w:val="00C46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14697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les.Michalopoulos@md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2.xml><?xml version="1.0" encoding="utf-8"?>
<ds:datastoreItem xmlns:ds="http://schemas.openxmlformats.org/officeDocument/2006/customXml" ds:itemID="{713DF960-B91E-42A4-BF44-EB0FF909A7FF}">
  <ds:schemaRefs>
    <ds:schemaRef ds:uri="http://schemas.microsoft.com/office/2006/metadata/properties"/>
    <ds:schemaRef ds:uri="http://purl.org/dc/elements/1.1/"/>
    <ds:schemaRef ds:uri="87723afd-882f-4d2a-a77d-9bd4bb59c539"/>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788BFB8-4BC5-4584-A599-919E84CC4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393</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OYA ETA PY 24-25 Award List</dc:title>
  <dc:subject/>
  <dc:creator>KA</dc:creator>
  <cp:keywords>SFP, grant funding</cp:keywords>
  <dc:description/>
  <cp:lastModifiedBy>Richardson, Jeffrey@EDD</cp:lastModifiedBy>
  <cp:revision>9</cp:revision>
  <cp:lastPrinted>2017-06-15T19:41:00Z</cp:lastPrinted>
  <dcterms:created xsi:type="dcterms:W3CDTF">2025-01-10T22:45:00Z</dcterms:created>
  <dcterms:modified xsi:type="dcterms:W3CDTF">2025-03-17T19:40:00Z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GrammarlyDocumentId">
    <vt:lpwstr>6d039f5fb5020d87bd079b287a41a89993da9415bcd75b98568e823420b3764e</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