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0BD2C" w14:textId="0AC4FFBC" w:rsidR="005E3EFB" w:rsidRPr="005E3EFB" w:rsidRDefault="005E3EFB" w:rsidP="004277B6">
      <w:pPr>
        <w:pStyle w:val="Header"/>
        <w:tabs>
          <w:tab w:val="left" w:pos="360"/>
        </w:tabs>
        <w:rPr>
          <w:rFonts w:cstheme="minorHAnsi"/>
          <w:bCs/>
          <w:szCs w:val="24"/>
        </w:rPr>
      </w:pPr>
      <w:r>
        <w:rPr>
          <w:noProof/>
        </w:rPr>
        <w:drawing>
          <wp:inline distT="0" distB="0" distL="0" distR="0" wp14:anchorId="35DD537A" wp14:editId="06D842CB">
            <wp:extent cx="1753974" cy="638175"/>
            <wp:effectExtent l="0" t="0" r="0" b="0"/>
            <wp:docPr id="784037074" name="Picture 784037074" descr="EDD, Employment Development Department, State of California" title="Employment Development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5995" cy="638910"/>
                    </a:xfrm>
                    <a:prstGeom prst="rect">
                      <a:avLst/>
                    </a:prstGeom>
                    <a:noFill/>
                  </pic:spPr>
                </pic:pic>
              </a:graphicData>
            </a:graphic>
          </wp:inline>
        </w:drawing>
      </w:r>
    </w:p>
    <w:p w14:paraId="00B0D934" w14:textId="653A907F" w:rsidR="005E3EFB" w:rsidRDefault="002A68D4" w:rsidP="004277B6">
      <w:pPr>
        <w:pStyle w:val="Header"/>
        <w:tabs>
          <w:tab w:val="left" w:pos="360"/>
        </w:tabs>
        <w:rPr>
          <w:rFonts w:cstheme="minorHAnsi"/>
          <w:b/>
          <w:color w:val="1F4E79" w:themeColor="accent1" w:themeShade="80"/>
          <w:sz w:val="28"/>
          <w:szCs w:val="28"/>
        </w:rPr>
      </w:pPr>
      <w:r>
        <w:rPr>
          <w:rFonts w:cstheme="minorHAnsi"/>
          <w:b/>
          <w:color w:val="1F4E79" w:themeColor="accent1" w:themeShade="80"/>
          <w:sz w:val="28"/>
          <w:szCs w:val="28"/>
        </w:rPr>
        <w:t>Opportunity Young Adult Career Pathway Program</w:t>
      </w:r>
    </w:p>
    <w:p w14:paraId="1B895086" w14:textId="77777777" w:rsidR="005E3EFB" w:rsidRDefault="005E3EFB" w:rsidP="004277B6">
      <w:pPr>
        <w:pStyle w:val="Header"/>
        <w:tabs>
          <w:tab w:val="left" w:pos="360"/>
        </w:tabs>
        <w:rPr>
          <w:rFonts w:cstheme="minorHAnsi"/>
          <w:b/>
          <w:color w:val="1F4E79" w:themeColor="accent1" w:themeShade="80"/>
          <w:sz w:val="28"/>
          <w:szCs w:val="28"/>
        </w:rPr>
      </w:pPr>
      <w:r>
        <w:rPr>
          <w:rFonts w:cstheme="minorHAnsi"/>
          <w:b/>
          <w:color w:val="1F4E79" w:themeColor="accent1" w:themeShade="80"/>
          <w:sz w:val="28"/>
          <w:szCs w:val="28"/>
        </w:rPr>
        <w:t xml:space="preserve">Solicitation for Proposals </w:t>
      </w:r>
      <w:r w:rsidRPr="00DF7D10">
        <w:rPr>
          <w:rFonts w:cstheme="minorHAnsi"/>
          <w:b/>
          <w:color w:val="1F4E79" w:themeColor="accent1" w:themeShade="80"/>
          <w:sz w:val="28"/>
          <w:szCs w:val="28"/>
        </w:rPr>
        <w:t>P</w:t>
      </w:r>
      <w:r>
        <w:rPr>
          <w:rFonts w:cstheme="minorHAnsi"/>
          <w:b/>
          <w:color w:val="1F4E79" w:themeColor="accent1" w:themeShade="80"/>
          <w:sz w:val="28"/>
          <w:szCs w:val="28"/>
        </w:rPr>
        <w:t xml:space="preserve">rogram </w:t>
      </w:r>
      <w:r w:rsidRPr="00DF7D10">
        <w:rPr>
          <w:rFonts w:cstheme="minorHAnsi"/>
          <w:b/>
          <w:color w:val="1F4E79" w:themeColor="accent1" w:themeShade="80"/>
          <w:sz w:val="28"/>
          <w:szCs w:val="28"/>
        </w:rPr>
        <w:t>Y</w:t>
      </w:r>
      <w:r>
        <w:rPr>
          <w:rFonts w:cstheme="minorHAnsi"/>
          <w:b/>
          <w:color w:val="1F4E79" w:themeColor="accent1" w:themeShade="80"/>
          <w:sz w:val="28"/>
          <w:szCs w:val="28"/>
        </w:rPr>
        <w:t>ear</w:t>
      </w:r>
      <w:r w:rsidRPr="00DF7D10">
        <w:rPr>
          <w:rFonts w:cstheme="minorHAnsi"/>
          <w:b/>
          <w:color w:val="1F4E79" w:themeColor="accent1" w:themeShade="80"/>
          <w:sz w:val="28"/>
          <w:szCs w:val="28"/>
        </w:rPr>
        <w:t xml:space="preserve"> </w:t>
      </w:r>
      <w:r>
        <w:rPr>
          <w:rFonts w:cstheme="minorHAnsi"/>
          <w:b/>
          <w:color w:val="1F4E79" w:themeColor="accent1" w:themeShade="80"/>
          <w:sz w:val="28"/>
          <w:szCs w:val="28"/>
        </w:rPr>
        <w:t>2024-25</w:t>
      </w:r>
    </w:p>
    <w:p w14:paraId="6F0D702D" w14:textId="7DE2D3BB" w:rsidR="005E3EFB" w:rsidRDefault="005E3EFB" w:rsidP="004277B6">
      <w:pPr>
        <w:pStyle w:val="Header"/>
        <w:tabs>
          <w:tab w:val="left" w:pos="360"/>
        </w:tabs>
        <w:rPr>
          <w:rFonts w:cstheme="minorHAnsi"/>
          <w:b/>
          <w:color w:val="1F4E79" w:themeColor="accent1" w:themeShade="80"/>
          <w:sz w:val="28"/>
          <w:szCs w:val="28"/>
        </w:rPr>
      </w:pPr>
      <w:r>
        <w:rPr>
          <w:rFonts w:cstheme="minorHAnsi"/>
          <w:b/>
          <w:color w:val="1F4E79" w:themeColor="accent1" w:themeShade="80"/>
          <w:sz w:val="28"/>
          <w:szCs w:val="28"/>
        </w:rPr>
        <w:t>Questions and Answers</w:t>
      </w:r>
    </w:p>
    <w:p w14:paraId="76E67EEA" w14:textId="77777777" w:rsidR="005E3EFB" w:rsidRDefault="005E3EFB" w:rsidP="004277B6">
      <w:pPr>
        <w:tabs>
          <w:tab w:val="left" w:pos="360"/>
        </w:tabs>
        <w:sectPr w:rsidR="005E3EFB" w:rsidSect="005E3EFB">
          <w:headerReference w:type="default" r:id="rId12"/>
          <w:footerReference w:type="default" r:id="rId13"/>
          <w:headerReference w:type="first" r:id="rId14"/>
          <w:footerReference w:type="first" r:id="rId15"/>
          <w:pgSz w:w="12240" w:h="15840"/>
          <w:pgMar w:top="1008" w:right="1008" w:bottom="1008" w:left="1008" w:header="720" w:footer="720" w:gutter="0"/>
          <w:cols w:num="2" w:space="144" w:equalWidth="0">
            <w:col w:w="2880" w:space="144"/>
            <w:col w:w="7200"/>
          </w:cols>
          <w:titlePg/>
          <w:docGrid w:linePitch="360"/>
        </w:sectPr>
      </w:pPr>
    </w:p>
    <w:p w14:paraId="451712C6" w14:textId="77777777" w:rsidR="005E3EFB" w:rsidRPr="001A2FE1" w:rsidRDefault="005E3EFB" w:rsidP="004277B6">
      <w:pPr>
        <w:pBdr>
          <w:bottom w:val="single" w:sz="4" w:space="1" w:color="auto"/>
        </w:pBdr>
        <w:tabs>
          <w:tab w:val="left" w:pos="360"/>
        </w:tabs>
        <w:rPr>
          <w:b/>
          <w:sz w:val="16"/>
          <w:szCs w:val="16"/>
        </w:rPr>
      </w:pPr>
    </w:p>
    <w:p w14:paraId="774C29E8" w14:textId="3A6A3D13" w:rsidR="4DE83F98" w:rsidRDefault="4DE83F98" w:rsidP="00A541B5">
      <w:pPr>
        <w:tabs>
          <w:tab w:val="left" w:pos="540"/>
        </w:tabs>
      </w:pPr>
    </w:p>
    <w:p w14:paraId="65668EB3" w14:textId="207088FD" w:rsidR="006D0069" w:rsidRPr="00915FAB" w:rsidRDefault="00D07940" w:rsidP="00A541B5">
      <w:pPr>
        <w:pStyle w:val="ListParagraph"/>
        <w:numPr>
          <w:ilvl w:val="0"/>
          <w:numId w:val="16"/>
        </w:numPr>
        <w:tabs>
          <w:tab w:val="left" w:pos="540"/>
        </w:tabs>
      </w:pPr>
      <w:bookmarkStart w:id="0" w:name="_Hlk179887024"/>
      <w:r>
        <w:rPr>
          <w:rStyle w:val="Heading1Char"/>
          <w:bCs/>
        </w:rPr>
        <w:t>Could you please clarify if for-profit training providers are eligible to apply for the grant, or only non-profit training providers?</w:t>
      </w:r>
    </w:p>
    <w:bookmarkEnd w:id="0"/>
    <w:p w14:paraId="2A7D462A" w14:textId="77777777" w:rsidR="006D0069" w:rsidRPr="000D27DB" w:rsidRDefault="006D0069" w:rsidP="004277B6">
      <w:pPr>
        <w:tabs>
          <w:tab w:val="left" w:pos="540"/>
        </w:tabs>
        <w:rPr>
          <w:rFonts w:cstheme="minorHAnsi"/>
          <w:szCs w:val="24"/>
        </w:rPr>
      </w:pPr>
    </w:p>
    <w:p w14:paraId="515304AD" w14:textId="68F42B2C" w:rsidR="005672DE" w:rsidRDefault="00AC69F2" w:rsidP="004277B6">
      <w:pPr>
        <w:tabs>
          <w:tab w:val="left" w:pos="540"/>
        </w:tabs>
        <w:ind w:left="360"/>
        <w:rPr>
          <w:rFonts w:cstheme="minorHAnsi"/>
          <w:szCs w:val="24"/>
        </w:rPr>
      </w:pPr>
      <w:r>
        <w:rPr>
          <w:rFonts w:cstheme="minorHAnsi"/>
          <w:szCs w:val="24"/>
        </w:rPr>
        <w:t>For-profit businesses are not eligible for this funding opportunity. This includes for-profit training providers.</w:t>
      </w:r>
    </w:p>
    <w:p w14:paraId="0F891A64" w14:textId="192C8ABD" w:rsidR="00101AAC" w:rsidRPr="00101AAC" w:rsidRDefault="00101AAC" w:rsidP="004277B6">
      <w:pPr>
        <w:tabs>
          <w:tab w:val="left" w:pos="540"/>
        </w:tabs>
        <w:ind w:left="360"/>
        <w:rPr>
          <w:rFonts w:cstheme="minorHAnsi"/>
          <w:i/>
          <w:iCs/>
          <w:szCs w:val="24"/>
        </w:rPr>
      </w:pPr>
      <w:r w:rsidRPr="00101AAC">
        <w:rPr>
          <w:rFonts w:cstheme="minorHAnsi"/>
          <w:i/>
          <w:iCs/>
          <w:szCs w:val="24"/>
        </w:rPr>
        <w:t>For additional information please reference page 5 of the SFP.</w:t>
      </w:r>
    </w:p>
    <w:p w14:paraId="5BB5466D" w14:textId="77777777" w:rsidR="00DB1930" w:rsidRPr="000D27DB" w:rsidRDefault="00DB1930" w:rsidP="004277B6">
      <w:pPr>
        <w:tabs>
          <w:tab w:val="left" w:pos="540"/>
        </w:tabs>
        <w:rPr>
          <w:rFonts w:cstheme="minorHAnsi"/>
          <w:szCs w:val="24"/>
        </w:rPr>
      </w:pPr>
    </w:p>
    <w:p w14:paraId="1CF4C2DC" w14:textId="52815EA4" w:rsidR="006D0069" w:rsidRPr="000D27DB" w:rsidRDefault="00D07940" w:rsidP="004277B6">
      <w:pPr>
        <w:pStyle w:val="Heading1"/>
        <w:numPr>
          <w:ilvl w:val="0"/>
          <w:numId w:val="16"/>
        </w:numPr>
        <w:tabs>
          <w:tab w:val="left" w:pos="540"/>
        </w:tabs>
        <w:rPr>
          <w:rFonts w:cstheme="minorHAnsi"/>
          <w:szCs w:val="24"/>
        </w:rPr>
      </w:pPr>
      <w:bookmarkStart w:id="1" w:name="_Hlk179887042"/>
      <w:r>
        <w:rPr>
          <w:rFonts w:cstheme="minorHAnsi"/>
          <w:szCs w:val="24"/>
        </w:rPr>
        <w:t>In terms of the minimum leverage requirement of 20%, is the leverage considered part of the requested amount ($2 million requested = $1.6 million received + $400,000 leveraged) or in addition to the requested amount ($2 million requested = $2 million received + $400,000 leveraged)?</w:t>
      </w:r>
    </w:p>
    <w:bookmarkEnd w:id="1"/>
    <w:p w14:paraId="74E43C2C" w14:textId="56744C62" w:rsidR="006D0069" w:rsidRPr="000D27DB" w:rsidRDefault="006D0069" w:rsidP="004277B6">
      <w:pPr>
        <w:tabs>
          <w:tab w:val="left" w:pos="540"/>
        </w:tabs>
        <w:rPr>
          <w:rFonts w:cstheme="minorHAnsi"/>
          <w:szCs w:val="24"/>
        </w:rPr>
      </w:pPr>
    </w:p>
    <w:p w14:paraId="67B8E3B4" w14:textId="76C1CB26" w:rsidR="004F3231" w:rsidRDefault="00AC69F2" w:rsidP="004277B6">
      <w:pPr>
        <w:tabs>
          <w:tab w:val="left" w:pos="540"/>
        </w:tabs>
        <w:ind w:left="360"/>
      </w:pPr>
      <w:r>
        <w:t xml:space="preserve">Applicants are required to demonstrate a minimum of 20% leveraged </w:t>
      </w:r>
      <w:r w:rsidR="00A543B2">
        <w:t>resources</w:t>
      </w:r>
      <w:r>
        <w:t xml:space="preserve"> in relation to the total requested funds. If $2 million is being requested, at least $400,000 must be leveraged. </w:t>
      </w:r>
    </w:p>
    <w:p w14:paraId="7419C4E7" w14:textId="6B423695" w:rsidR="00101AAC" w:rsidRPr="00101AAC" w:rsidRDefault="00101AAC" w:rsidP="004277B6">
      <w:pPr>
        <w:tabs>
          <w:tab w:val="left" w:pos="540"/>
        </w:tabs>
        <w:ind w:left="360"/>
        <w:rPr>
          <w:rFonts w:cstheme="minorHAnsi"/>
          <w:i/>
          <w:iCs/>
          <w:szCs w:val="24"/>
        </w:rPr>
      </w:pPr>
      <w:r w:rsidRPr="00101AAC">
        <w:rPr>
          <w:rFonts w:cstheme="minorHAnsi"/>
          <w:i/>
          <w:iCs/>
          <w:szCs w:val="24"/>
        </w:rPr>
        <w:t>For additional information please reference page</w:t>
      </w:r>
      <w:r>
        <w:rPr>
          <w:rFonts w:cstheme="minorHAnsi"/>
          <w:i/>
          <w:iCs/>
          <w:szCs w:val="24"/>
        </w:rPr>
        <w:t>s</w:t>
      </w:r>
      <w:r w:rsidRPr="00101AAC">
        <w:rPr>
          <w:rFonts w:cstheme="minorHAnsi"/>
          <w:i/>
          <w:iCs/>
          <w:szCs w:val="24"/>
        </w:rPr>
        <w:t xml:space="preserve"> </w:t>
      </w:r>
      <w:r>
        <w:rPr>
          <w:rFonts w:cstheme="minorHAnsi"/>
          <w:i/>
          <w:iCs/>
          <w:szCs w:val="24"/>
        </w:rPr>
        <w:t>14-1</w:t>
      </w:r>
      <w:r w:rsidRPr="00101AAC">
        <w:rPr>
          <w:rFonts w:cstheme="minorHAnsi"/>
          <w:i/>
          <w:iCs/>
          <w:szCs w:val="24"/>
        </w:rPr>
        <w:t>5</w:t>
      </w:r>
      <w:r w:rsidR="00AD3987">
        <w:rPr>
          <w:rFonts w:cstheme="minorHAnsi"/>
          <w:i/>
          <w:iCs/>
          <w:szCs w:val="24"/>
        </w:rPr>
        <w:t xml:space="preserve"> and 41-43</w:t>
      </w:r>
      <w:r w:rsidRPr="00101AAC">
        <w:rPr>
          <w:rFonts w:cstheme="minorHAnsi"/>
          <w:i/>
          <w:iCs/>
          <w:szCs w:val="24"/>
        </w:rPr>
        <w:t xml:space="preserve"> of the SFP.</w:t>
      </w:r>
    </w:p>
    <w:p w14:paraId="0F4AE5F1" w14:textId="77777777" w:rsidR="00C873F3" w:rsidRDefault="00C873F3" w:rsidP="004277B6">
      <w:pPr>
        <w:tabs>
          <w:tab w:val="left" w:pos="540"/>
        </w:tabs>
        <w:rPr>
          <w:rFonts w:cstheme="minorHAnsi"/>
          <w:szCs w:val="24"/>
        </w:rPr>
      </w:pPr>
    </w:p>
    <w:p w14:paraId="4CBD27BA" w14:textId="3542A740" w:rsidR="00C873F3" w:rsidRPr="008629D3" w:rsidRDefault="00D07940" w:rsidP="004277B6">
      <w:pPr>
        <w:pStyle w:val="Heading1"/>
        <w:numPr>
          <w:ilvl w:val="0"/>
          <w:numId w:val="16"/>
        </w:numPr>
        <w:tabs>
          <w:tab w:val="left" w:pos="540"/>
        </w:tabs>
        <w:rPr>
          <w:rFonts w:cstheme="minorHAnsi"/>
          <w:szCs w:val="24"/>
        </w:rPr>
      </w:pPr>
      <w:bookmarkStart w:id="2" w:name="_Hlk179887149"/>
      <w:r>
        <w:rPr>
          <w:rFonts w:cstheme="minorHAnsi"/>
          <w:szCs w:val="24"/>
        </w:rPr>
        <w:t>Is a K-12 school district eligible to apply?</w:t>
      </w:r>
    </w:p>
    <w:bookmarkEnd w:id="2"/>
    <w:p w14:paraId="0FA9DFD8" w14:textId="77777777" w:rsidR="00C873F3" w:rsidRPr="008629D3" w:rsidRDefault="00C873F3" w:rsidP="004277B6">
      <w:pPr>
        <w:tabs>
          <w:tab w:val="left" w:pos="540"/>
        </w:tabs>
        <w:rPr>
          <w:rFonts w:cstheme="minorHAnsi"/>
          <w:szCs w:val="24"/>
        </w:rPr>
      </w:pPr>
    </w:p>
    <w:p w14:paraId="02FD09B6" w14:textId="74D00AA5" w:rsidR="00C873F3" w:rsidRDefault="00AC69F2" w:rsidP="004277B6">
      <w:pPr>
        <w:tabs>
          <w:tab w:val="left" w:pos="540"/>
        </w:tabs>
        <w:ind w:left="360"/>
        <w:rPr>
          <w:rFonts w:cstheme="minorHAnsi"/>
          <w:szCs w:val="24"/>
        </w:rPr>
      </w:pPr>
      <w:bookmarkStart w:id="3" w:name="_Hlk165551953"/>
      <w:r>
        <w:rPr>
          <w:rFonts w:cstheme="minorHAnsi"/>
          <w:szCs w:val="24"/>
        </w:rPr>
        <w:t>A K-12 school district is eligible to apply for this funding opportunity. However, please note that in order to be considered for funding, the proposal must aim to serve the target population of opportunity young adults ages 18-28.</w:t>
      </w:r>
    </w:p>
    <w:p w14:paraId="0F19FF32" w14:textId="65A4F827" w:rsidR="00101AAC" w:rsidRPr="00101AAC" w:rsidRDefault="00101AAC" w:rsidP="004277B6">
      <w:pPr>
        <w:tabs>
          <w:tab w:val="left" w:pos="540"/>
        </w:tabs>
        <w:ind w:left="360"/>
        <w:rPr>
          <w:rFonts w:cstheme="minorHAnsi"/>
          <w:i/>
          <w:iCs/>
          <w:szCs w:val="24"/>
        </w:rPr>
      </w:pPr>
      <w:r w:rsidRPr="00101AAC">
        <w:rPr>
          <w:rFonts w:cstheme="minorHAnsi"/>
          <w:i/>
          <w:iCs/>
          <w:szCs w:val="24"/>
        </w:rPr>
        <w:t>For additional information please reference page</w:t>
      </w:r>
      <w:r>
        <w:rPr>
          <w:rFonts w:cstheme="minorHAnsi"/>
          <w:i/>
          <w:iCs/>
          <w:szCs w:val="24"/>
        </w:rPr>
        <w:t>s</w:t>
      </w:r>
      <w:r w:rsidRPr="00101AAC">
        <w:rPr>
          <w:rFonts w:cstheme="minorHAnsi"/>
          <w:i/>
          <w:iCs/>
          <w:szCs w:val="24"/>
        </w:rPr>
        <w:t xml:space="preserve"> </w:t>
      </w:r>
      <w:r>
        <w:rPr>
          <w:rFonts w:cstheme="minorHAnsi"/>
          <w:i/>
          <w:iCs/>
          <w:szCs w:val="24"/>
        </w:rPr>
        <w:t>4-</w:t>
      </w:r>
      <w:r w:rsidRPr="00101AAC">
        <w:rPr>
          <w:rFonts w:cstheme="minorHAnsi"/>
          <w:i/>
          <w:iCs/>
          <w:szCs w:val="24"/>
        </w:rPr>
        <w:t>5 of the SFP.</w:t>
      </w:r>
    </w:p>
    <w:bookmarkEnd w:id="3"/>
    <w:p w14:paraId="09234FD0" w14:textId="77777777" w:rsidR="00C873F3" w:rsidRPr="008629D3" w:rsidRDefault="00C873F3" w:rsidP="004277B6">
      <w:pPr>
        <w:tabs>
          <w:tab w:val="left" w:pos="540"/>
        </w:tabs>
        <w:rPr>
          <w:rFonts w:cstheme="minorHAnsi"/>
          <w:szCs w:val="24"/>
        </w:rPr>
      </w:pPr>
    </w:p>
    <w:p w14:paraId="4E71B5C7" w14:textId="4EE99C53" w:rsidR="00C873F3" w:rsidRPr="000D27DB" w:rsidRDefault="00D07940" w:rsidP="004277B6">
      <w:pPr>
        <w:pStyle w:val="Heading1"/>
        <w:numPr>
          <w:ilvl w:val="0"/>
          <w:numId w:val="16"/>
        </w:numPr>
        <w:tabs>
          <w:tab w:val="left" w:pos="540"/>
        </w:tabs>
        <w:rPr>
          <w:rFonts w:cstheme="minorHAnsi"/>
          <w:szCs w:val="24"/>
        </w:rPr>
      </w:pPr>
      <w:r>
        <w:t>May these funds be used to support workforce development and training activities in California’s cannabis industry?</w:t>
      </w:r>
    </w:p>
    <w:p w14:paraId="7B577539" w14:textId="77777777" w:rsidR="00C873F3" w:rsidRDefault="00C873F3" w:rsidP="004277B6">
      <w:pPr>
        <w:tabs>
          <w:tab w:val="left" w:pos="540"/>
        </w:tabs>
        <w:rPr>
          <w:rFonts w:cstheme="minorHAnsi"/>
          <w:szCs w:val="24"/>
        </w:rPr>
      </w:pPr>
    </w:p>
    <w:p w14:paraId="6538F50E" w14:textId="55105046" w:rsidR="00C873F3" w:rsidRDefault="00AC69F2" w:rsidP="004277B6">
      <w:pPr>
        <w:tabs>
          <w:tab w:val="left" w:pos="540"/>
        </w:tabs>
        <w:ind w:left="360"/>
      </w:pPr>
      <w:r>
        <w:t xml:space="preserve">Federal funds cannot be used to support activities in the cannabis industry according to WIOA sec. 181(f). </w:t>
      </w:r>
    </w:p>
    <w:p w14:paraId="5D0A108C" w14:textId="1034B11B" w:rsidR="00101AAC" w:rsidRPr="00101AAC" w:rsidRDefault="00101AAC" w:rsidP="004277B6">
      <w:pPr>
        <w:tabs>
          <w:tab w:val="left" w:pos="540"/>
        </w:tabs>
        <w:ind w:left="360"/>
        <w:rPr>
          <w:rFonts w:cstheme="minorHAnsi"/>
          <w:i/>
          <w:iCs/>
          <w:szCs w:val="24"/>
        </w:rPr>
      </w:pPr>
      <w:r w:rsidRPr="00101AAC">
        <w:rPr>
          <w:rFonts w:cstheme="minorHAnsi"/>
          <w:i/>
          <w:iCs/>
          <w:szCs w:val="24"/>
        </w:rPr>
        <w:t xml:space="preserve">For additional information please reference page </w:t>
      </w:r>
      <w:r>
        <w:rPr>
          <w:rFonts w:cstheme="minorHAnsi"/>
          <w:i/>
          <w:iCs/>
          <w:szCs w:val="24"/>
        </w:rPr>
        <w:t>1</w:t>
      </w:r>
      <w:r w:rsidRPr="00101AAC">
        <w:rPr>
          <w:rFonts w:cstheme="minorHAnsi"/>
          <w:i/>
          <w:iCs/>
          <w:szCs w:val="24"/>
        </w:rPr>
        <w:t>5 of the SFP.</w:t>
      </w:r>
    </w:p>
    <w:p w14:paraId="2DE1E743" w14:textId="77777777" w:rsidR="00C873F3" w:rsidRDefault="00C873F3" w:rsidP="004277B6">
      <w:pPr>
        <w:tabs>
          <w:tab w:val="left" w:pos="540"/>
        </w:tabs>
        <w:rPr>
          <w:rFonts w:eastAsia="Times New Roman" w:cstheme="minorHAnsi"/>
          <w:color w:val="000000"/>
          <w:szCs w:val="24"/>
        </w:rPr>
      </w:pPr>
    </w:p>
    <w:p w14:paraId="1628BA73" w14:textId="7FFD1CC4" w:rsidR="00C873F3" w:rsidRPr="000D27DB" w:rsidRDefault="00D07940" w:rsidP="004277B6">
      <w:pPr>
        <w:pStyle w:val="Heading1"/>
        <w:numPr>
          <w:ilvl w:val="0"/>
          <w:numId w:val="16"/>
        </w:numPr>
        <w:tabs>
          <w:tab w:val="left" w:pos="540"/>
        </w:tabs>
        <w:rPr>
          <w:rFonts w:eastAsia="Times New Roman" w:cstheme="minorHAnsi"/>
          <w:color w:val="000000"/>
          <w:szCs w:val="24"/>
        </w:rPr>
      </w:pPr>
      <w:r>
        <w:t xml:space="preserve">Does the performance period go to the end of December 2026? An 18-to-24-month period will exceed March of 2026. </w:t>
      </w:r>
    </w:p>
    <w:p w14:paraId="177C4349" w14:textId="77777777" w:rsidR="00C873F3" w:rsidRDefault="00C873F3" w:rsidP="004277B6">
      <w:pPr>
        <w:tabs>
          <w:tab w:val="left" w:pos="540"/>
        </w:tabs>
        <w:rPr>
          <w:rFonts w:eastAsia="Times New Roman" w:cstheme="minorHAnsi"/>
          <w:color w:val="000000"/>
          <w:szCs w:val="24"/>
        </w:rPr>
      </w:pPr>
    </w:p>
    <w:p w14:paraId="5B889924" w14:textId="1B524606" w:rsidR="7D74C942" w:rsidRDefault="00AC69F2" w:rsidP="004277B6">
      <w:pPr>
        <w:tabs>
          <w:tab w:val="left" w:pos="540"/>
        </w:tabs>
        <w:ind w:left="360"/>
        <w:rPr>
          <w:rFonts w:eastAsia="Times New Roman"/>
        </w:rPr>
      </w:pPr>
      <w:r w:rsidRPr="00FC02E0">
        <w:rPr>
          <w:rFonts w:eastAsia="Times New Roman"/>
        </w:rPr>
        <w:t>Yes, the performance period should go to December 2026, assuming a project start date of January 2025. Please note that any dates after the proposal due date are estimates and could be subject to change.</w:t>
      </w:r>
      <w:r>
        <w:rPr>
          <w:rFonts w:eastAsia="Times New Roman"/>
        </w:rPr>
        <w:t xml:space="preserve"> </w:t>
      </w:r>
    </w:p>
    <w:p w14:paraId="25722D54" w14:textId="412EED3C" w:rsidR="00101AAC" w:rsidRPr="00101AAC" w:rsidRDefault="00101AAC" w:rsidP="004277B6">
      <w:pPr>
        <w:tabs>
          <w:tab w:val="left" w:pos="540"/>
        </w:tabs>
        <w:ind w:left="360"/>
        <w:rPr>
          <w:rFonts w:cstheme="minorHAnsi"/>
          <w:i/>
          <w:iCs/>
          <w:szCs w:val="24"/>
        </w:rPr>
      </w:pPr>
      <w:r w:rsidRPr="00101AAC">
        <w:rPr>
          <w:rFonts w:cstheme="minorHAnsi"/>
          <w:i/>
          <w:iCs/>
          <w:szCs w:val="24"/>
        </w:rPr>
        <w:t xml:space="preserve">For additional information please reference page </w:t>
      </w:r>
      <w:r w:rsidR="003B7D03">
        <w:rPr>
          <w:rFonts w:cstheme="minorHAnsi"/>
          <w:i/>
          <w:iCs/>
          <w:szCs w:val="24"/>
        </w:rPr>
        <w:t>14</w:t>
      </w:r>
      <w:r w:rsidRPr="00101AAC">
        <w:rPr>
          <w:rFonts w:cstheme="minorHAnsi"/>
          <w:i/>
          <w:iCs/>
          <w:szCs w:val="24"/>
        </w:rPr>
        <w:t xml:space="preserve"> of the SFP.</w:t>
      </w:r>
    </w:p>
    <w:p w14:paraId="1A540C8D" w14:textId="77777777" w:rsidR="00101AAC" w:rsidRDefault="00101AAC" w:rsidP="004277B6">
      <w:pPr>
        <w:tabs>
          <w:tab w:val="left" w:pos="540"/>
        </w:tabs>
        <w:ind w:left="360"/>
        <w:rPr>
          <w:rFonts w:eastAsia="Times New Roman"/>
        </w:rPr>
      </w:pPr>
    </w:p>
    <w:p w14:paraId="5D1200E3" w14:textId="5A312C30" w:rsidR="1AD70DC9" w:rsidRDefault="1AD70DC9" w:rsidP="004277B6">
      <w:pPr>
        <w:tabs>
          <w:tab w:val="left" w:pos="540"/>
        </w:tabs>
        <w:rPr>
          <w:rFonts w:eastAsia="Times New Roman"/>
        </w:rPr>
      </w:pPr>
    </w:p>
    <w:p w14:paraId="71D2FE23" w14:textId="11EA88F4" w:rsidR="424282EF" w:rsidRPr="00915FAB" w:rsidRDefault="00D07940" w:rsidP="004277B6">
      <w:pPr>
        <w:pStyle w:val="ListParagraph"/>
        <w:numPr>
          <w:ilvl w:val="0"/>
          <w:numId w:val="16"/>
        </w:numPr>
        <w:tabs>
          <w:tab w:val="left" w:pos="540"/>
        </w:tabs>
        <w:rPr>
          <w:rFonts w:eastAsia="Times New Roman"/>
          <w:b/>
          <w:bCs/>
        </w:rPr>
      </w:pPr>
      <w:r>
        <w:rPr>
          <w:rFonts w:eastAsia="Times New Roman"/>
          <w:b/>
          <w:bCs/>
        </w:rPr>
        <w:lastRenderedPageBreak/>
        <w:t>Regarding the forms mentioned in the requirements, should they be included in the proposal narrative, or are they to be submitted separately?</w:t>
      </w:r>
    </w:p>
    <w:p w14:paraId="1475D708" w14:textId="29BC0C3F" w:rsidR="7D74C942" w:rsidRDefault="7D74C942" w:rsidP="004277B6">
      <w:pPr>
        <w:tabs>
          <w:tab w:val="left" w:pos="540"/>
        </w:tabs>
        <w:rPr>
          <w:rFonts w:eastAsia="Times New Roman"/>
          <w:b/>
          <w:bCs/>
        </w:rPr>
      </w:pPr>
    </w:p>
    <w:p w14:paraId="2C056060" w14:textId="08920BCB" w:rsidR="7D74C942" w:rsidRDefault="00AC69F2" w:rsidP="004277B6">
      <w:pPr>
        <w:tabs>
          <w:tab w:val="left" w:pos="540"/>
        </w:tabs>
        <w:ind w:left="360"/>
        <w:rPr>
          <w:rFonts w:eastAsia="Times New Roman"/>
        </w:rPr>
      </w:pPr>
      <w:r>
        <w:rPr>
          <w:rFonts w:eastAsia="Times New Roman"/>
        </w:rPr>
        <w:t xml:space="preserve">All required exhibits and attachments should be completed and submitted in one email to </w:t>
      </w:r>
      <w:hyperlink r:id="rId16" w:history="1">
        <w:r w:rsidRPr="00700175">
          <w:rPr>
            <w:rStyle w:val="Hyperlink"/>
            <w:rFonts w:eastAsia="Times New Roman"/>
            <w:u w:val="none"/>
          </w:rPr>
          <w:t>WSBSFP3@edd.ca.gov</w:t>
        </w:r>
      </w:hyperlink>
      <w:r w:rsidRPr="00700175">
        <w:rPr>
          <w:rFonts w:eastAsia="Times New Roman"/>
        </w:rPr>
        <w:t>.</w:t>
      </w:r>
      <w:r>
        <w:rPr>
          <w:rFonts w:eastAsia="Times New Roman"/>
        </w:rPr>
        <w:t xml:space="preserve"> Exhibit A, or the proposal narrative, should be completed in addition to the other exhibits and attachments. </w:t>
      </w:r>
    </w:p>
    <w:p w14:paraId="49673EFC" w14:textId="389C46EA" w:rsidR="003B7D03" w:rsidRPr="003B7D03" w:rsidRDefault="003B7D03" w:rsidP="004277B6">
      <w:pPr>
        <w:tabs>
          <w:tab w:val="left" w:pos="540"/>
        </w:tabs>
        <w:ind w:left="360"/>
        <w:rPr>
          <w:rFonts w:cstheme="minorHAnsi"/>
          <w:i/>
          <w:iCs/>
          <w:szCs w:val="24"/>
        </w:rPr>
      </w:pPr>
      <w:r w:rsidRPr="00101AAC">
        <w:rPr>
          <w:rFonts w:cstheme="minorHAnsi"/>
          <w:i/>
          <w:iCs/>
          <w:szCs w:val="24"/>
        </w:rPr>
        <w:t>For additional information please reference page</w:t>
      </w:r>
      <w:r>
        <w:rPr>
          <w:rFonts w:cstheme="minorHAnsi"/>
          <w:i/>
          <w:iCs/>
          <w:szCs w:val="24"/>
        </w:rPr>
        <w:t>s</w:t>
      </w:r>
      <w:r w:rsidRPr="00101AAC">
        <w:rPr>
          <w:rFonts w:cstheme="minorHAnsi"/>
          <w:i/>
          <w:iCs/>
          <w:szCs w:val="24"/>
        </w:rPr>
        <w:t xml:space="preserve"> </w:t>
      </w:r>
      <w:r>
        <w:rPr>
          <w:rFonts w:cstheme="minorHAnsi"/>
          <w:i/>
          <w:iCs/>
          <w:szCs w:val="24"/>
        </w:rPr>
        <w:t>1</w:t>
      </w:r>
      <w:r w:rsidRPr="00101AAC">
        <w:rPr>
          <w:rFonts w:cstheme="minorHAnsi"/>
          <w:i/>
          <w:iCs/>
          <w:szCs w:val="24"/>
        </w:rPr>
        <w:t>5</w:t>
      </w:r>
      <w:r>
        <w:rPr>
          <w:rFonts w:cstheme="minorHAnsi"/>
          <w:i/>
          <w:iCs/>
          <w:szCs w:val="24"/>
        </w:rPr>
        <w:t>-17</w:t>
      </w:r>
      <w:r w:rsidRPr="00101AAC">
        <w:rPr>
          <w:rFonts w:cstheme="minorHAnsi"/>
          <w:i/>
          <w:iCs/>
          <w:szCs w:val="24"/>
        </w:rPr>
        <w:t xml:space="preserve"> of the SFP.</w:t>
      </w:r>
    </w:p>
    <w:p w14:paraId="42D8EE56" w14:textId="77777777" w:rsidR="004F3231" w:rsidRDefault="004F3231" w:rsidP="004277B6">
      <w:pPr>
        <w:tabs>
          <w:tab w:val="left" w:pos="540"/>
        </w:tabs>
        <w:rPr>
          <w:rFonts w:eastAsia="Times New Roman"/>
        </w:rPr>
      </w:pPr>
    </w:p>
    <w:p w14:paraId="0AAACFFB" w14:textId="69BA29B2" w:rsidR="6E37D716" w:rsidRPr="00915FAB" w:rsidRDefault="00D07940" w:rsidP="004277B6">
      <w:pPr>
        <w:pStyle w:val="ListParagraph"/>
        <w:numPr>
          <w:ilvl w:val="0"/>
          <w:numId w:val="16"/>
        </w:numPr>
        <w:tabs>
          <w:tab w:val="left" w:pos="540"/>
        </w:tabs>
        <w:rPr>
          <w:rFonts w:eastAsia="Times New Roman"/>
        </w:rPr>
      </w:pPr>
      <w:r>
        <w:rPr>
          <w:rFonts w:eastAsia="Times New Roman"/>
          <w:b/>
          <w:bCs/>
        </w:rPr>
        <w:t>Is it permissible for the proposal narrative to exceed the specified page limit?</w:t>
      </w:r>
    </w:p>
    <w:p w14:paraId="73B52320" w14:textId="475403E9" w:rsidR="7D74C942" w:rsidRDefault="7D74C942" w:rsidP="004277B6">
      <w:pPr>
        <w:tabs>
          <w:tab w:val="left" w:pos="540"/>
        </w:tabs>
        <w:rPr>
          <w:rFonts w:eastAsia="Times New Roman"/>
          <w:b/>
          <w:bCs/>
        </w:rPr>
      </w:pPr>
    </w:p>
    <w:p w14:paraId="78745D46" w14:textId="6E87581D" w:rsidR="1C926916" w:rsidRDefault="00AC69F2" w:rsidP="004277B6">
      <w:pPr>
        <w:tabs>
          <w:tab w:val="left" w:pos="540"/>
        </w:tabs>
        <w:ind w:left="360"/>
        <w:rPr>
          <w:rFonts w:eastAsia="Times New Roman"/>
        </w:rPr>
      </w:pPr>
      <w:r>
        <w:rPr>
          <w:rFonts w:eastAsia="Times New Roman"/>
        </w:rPr>
        <w:t>The proposal narrative has a 15-page limit. Any information beyond the 15-page limit will not be considered during the scoring process. The other exhibits and attachments do not count towards this page limit.</w:t>
      </w:r>
    </w:p>
    <w:p w14:paraId="5E8BC25F" w14:textId="4FB6ACED" w:rsidR="003B7D03" w:rsidRPr="003B7D03" w:rsidRDefault="003B7D03" w:rsidP="004277B6">
      <w:pPr>
        <w:tabs>
          <w:tab w:val="left" w:pos="540"/>
        </w:tabs>
        <w:ind w:left="360"/>
        <w:rPr>
          <w:rFonts w:cstheme="minorHAnsi"/>
          <w:i/>
          <w:iCs/>
          <w:szCs w:val="24"/>
        </w:rPr>
      </w:pPr>
      <w:r w:rsidRPr="00101AAC">
        <w:rPr>
          <w:rFonts w:cstheme="minorHAnsi"/>
          <w:i/>
          <w:iCs/>
          <w:szCs w:val="24"/>
        </w:rPr>
        <w:t xml:space="preserve">For additional information please reference page </w:t>
      </w:r>
      <w:r>
        <w:rPr>
          <w:rFonts w:cstheme="minorHAnsi"/>
          <w:i/>
          <w:iCs/>
          <w:szCs w:val="24"/>
        </w:rPr>
        <w:t>26</w:t>
      </w:r>
      <w:r w:rsidRPr="00101AAC">
        <w:rPr>
          <w:rFonts w:cstheme="minorHAnsi"/>
          <w:i/>
          <w:iCs/>
          <w:szCs w:val="24"/>
        </w:rPr>
        <w:t xml:space="preserve"> of the SFP.</w:t>
      </w:r>
    </w:p>
    <w:p w14:paraId="7CC088F9" w14:textId="1F7D4F3F" w:rsidR="7D74C942" w:rsidRDefault="7D74C942" w:rsidP="004277B6">
      <w:pPr>
        <w:tabs>
          <w:tab w:val="left" w:pos="540"/>
        </w:tabs>
        <w:rPr>
          <w:rFonts w:eastAsia="Times New Roman"/>
        </w:rPr>
      </w:pPr>
    </w:p>
    <w:p w14:paraId="5523AA13" w14:textId="1A199C5B" w:rsidR="6E37D716" w:rsidRPr="00915FAB" w:rsidRDefault="005F7280" w:rsidP="004277B6">
      <w:pPr>
        <w:pStyle w:val="ListParagraph"/>
        <w:numPr>
          <w:ilvl w:val="0"/>
          <w:numId w:val="16"/>
        </w:numPr>
        <w:tabs>
          <w:tab w:val="left" w:pos="540"/>
        </w:tabs>
        <w:rPr>
          <w:rFonts w:eastAsia="Times New Roman"/>
        </w:rPr>
      </w:pPr>
      <w:r w:rsidRPr="0191E773">
        <w:rPr>
          <w:rFonts w:eastAsia="Times New Roman"/>
          <w:b/>
          <w:bCs/>
        </w:rPr>
        <w:t>Are applicants supposed to type the narrative inside the boxes in Exhibit A where the bulleted prompts are or under the boxes? Can the page breaks, instructions, and blank lines be removed as well?</w:t>
      </w:r>
    </w:p>
    <w:p w14:paraId="45A89B34" w14:textId="7D397BFB" w:rsidR="7D74C942" w:rsidRDefault="7D74C942" w:rsidP="004277B6">
      <w:pPr>
        <w:tabs>
          <w:tab w:val="left" w:pos="540"/>
        </w:tabs>
        <w:rPr>
          <w:rFonts w:eastAsia="Times New Roman"/>
          <w:b/>
          <w:bCs/>
        </w:rPr>
      </w:pPr>
    </w:p>
    <w:p w14:paraId="2E6015BB" w14:textId="236BE897" w:rsidR="00173288" w:rsidRDefault="005F7280" w:rsidP="004277B6">
      <w:pPr>
        <w:tabs>
          <w:tab w:val="left" w:pos="540"/>
        </w:tabs>
        <w:ind w:left="360"/>
        <w:rPr>
          <w:rFonts w:ascii="Calibri" w:hAnsi="Calibri" w:cs="Calibri"/>
        </w:rPr>
      </w:pPr>
      <w:r w:rsidRPr="0191E773">
        <w:rPr>
          <w:rFonts w:eastAsia="Times New Roman"/>
        </w:rPr>
        <w:t xml:space="preserve">When completing </w:t>
      </w:r>
      <w:r w:rsidRPr="0191E773">
        <w:rPr>
          <w:rFonts w:ascii="Calibri" w:hAnsi="Calibri" w:cs="Calibri"/>
        </w:rPr>
        <w:t>Exhibit A, applicants may write their responses inside or under the boxes, or the boxes may be removed entirely to create more space. The page breaks may also be deleted if needed. The instructions and any unnecessary spaces may also be removed. The section and sub-section titles may be changed to 12-point font, but they must be kept in the document and remain in the same order (for evaluating purposes).</w:t>
      </w:r>
      <w:r w:rsidR="3ED4D3A8" w:rsidRPr="0191E773">
        <w:rPr>
          <w:rFonts w:ascii="Calibri" w:hAnsi="Calibri" w:cs="Calibri"/>
        </w:rPr>
        <w:t xml:space="preserve"> </w:t>
      </w:r>
    </w:p>
    <w:p w14:paraId="7B714E09" w14:textId="1D3A0F66" w:rsidR="003056D2" w:rsidRPr="002B6EEC" w:rsidRDefault="003056D2" w:rsidP="004277B6">
      <w:pPr>
        <w:tabs>
          <w:tab w:val="left" w:pos="540"/>
        </w:tabs>
        <w:ind w:left="360"/>
      </w:pPr>
      <w:r w:rsidRPr="00101AAC">
        <w:rPr>
          <w:rFonts w:cstheme="minorHAnsi"/>
          <w:i/>
          <w:iCs/>
          <w:szCs w:val="24"/>
        </w:rPr>
        <w:t>For additional information please reference page</w:t>
      </w:r>
      <w:r>
        <w:rPr>
          <w:rFonts w:cstheme="minorHAnsi"/>
          <w:i/>
          <w:iCs/>
          <w:szCs w:val="24"/>
        </w:rPr>
        <w:t>s</w:t>
      </w:r>
      <w:r w:rsidRPr="00101AAC">
        <w:rPr>
          <w:rFonts w:cstheme="minorHAnsi"/>
          <w:i/>
          <w:iCs/>
          <w:szCs w:val="24"/>
        </w:rPr>
        <w:t xml:space="preserve"> </w:t>
      </w:r>
      <w:r>
        <w:rPr>
          <w:rFonts w:cstheme="minorHAnsi"/>
          <w:i/>
          <w:iCs/>
          <w:szCs w:val="24"/>
        </w:rPr>
        <w:t>26-34</w:t>
      </w:r>
      <w:r w:rsidRPr="00101AAC">
        <w:rPr>
          <w:rFonts w:cstheme="minorHAnsi"/>
          <w:i/>
          <w:iCs/>
          <w:szCs w:val="24"/>
        </w:rPr>
        <w:t xml:space="preserve"> of the SFP.</w:t>
      </w:r>
    </w:p>
    <w:p w14:paraId="6B272829" w14:textId="409445EE" w:rsidR="7D74C942" w:rsidRDefault="7D74C942" w:rsidP="004277B6">
      <w:pPr>
        <w:tabs>
          <w:tab w:val="left" w:pos="540"/>
        </w:tabs>
        <w:rPr>
          <w:rFonts w:eastAsia="Times New Roman"/>
        </w:rPr>
      </w:pPr>
    </w:p>
    <w:p w14:paraId="3708AE2D" w14:textId="523D3F9D" w:rsidR="1EDEBFEB" w:rsidRPr="00915FAB" w:rsidRDefault="005F7280" w:rsidP="004277B6">
      <w:pPr>
        <w:pStyle w:val="ListParagraph"/>
        <w:numPr>
          <w:ilvl w:val="0"/>
          <w:numId w:val="16"/>
        </w:numPr>
        <w:tabs>
          <w:tab w:val="left" w:pos="540"/>
        </w:tabs>
        <w:rPr>
          <w:rFonts w:eastAsia="Times New Roman"/>
          <w:b/>
          <w:bCs/>
        </w:rPr>
      </w:pPr>
      <w:r>
        <w:rPr>
          <w:rFonts w:eastAsia="Times New Roman"/>
          <w:b/>
          <w:bCs/>
        </w:rPr>
        <w:t>Are there any restrictions on the number of subcontractors an applicant may utilize or is there a threshold on the mound of funding that can be subcontracted for a specific scope of work?</w:t>
      </w:r>
    </w:p>
    <w:p w14:paraId="2A7A6687" w14:textId="1F4A3B23" w:rsidR="7D74C942" w:rsidRDefault="7D74C942" w:rsidP="004277B6">
      <w:pPr>
        <w:tabs>
          <w:tab w:val="left" w:pos="540"/>
        </w:tabs>
        <w:rPr>
          <w:rFonts w:eastAsia="Times New Roman"/>
          <w:b/>
          <w:bCs/>
        </w:rPr>
      </w:pPr>
    </w:p>
    <w:p w14:paraId="56F9D920" w14:textId="2CDEEFF3" w:rsidR="3EC8CCE8" w:rsidRDefault="005F7280" w:rsidP="004277B6">
      <w:pPr>
        <w:tabs>
          <w:tab w:val="left" w:pos="540"/>
        </w:tabs>
        <w:ind w:left="360"/>
        <w:rPr>
          <w:rFonts w:eastAsia="Times New Roman"/>
        </w:rPr>
      </w:pPr>
      <w:r>
        <w:rPr>
          <w:rFonts w:eastAsia="Times New Roman"/>
        </w:rPr>
        <w:t>While there is not a limit or restriction on the number of subcontractors or funding amount, applicants must follow the procurement requirements listed on the Exhibits in the SFP (specifically Exhibit G).</w:t>
      </w:r>
    </w:p>
    <w:p w14:paraId="1B1874F0" w14:textId="19E53450" w:rsidR="00AC6BFD" w:rsidRPr="00915FAB" w:rsidRDefault="00AC6BFD" w:rsidP="004277B6">
      <w:pPr>
        <w:tabs>
          <w:tab w:val="left" w:pos="540"/>
        </w:tabs>
        <w:ind w:left="360"/>
        <w:rPr>
          <w:rFonts w:ascii="Calibri" w:eastAsia="Calibri" w:hAnsi="Calibri" w:cs="Calibri"/>
          <w:szCs w:val="24"/>
        </w:rPr>
      </w:pPr>
      <w:r w:rsidRPr="00101AAC">
        <w:rPr>
          <w:rFonts w:cstheme="minorHAnsi"/>
          <w:i/>
          <w:iCs/>
          <w:szCs w:val="24"/>
        </w:rPr>
        <w:t xml:space="preserve">For additional information please reference page </w:t>
      </w:r>
      <w:r>
        <w:rPr>
          <w:rFonts w:cstheme="minorHAnsi"/>
          <w:i/>
          <w:iCs/>
          <w:szCs w:val="24"/>
        </w:rPr>
        <w:t>36-38</w:t>
      </w:r>
      <w:r w:rsidRPr="00101AAC">
        <w:rPr>
          <w:rFonts w:cstheme="minorHAnsi"/>
          <w:i/>
          <w:iCs/>
          <w:szCs w:val="24"/>
        </w:rPr>
        <w:t xml:space="preserve"> of the SFP.</w:t>
      </w:r>
    </w:p>
    <w:p w14:paraId="660C1539" w14:textId="61D76886" w:rsidR="7D74C942" w:rsidRDefault="7D74C942" w:rsidP="004277B6">
      <w:pPr>
        <w:tabs>
          <w:tab w:val="left" w:pos="540"/>
        </w:tabs>
        <w:rPr>
          <w:rFonts w:eastAsia="Times New Roman"/>
          <w:b/>
          <w:bCs/>
        </w:rPr>
      </w:pPr>
    </w:p>
    <w:p w14:paraId="29DE08FB" w14:textId="412B6619" w:rsidR="1EDEBFEB" w:rsidRPr="00915FAB" w:rsidRDefault="005F7280" w:rsidP="004277B6">
      <w:pPr>
        <w:pStyle w:val="ListParagraph"/>
        <w:numPr>
          <w:ilvl w:val="0"/>
          <w:numId w:val="16"/>
        </w:numPr>
        <w:tabs>
          <w:tab w:val="left" w:pos="540"/>
        </w:tabs>
        <w:rPr>
          <w:rFonts w:eastAsia="Times New Roman"/>
          <w:b/>
          <w:bCs/>
        </w:rPr>
      </w:pPr>
      <w:r>
        <w:rPr>
          <w:rFonts w:eastAsia="Times New Roman"/>
          <w:b/>
          <w:bCs/>
        </w:rPr>
        <w:t>Is it permitted for an organization that is headquartered outside California, with sites in California, to be awarded the grant and carry out programmatic activities in California?</w:t>
      </w:r>
    </w:p>
    <w:p w14:paraId="36F36AFD" w14:textId="41904CDE" w:rsidR="7D74C942" w:rsidRDefault="7D74C942" w:rsidP="004277B6">
      <w:pPr>
        <w:tabs>
          <w:tab w:val="left" w:pos="540"/>
        </w:tabs>
        <w:rPr>
          <w:rFonts w:eastAsia="Times New Roman"/>
          <w:b/>
          <w:bCs/>
        </w:rPr>
      </w:pPr>
    </w:p>
    <w:p w14:paraId="6F42F310" w14:textId="09149930" w:rsidR="395C61AE" w:rsidRDefault="005F7280" w:rsidP="004277B6">
      <w:pPr>
        <w:tabs>
          <w:tab w:val="left" w:pos="540"/>
        </w:tabs>
        <w:spacing w:line="259" w:lineRule="auto"/>
        <w:ind w:left="360"/>
        <w:rPr>
          <w:rFonts w:ascii="Calibri" w:eastAsia="Calibri" w:hAnsi="Calibri" w:cs="Calibri"/>
          <w:szCs w:val="24"/>
        </w:rPr>
      </w:pPr>
      <w:r>
        <w:rPr>
          <w:rFonts w:ascii="Calibri" w:eastAsia="Calibri" w:hAnsi="Calibri" w:cs="Calibri"/>
          <w:szCs w:val="24"/>
        </w:rPr>
        <w:t>Yes, an organization that is headquartered outside of California is eligible to receive funding from this grant as long as it follows California State requirements and serves participants located in California.</w:t>
      </w:r>
    </w:p>
    <w:p w14:paraId="34496D51" w14:textId="287D9A2E" w:rsidR="7D74C942" w:rsidRDefault="7D74C942" w:rsidP="004277B6">
      <w:pPr>
        <w:tabs>
          <w:tab w:val="left" w:pos="540"/>
        </w:tabs>
        <w:rPr>
          <w:rFonts w:eastAsia="Times New Roman"/>
          <w:b/>
          <w:bCs/>
        </w:rPr>
      </w:pPr>
    </w:p>
    <w:p w14:paraId="55C71365" w14:textId="50E88672" w:rsidR="1EDEBFEB" w:rsidRPr="00915FAB" w:rsidRDefault="005F7280" w:rsidP="004277B6">
      <w:pPr>
        <w:pStyle w:val="ListParagraph"/>
        <w:numPr>
          <w:ilvl w:val="0"/>
          <w:numId w:val="16"/>
        </w:numPr>
        <w:tabs>
          <w:tab w:val="left" w:pos="540"/>
        </w:tabs>
        <w:rPr>
          <w:rFonts w:eastAsia="Times New Roman"/>
          <w:b/>
          <w:bCs/>
        </w:rPr>
      </w:pPr>
      <w:r>
        <w:rPr>
          <w:rFonts w:eastAsia="Times New Roman"/>
          <w:b/>
          <w:bCs/>
        </w:rPr>
        <w:t>What is the timeframe for the median earnings provided on page 13 of the SFP (quarterly earnings)?</w:t>
      </w:r>
    </w:p>
    <w:p w14:paraId="46E007D4" w14:textId="03A207D5" w:rsidR="7D74C942" w:rsidRDefault="7D74C942" w:rsidP="004277B6">
      <w:pPr>
        <w:tabs>
          <w:tab w:val="left" w:pos="540"/>
        </w:tabs>
        <w:rPr>
          <w:rFonts w:eastAsia="Times New Roman"/>
          <w:b/>
          <w:bCs/>
          <w:highlight w:val="yellow"/>
        </w:rPr>
      </w:pPr>
    </w:p>
    <w:p w14:paraId="35ED3312" w14:textId="11EDC9AA" w:rsidR="005F7280" w:rsidRPr="005F7280" w:rsidRDefault="005F7280" w:rsidP="004277B6">
      <w:pPr>
        <w:tabs>
          <w:tab w:val="left" w:pos="540"/>
        </w:tabs>
        <w:ind w:left="360"/>
        <w:rPr>
          <w:rFonts w:eastAsia="Times New Roman"/>
        </w:rPr>
      </w:pPr>
      <w:r>
        <w:rPr>
          <w:rFonts w:eastAsia="Times New Roman"/>
        </w:rPr>
        <w:lastRenderedPageBreak/>
        <w:t>The phrase “Median Earnings 2</w:t>
      </w:r>
      <w:r w:rsidRPr="005F7280">
        <w:rPr>
          <w:rFonts w:eastAsia="Times New Roman"/>
          <w:vertAlign w:val="superscript"/>
        </w:rPr>
        <w:t>nd</w:t>
      </w:r>
      <w:r>
        <w:rPr>
          <w:rFonts w:eastAsia="Times New Roman"/>
        </w:rPr>
        <w:t xml:space="preserve"> Quarter After Exit” from page 13 of the SFP refers to the median earnings of program participants who are in unsubsidized employment during the second quarter after program exit.</w:t>
      </w:r>
    </w:p>
    <w:p w14:paraId="0E21822B" w14:textId="19546026" w:rsidR="7D74C942" w:rsidRDefault="00AF1E65" w:rsidP="004277B6">
      <w:pPr>
        <w:tabs>
          <w:tab w:val="left" w:pos="540"/>
        </w:tabs>
        <w:ind w:left="360"/>
        <w:rPr>
          <w:rFonts w:eastAsia="Times New Roman"/>
          <w:i/>
          <w:iCs/>
        </w:rPr>
      </w:pPr>
      <w:r w:rsidRPr="00AF1E65">
        <w:rPr>
          <w:rFonts w:eastAsia="Times New Roman"/>
          <w:i/>
          <w:iCs/>
        </w:rPr>
        <w:t xml:space="preserve">Refer to Workforce Services Directive on </w:t>
      </w:r>
      <w:hyperlink r:id="rId17" w:history="1">
        <w:r w:rsidRPr="00700175">
          <w:rPr>
            <w:rStyle w:val="Hyperlink"/>
            <w:rFonts w:eastAsia="Times New Roman"/>
            <w:i/>
            <w:iCs/>
            <w:u w:val="none"/>
          </w:rPr>
          <w:t xml:space="preserve">Performance Guidance </w:t>
        </w:r>
        <w:r w:rsidR="00700175">
          <w:rPr>
            <w:rStyle w:val="Hyperlink"/>
            <w:rFonts w:eastAsia="Times New Roman"/>
            <w:u w:val="none"/>
          </w:rPr>
          <w:t>(</w:t>
        </w:r>
        <w:r w:rsidRPr="00700175">
          <w:rPr>
            <w:rStyle w:val="Hyperlink"/>
            <w:rFonts w:eastAsia="Times New Roman"/>
            <w:u w:val="none"/>
          </w:rPr>
          <w:t>WSD23-03</w:t>
        </w:r>
      </w:hyperlink>
      <w:r w:rsidR="00700175">
        <w:rPr>
          <w:rStyle w:val="Hyperlink"/>
          <w:rFonts w:eastAsia="Times New Roman"/>
          <w:u w:val="none"/>
        </w:rPr>
        <w:t>)</w:t>
      </w:r>
      <w:r w:rsidRPr="00AF1E65">
        <w:rPr>
          <w:rFonts w:eastAsia="Times New Roman"/>
          <w:i/>
          <w:iCs/>
        </w:rPr>
        <w:t xml:space="preserve"> for more information about WIOA performance indicators. </w:t>
      </w:r>
    </w:p>
    <w:p w14:paraId="6586E925" w14:textId="77777777" w:rsidR="00AC6BFD" w:rsidRPr="00AF1E65" w:rsidRDefault="00AC6BFD" w:rsidP="004277B6">
      <w:pPr>
        <w:tabs>
          <w:tab w:val="left" w:pos="540"/>
        </w:tabs>
        <w:ind w:left="360"/>
        <w:rPr>
          <w:rFonts w:eastAsia="Times New Roman"/>
          <w:i/>
          <w:iCs/>
        </w:rPr>
      </w:pPr>
    </w:p>
    <w:p w14:paraId="0C2F037E" w14:textId="46A0A1E7" w:rsidR="0F5B5D86" w:rsidRPr="00915FAB" w:rsidRDefault="005F7280" w:rsidP="004277B6">
      <w:pPr>
        <w:pStyle w:val="ListParagraph"/>
        <w:numPr>
          <w:ilvl w:val="0"/>
          <w:numId w:val="16"/>
        </w:numPr>
        <w:tabs>
          <w:tab w:val="left" w:pos="540"/>
        </w:tabs>
        <w:rPr>
          <w:rFonts w:eastAsia="Times New Roman"/>
          <w:b/>
          <w:bCs/>
        </w:rPr>
      </w:pPr>
      <w:r>
        <w:rPr>
          <w:rFonts w:eastAsia="Times New Roman"/>
          <w:b/>
          <w:bCs/>
        </w:rPr>
        <w:t>Is this a reimbursement-based grant?</w:t>
      </w:r>
    </w:p>
    <w:p w14:paraId="0DEAB095" w14:textId="53327185" w:rsidR="7D74C942" w:rsidRDefault="7D74C942" w:rsidP="004277B6">
      <w:pPr>
        <w:tabs>
          <w:tab w:val="left" w:pos="540"/>
        </w:tabs>
        <w:rPr>
          <w:rFonts w:eastAsia="Times New Roman"/>
          <w:b/>
          <w:bCs/>
        </w:rPr>
      </w:pPr>
    </w:p>
    <w:p w14:paraId="37C7070F" w14:textId="77777777" w:rsidR="00AF1E65" w:rsidRDefault="005F7280" w:rsidP="004277B6">
      <w:pPr>
        <w:tabs>
          <w:tab w:val="left" w:pos="540"/>
        </w:tabs>
        <w:ind w:left="360"/>
        <w:rPr>
          <w:rFonts w:ascii="Calibri" w:eastAsia="Times New Roman" w:hAnsi="Calibri" w:cs="Calibri"/>
        </w:rPr>
      </w:pPr>
      <w:r>
        <w:rPr>
          <w:rFonts w:ascii="Calibri" w:eastAsia="Calibri" w:hAnsi="Calibri" w:cs="Calibri"/>
          <w:color w:val="000000" w:themeColor="text1"/>
          <w:szCs w:val="24"/>
        </w:rPr>
        <w:t xml:space="preserve">Yes, this is a reimbursement-based grant. Expenditures will be reimbursed through the State’s </w:t>
      </w:r>
      <w:r>
        <w:rPr>
          <w:rFonts w:ascii="Calibri" w:eastAsia="Times New Roman" w:hAnsi="Calibri" w:cs="Calibri"/>
        </w:rPr>
        <w:t>CalJOBS</w:t>
      </w:r>
      <w:r>
        <w:rPr>
          <w:rStyle w:val="nounderlines"/>
          <w:rFonts w:ascii="Calibri" w:eastAsia="Times New Roman" w:hAnsi="Calibri" w:cs="Calibri"/>
        </w:rPr>
        <w:t>℠</w:t>
      </w:r>
      <w:r>
        <w:rPr>
          <w:rFonts w:ascii="Calibri" w:eastAsia="Times New Roman" w:hAnsi="Calibri" w:cs="Calibri"/>
          <w:color w:val="000000"/>
          <w:shd w:val="clear" w:color="auto" w:fill="FFFFFF"/>
        </w:rPr>
        <w:t xml:space="preserve"> </w:t>
      </w:r>
      <w:r>
        <w:rPr>
          <w:rFonts w:ascii="Calibri" w:eastAsia="Times New Roman" w:hAnsi="Calibri" w:cs="Calibri"/>
        </w:rPr>
        <w:t xml:space="preserve">reporting system. Monthly and quarterly expenditure reporting are required; however, subrecipients may report expenditures and make cash requests at any time. </w:t>
      </w:r>
    </w:p>
    <w:p w14:paraId="62D85F2B" w14:textId="7EFDA72B" w:rsidR="60329CB5" w:rsidRPr="00AF1E65" w:rsidRDefault="6868E764" w:rsidP="0191E773">
      <w:pPr>
        <w:tabs>
          <w:tab w:val="left" w:pos="540"/>
        </w:tabs>
        <w:ind w:left="360"/>
        <w:rPr>
          <w:rFonts w:ascii="Calibri" w:eastAsia="Calibri" w:hAnsi="Calibri" w:cs="Calibri"/>
          <w:i/>
          <w:iCs/>
        </w:rPr>
      </w:pPr>
      <w:r w:rsidRPr="0191E773">
        <w:rPr>
          <w:rFonts w:ascii="Calibri" w:eastAsia="Times New Roman" w:hAnsi="Calibri" w:cs="Calibri"/>
          <w:i/>
          <w:iCs/>
        </w:rPr>
        <w:t>For additional information, please r</w:t>
      </w:r>
      <w:r w:rsidR="005F7280" w:rsidRPr="0191E773">
        <w:rPr>
          <w:rFonts w:ascii="Calibri" w:eastAsia="Times New Roman" w:hAnsi="Calibri" w:cs="Calibri"/>
          <w:i/>
          <w:iCs/>
        </w:rPr>
        <w:t>efer</w:t>
      </w:r>
      <w:r w:rsidR="2C1B852D" w:rsidRPr="0191E773">
        <w:rPr>
          <w:rFonts w:ascii="Calibri" w:eastAsia="Times New Roman" w:hAnsi="Calibri" w:cs="Calibri"/>
          <w:i/>
          <w:iCs/>
        </w:rPr>
        <w:t>ence the</w:t>
      </w:r>
      <w:r w:rsidR="005F7280" w:rsidRPr="0191E773">
        <w:rPr>
          <w:rFonts w:ascii="Calibri" w:eastAsia="Times New Roman" w:hAnsi="Calibri" w:cs="Calibri"/>
          <w:i/>
          <w:iCs/>
        </w:rPr>
        <w:t xml:space="preserve"> Workforce Services Directive </w:t>
      </w:r>
      <w:hyperlink r:id="rId18" w:history="1">
        <w:r w:rsidR="005F7280" w:rsidRPr="00700175">
          <w:rPr>
            <w:rStyle w:val="Hyperlink"/>
            <w:rFonts w:ascii="Calibri" w:eastAsia="Times New Roman" w:hAnsi="Calibri" w:cs="Calibri"/>
            <w:i/>
            <w:iCs/>
            <w:u w:val="none"/>
          </w:rPr>
          <w:t>CalJOBS</w:t>
        </w:r>
        <w:r w:rsidR="005F7280" w:rsidRPr="00700175">
          <w:rPr>
            <w:rStyle w:val="Hyperlink"/>
            <w:rFonts w:ascii="Calibri" w:eastAsia="Times New Roman" w:hAnsi="Calibri" w:cs="Calibri"/>
            <w:i/>
            <w:iCs/>
            <w:u w:val="none"/>
            <w:shd w:val="clear" w:color="auto" w:fill="FFFFFF"/>
          </w:rPr>
          <w:t xml:space="preserve"> </w:t>
        </w:r>
        <w:r w:rsidR="005F7280" w:rsidRPr="00700175">
          <w:rPr>
            <w:rStyle w:val="Hyperlink"/>
            <w:rFonts w:ascii="Calibri" w:eastAsia="Times New Roman" w:hAnsi="Calibri" w:cs="Calibri"/>
            <w:i/>
            <w:iCs/>
            <w:u w:val="none"/>
          </w:rPr>
          <w:t>Cash Request</w:t>
        </w:r>
        <w:r w:rsidR="005F7280" w:rsidRPr="00700175">
          <w:rPr>
            <w:rStyle w:val="Hyperlink"/>
            <w:rFonts w:ascii="Calibri" w:eastAsia="Times New Roman" w:hAnsi="Calibri" w:cs="Calibri"/>
            <w:u w:val="none"/>
          </w:rPr>
          <w:t xml:space="preserve"> </w:t>
        </w:r>
        <w:r w:rsidR="00700175" w:rsidRPr="00700175">
          <w:rPr>
            <w:rStyle w:val="Hyperlink"/>
            <w:rFonts w:ascii="Calibri" w:eastAsia="Times New Roman" w:hAnsi="Calibri" w:cs="Calibri"/>
            <w:u w:val="none"/>
          </w:rPr>
          <w:t>(</w:t>
        </w:r>
        <w:r w:rsidR="005F7280" w:rsidRPr="00700175">
          <w:rPr>
            <w:rStyle w:val="Hyperlink"/>
            <w:rFonts w:ascii="Calibri" w:eastAsia="Times New Roman" w:hAnsi="Calibri" w:cs="Calibri"/>
            <w:u w:val="none"/>
          </w:rPr>
          <w:t>WSD16-17</w:t>
        </w:r>
      </w:hyperlink>
      <w:r w:rsidR="00700175" w:rsidRPr="00700175">
        <w:rPr>
          <w:rStyle w:val="Hyperlink"/>
          <w:rFonts w:ascii="Calibri" w:eastAsia="Times New Roman" w:hAnsi="Calibri" w:cs="Calibri"/>
          <w:u w:val="none"/>
        </w:rPr>
        <w:t>)</w:t>
      </w:r>
      <w:r w:rsidR="00AF1E65" w:rsidRPr="0191E773">
        <w:rPr>
          <w:rFonts w:ascii="Calibri" w:eastAsia="Times New Roman" w:hAnsi="Calibri" w:cs="Calibri"/>
          <w:i/>
          <w:iCs/>
        </w:rPr>
        <w:t xml:space="preserve"> </w:t>
      </w:r>
      <w:r w:rsidR="005F7280" w:rsidRPr="0191E773">
        <w:rPr>
          <w:rFonts w:ascii="Calibri" w:eastAsia="Times New Roman" w:hAnsi="Calibri" w:cs="Calibri"/>
          <w:i/>
          <w:iCs/>
        </w:rPr>
        <w:t>on the CalJOBS</w:t>
      </w:r>
      <w:r w:rsidR="00D67545">
        <w:rPr>
          <w:rStyle w:val="nounderlines"/>
          <w:rFonts w:ascii="Calibri" w:eastAsia="Times New Roman" w:hAnsi="Calibri" w:cs="Calibri"/>
          <w:i/>
          <w:iCs/>
        </w:rPr>
        <w:t xml:space="preserve"> </w:t>
      </w:r>
      <w:r w:rsidR="005F7280" w:rsidRPr="0191E773">
        <w:rPr>
          <w:rFonts w:ascii="Calibri" w:eastAsia="Times New Roman" w:hAnsi="Calibri" w:cs="Calibri"/>
          <w:i/>
          <w:iCs/>
        </w:rPr>
        <w:t>cash draw process.</w:t>
      </w:r>
    </w:p>
    <w:p w14:paraId="6FC66780" w14:textId="3F20F098" w:rsidR="7D74C942" w:rsidRDefault="7D74C942" w:rsidP="004277B6">
      <w:pPr>
        <w:tabs>
          <w:tab w:val="left" w:pos="540"/>
        </w:tabs>
        <w:rPr>
          <w:rFonts w:eastAsia="Times New Roman"/>
          <w:b/>
          <w:bCs/>
        </w:rPr>
      </w:pPr>
    </w:p>
    <w:p w14:paraId="51DA51BD" w14:textId="307FF519" w:rsidR="0F5B5D86" w:rsidRPr="00915FAB" w:rsidRDefault="005F7280" w:rsidP="004277B6">
      <w:pPr>
        <w:pStyle w:val="ListParagraph"/>
        <w:numPr>
          <w:ilvl w:val="0"/>
          <w:numId w:val="16"/>
        </w:numPr>
        <w:tabs>
          <w:tab w:val="left" w:pos="540"/>
        </w:tabs>
        <w:rPr>
          <w:rFonts w:eastAsia="Times New Roman"/>
          <w:b/>
          <w:bCs/>
        </w:rPr>
      </w:pPr>
      <w:r>
        <w:rPr>
          <w:rFonts w:eastAsia="Times New Roman"/>
          <w:b/>
          <w:bCs/>
        </w:rPr>
        <w:t>Is this grant leveraging WIOA funds, and if so, what are the associated reporting requirements to indicate participants are eligible for WIOA?</w:t>
      </w:r>
    </w:p>
    <w:p w14:paraId="1FE2A017" w14:textId="5E3FCA78" w:rsidR="7D74C942" w:rsidRDefault="7D74C942" w:rsidP="004277B6">
      <w:pPr>
        <w:tabs>
          <w:tab w:val="left" w:pos="540"/>
        </w:tabs>
        <w:rPr>
          <w:rFonts w:eastAsia="Times New Roman"/>
          <w:b/>
          <w:bCs/>
          <w:highlight w:val="yellow"/>
        </w:rPr>
      </w:pPr>
    </w:p>
    <w:p w14:paraId="728C4F8B" w14:textId="64031BFF" w:rsidR="7D74C942" w:rsidRDefault="005F7280" w:rsidP="004277B6">
      <w:pPr>
        <w:tabs>
          <w:tab w:val="left" w:pos="540"/>
        </w:tabs>
        <w:ind w:left="360"/>
        <w:rPr>
          <w:rFonts w:ascii="Calibri" w:eastAsia="Times New Roman" w:hAnsi="Calibri" w:cs="Calibri"/>
          <w:color w:val="000000"/>
          <w:shd w:val="clear" w:color="auto" w:fill="FFFFFF"/>
        </w:rPr>
      </w:pPr>
      <w:r>
        <w:rPr>
          <w:rFonts w:eastAsia="Times New Roman"/>
        </w:rPr>
        <w:t xml:space="preserve">Yes, this grant is being </w:t>
      </w:r>
      <w:r>
        <w:rPr>
          <w:rFonts w:ascii="Calibri" w:eastAsia="Times New Roman" w:hAnsi="Calibri" w:cs="Calibri"/>
        </w:rPr>
        <w:t>awarded in WIOA Title I funds. All individuals must be at least 18-28 and meet WIOA Title I Adult eligibility requirements to participate. Participant information must be reported in CalJOBS</w:t>
      </w:r>
      <w:r>
        <w:rPr>
          <w:rFonts w:ascii="Calibri" w:eastAsia="Times New Roman" w:hAnsi="Calibri" w:cs="Calibri"/>
          <w:color w:val="000000"/>
          <w:shd w:val="clear" w:color="auto" w:fill="FFFFFF"/>
        </w:rPr>
        <w:t>.</w:t>
      </w:r>
    </w:p>
    <w:p w14:paraId="31E9B83E" w14:textId="7D754D19" w:rsidR="00A2217C" w:rsidRDefault="00A2217C" w:rsidP="004277B6">
      <w:pPr>
        <w:tabs>
          <w:tab w:val="left" w:pos="540"/>
        </w:tabs>
        <w:ind w:left="360"/>
        <w:rPr>
          <w:rFonts w:eastAsia="Times New Roman"/>
        </w:rPr>
      </w:pPr>
      <w:r w:rsidRPr="00101AAC">
        <w:rPr>
          <w:rFonts w:cstheme="minorHAnsi"/>
          <w:i/>
          <w:iCs/>
          <w:szCs w:val="24"/>
        </w:rPr>
        <w:t xml:space="preserve">For additional information please reference page </w:t>
      </w:r>
      <w:r>
        <w:rPr>
          <w:rFonts w:cstheme="minorHAnsi"/>
          <w:i/>
          <w:iCs/>
          <w:szCs w:val="24"/>
        </w:rPr>
        <w:t>22</w:t>
      </w:r>
      <w:r w:rsidRPr="00101AAC">
        <w:rPr>
          <w:rFonts w:cstheme="minorHAnsi"/>
          <w:i/>
          <w:iCs/>
          <w:szCs w:val="24"/>
        </w:rPr>
        <w:t xml:space="preserve"> of the SFP.</w:t>
      </w:r>
    </w:p>
    <w:p w14:paraId="5CE27C48" w14:textId="77777777" w:rsidR="00676902" w:rsidRDefault="00676902" w:rsidP="004277B6">
      <w:pPr>
        <w:tabs>
          <w:tab w:val="left" w:pos="540"/>
        </w:tabs>
        <w:rPr>
          <w:rFonts w:eastAsia="Times New Roman"/>
          <w:b/>
          <w:bCs/>
        </w:rPr>
      </w:pPr>
    </w:p>
    <w:p w14:paraId="563D7306" w14:textId="304C3398" w:rsidR="0F5B5D86" w:rsidRPr="00915FAB" w:rsidRDefault="005F7280" w:rsidP="004277B6">
      <w:pPr>
        <w:pStyle w:val="ListParagraph"/>
        <w:numPr>
          <w:ilvl w:val="0"/>
          <w:numId w:val="16"/>
        </w:numPr>
        <w:tabs>
          <w:tab w:val="left" w:pos="540"/>
        </w:tabs>
        <w:rPr>
          <w:rFonts w:eastAsia="Times New Roman"/>
          <w:b/>
          <w:bCs/>
        </w:rPr>
      </w:pPr>
      <w:r>
        <w:rPr>
          <w:rFonts w:eastAsia="Times New Roman"/>
          <w:b/>
          <w:bCs/>
        </w:rPr>
        <w:t>Can an applicant utilize funding from COYA as matching dollars?</w:t>
      </w:r>
    </w:p>
    <w:p w14:paraId="7DB16ADE" w14:textId="36E0A10C" w:rsidR="7D74C942" w:rsidRDefault="7D74C942" w:rsidP="004277B6">
      <w:pPr>
        <w:tabs>
          <w:tab w:val="left" w:pos="540"/>
        </w:tabs>
        <w:rPr>
          <w:rFonts w:eastAsia="Times New Roman"/>
          <w:b/>
          <w:bCs/>
        </w:rPr>
      </w:pPr>
    </w:p>
    <w:p w14:paraId="11F9986A" w14:textId="06197174" w:rsidR="7D74C942" w:rsidRDefault="002A68D4" w:rsidP="004277B6">
      <w:pPr>
        <w:tabs>
          <w:tab w:val="left" w:pos="540"/>
        </w:tabs>
        <w:ind w:left="360"/>
        <w:rPr>
          <w:rFonts w:ascii="Calibri" w:eastAsia="Times New Roman" w:hAnsi="Calibri" w:cs="Calibri"/>
        </w:rPr>
      </w:pPr>
      <w:r>
        <w:rPr>
          <w:rFonts w:eastAsia="Times New Roman"/>
        </w:rPr>
        <w:t>A</w:t>
      </w:r>
      <w:r w:rsidR="005F7280">
        <w:rPr>
          <w:rFonts w:eastAsia="Times New Roman"/>
        </w:rPr>
        <w:t xml:space="preserve">pplicants </w:t>
      </w:r>
      <w:r w:rsidR="00AF1E65">
        <w:rPr>
          <w:rFonts w:eastAsia="Times New Roman"/>
        </w:rPr>
        <w:t xml:space="preserve">must demonstrate a minimum of 20 percent leveraged </w:t>
      </w:r>
      <w:r w:rsidR="00331B5A">
        <w:rPr>
          <w:rFonts w:eastAsia="Times New Roman"/>
        </w:rPr>
        <w:t>resources</w:t>
      </w:r>
      <w:r w:rsidR="00AF1E65">
        <w:rPr>
          <w:rFonts w:eastAsia="Times New Roman"/>
        </w:rPr>
        <w:t xml:space="preserve"> from other sources </w:t>
      </w:r>
      <w:r w:rsidR="00AF1E65">
        <w:rPr>
          <w:rFonts w:ascii="Calibri" w:eastAsia="Times New Roman" w:hAnsi="Calibri" w:cs="Calibri"/>
        </w:rPr>
        <w:t>based on the total grant funding requested. Regardless of the source, all leveraged funds must be documented in a commitment agreement letter supplied by the funding agency. If the lead applicant is providing contributions, the applicant organization must provide a letter that conforms to the stated guidelines. The letters should clearly define the contribution parameters and include the exact amount of the contribution.</w:t>
      </w:r>
    </w:p>
    <w:p w14:paraId="07EF4E84" w14:textId="2692FF7E" w:rsidR="00A2217C" w:rsidRDefault="00A2217C" w:rsidP="004277B6">
      <w:pPr>
        <w:tabs>
          <w:tab w:val="left" w:pos="540"/>
        </w:tabs>
        <w:ind w:left="360"/>
        <w:rPr>
          <w:rFonts w:eastAsia="Times New Roman"/>
        </w:rPr>
      </w:pPr>
      <w:r w:rsidRPr="00101AAC">
        <w:rPr>
          <w:rFonts w:cstheme="minorHAnsi"/>
          <w:i/>
          <w:iCs/>
          <w:szCs w:val="24"/>
        </w:rPr>
        <w:t>For additional information please reference page</w:t>
      </w:r>
      <w:r>
        <w:rPr>
          <w:rFonts w:cstheme="minorHAnsi"/>
          <w:i/>
          <w:iCs/>
          <w:szCs w:val="24"/>
        </w:rPr>
        <w:t>s 14-15</w:t>
      </w:r>
      <w:r w:rsidRPr="00101AAC">
        <w:rPr>
          <w:rFonts w:cstheme="minorHAnsi"/>
          <w:i/>
          <w:iCs/>
          <w:szCs w:val="24"/>
        </w:rPr>
        <w:t xml:space="preserve"> of the SFP.</w:t>
      </w:r>
    </w:p>
    <w:p w14:paraId="61B4514C" w14:textId="77777777" w:rsidR="002A68D4" w:rsidRPr="00915FAB" w:rsidRDefault="002A68D4" w:rsidP="004277B6">
      <w:pPr>
        <w:tabs>
          <w:tab w:val="left" w:pos="540"/>
        </w:tabs>
        <w:ind w:firstLine="360"/>
        <w:rPr>
          <w:rFonts w:eastAsia="Times New Roman"/>
        </w:rPr>
      </w:pPr>
    </w:p>
    <w:p w14:paraId="40DFFE20" w14:textId="699DC71A" w:rsidR="0F5B5D86" w:rsidRPr="00915FAB" w:rsidRDefault="005F7280" w:rsidP="004277B6">
      <w:pPr>
        <w:pStyle w:val="ListParagraph"/>
        <w:numPr>
          <w:ilvl w:val="0"/>
          <w:numId w:val="16"/>
        </w:numPr>
        <w:tabs>
          <w:tab w:val="left" w:pos="540"/>
        </w:tabs>
        <w:rPr>
          <w:rFonts w:eastAsia="Times New Roman"/>
          <w:b/>
          <w:bCs/>
        </w:rPr>
      </w:pPr>
      <w:r>
        <w:rPr>
          <w:rFonts w:eastAsia="Times New Roman"/>
          <w:b/>
          <w:bCs/>
        </w:rPr>
        <w:t>The SFP does not provide insight into what the three-digit initialism is, please provide more detail.</w:t>
      </w:r>
    </w:p>
    <w:p w14:paraId="54A0B564" w14:textId="7ECAB554" w:rsidR="7D74C942" w:rsidRDefault="7D74C942" w:rsidP="004277B6">
      <w:pPr>
        <w:tabs>
          <w:tab w:val="left" w:pos="540"/>
        </w:tabs>
        <w:rPr>
          <w:rFonts w:eastAsia="Times New Roman"/>
          <w:b/>
          <w:bCs/>
        </w:rPr>
      </w:pPr>
    </w:p>
    <w:p w14:paraId="32C57768" w14:textId="6655FDBF" w:rsidR="4FFD0297" w:rsidRDefault="002A68D4" w:rsidP="004277B6">
      <w:pPr>
        <w:tabs>
          <w:tab w:val="left" w:pos="540"/>
        </w:tabs>
        <w:ind w:left="360"/>
        <w:rPr>
          <w:rFonts w:ascii="Calibri" w:eastAsia="Times New Roman" w:hAnsi="Calibri" w:cs="Calibri"/>
          <w:color w:val="000000"/>
          <w:shd w:val="clear" w:color="auto" w:fill="FFFFFF"/>
        </w:rPr>
      </w:pPr>
      <w:r>
        <w:rPr>
          <w:rFonts w:eastAsia="Times New Roman"/>
        </w:rPr>
        <w:t>An</w:t>
      </w:r>
      <w:r w:rsidR="00AF1E65">
        <w:rPr>
          <w:rFonts w:eastAsia="Times New Roman"/>
        </w:rPr>
        <w:t xml:space="preserve"> applicant’s </w:t>
      </w:r>
      <w:r w:rsidR="00AF1E65">
        <w:rPr>
          <w:rFonts w:ascii="Calibri" w:eastAsia="Times New Roman" w:hAnsi="Calibri" w:cs="Calibri"/>
        </w:rPr>
        <w:t>three-digit initialism refers to their assigned CalJOBS</w:t>
      </w:r>
      <w:r w:rsidR="00AF1E65">
        <w:rPr>
          <w:rFonts w:ascii="Calibri" w:eastAsia="Times New Roman" w:hAnsi="Calibri" w:cs="Calibri"/>
          <w:color w:val="000000"/>
          <w:shd w:val="clear" w:color="auto" w:fill="FFFFFF"/>
        </w:rPr>
        <w:t xml:space="preserve"> initialism. If the applicant’s organization is unsure of this, they may assign their own three-digit initialism. For example, “ABC Foundation” could use the initialism “ABC”.</w:t>
      </w:r>
    </w:p>
    <w:p w14:paraId="2F67BDEA" w14:textId="4777D998" w:rsidR="00A2217C" w:rsidRDefault="00A2217C" w:rsidP="004277B6">
      <w:pPr>
        <w:tabs>
          <w:tab w:val="left" w:pos="540"/>
        </w:tabs>
        <w:ind w:left="360"/>
        <w:rPr>
          <w:rFonts w:eastAsia="Times New Roman"/>
        </w:rPr>
      </w:pPr>
      <w:r w:rsidRPr="00101AAC">
        <w:rPr>
          <w:rFonts w:cstheme="minorHAnsi"/>
          <w:i/>
          <w:iCs/>
          <w:szCs w:val="24"/>
        </w:rPr>
        <w:t xml:space="preserve">For additional information please reference page </w:t>
      </w:r>
      <w:r>
        <w:rPr>
          <w:rFonts w:cstheme="minorHAnsi"/>
          <w:i/>
          <w:iCs/>
          <w:szCs w:val="24"/>
        </w:rPr>
        <w:t>16</w:t>
      </w:r>
      <w:r w:rsidRPr="00101AAC">
        <w:rPr>
          <w:rFonts w:cstheme="minorHAnsi"/>
          <w:i/>
          <w:iCs/>
          <w:szCs w:val="24"/>
        </w:rPr>
        <w:t xml:space="preserve"> of the SFP.</w:t>
      </w:r>
    </w:p>
    <w:p w14:paraId="25122D47" w14:textId="31CC3F0E" w:rsidR="7D74C942" w:rsidRDefault="7D74C942" w:rsidP="004277B6">
      <w:pPr>
        <w:tabs>
          <w:tab w:val="left" w:pos="540"/>
        </w:tabs>
        <w:rPr>
          <w:rFonts w:eastAsia="Times New Roman"/>
          <w:b/>
          <w:bCs/>
        </w:rPr>
      </w:pPr>
    </w:p>
    <w:p w14:paraId="3A063917" w14:textId="1B700744" w:rsidR="0F5B5D86" w:rsidRPr="00915FAB" w:rsidRDefault="00094367" w:rsidP="004277B6">
      <w:pPr>
        <w:pStyle w:val="ListParagraph"/>
        <w:numPr>
          <w:ilvl w:val="0"/>
          <w:numId w:val="16"/>
        </w:numPr>
        <w:tabs>
          <w:tab w:val="left" w:pos="540"/>
        </w:tabs>
        <w:rPr>
          <w:rFonts w:eastAsia="Times New Roman"/>
          <w:b/>
          <w:bCs/>
        </w:rPr>
      </w:pPr>
      <w:r>
        <w:rPr>
          <w:rFonts w:eastAsia="Times New Roman"/>
          <w:b/>
          <w:bCs/>
        </w:rPr>
        <w:t>Does the project have to exclusively serve people age</w:t>
      </w:r>
      <w:r w:rsidR="003819CB">
        <w:rPr>
          <w:rFonts w:eastAsia="Times New Roman"/>
          <w:b/>
          <w:bCs/>
        </w:rPr>
        <w:t>s</w:t>
      </w:r>
      <w:r>
        <w:rPr>
          <w:rFonts w:eastAsia="Times New Roman"/>
          <w:b/>
          <w:bCs/>
        </w:rPr>
        <w:t xml:space="preserve"> 18-28, or is it sufficient for the project to serve a cohort that is majority 18-28 but also includes folks outside this age bracket?</w:t>
      </w:r>
    </w:p>
    <w:p w14:paraId="1DE52367" w14:textId="2BB56B07" w:rsidR="7D74C942" w:rsidRDefault="7D74C942" w:rsidP="004277B6">
      <w:pPr>
        <w:tabs>
          <w:tab w:val="left" w:pos="540"/>
        </w:tabs>
        <w:rPr>
          <w:rFonts w:eastAsia="Times New Roman"/>
          <w:b/>
          <w:bCs/>
        </w:rPr>
      </w:pPr>
    </w:p>
    <w:p w14:paraId="3F2F8DD4" w14:textId="0BF468BF" w:rsidR="000D27DB" w:rsidRDefault="003819CB" w:rsidP="004277B6">
      <w:pPr>
        <w:tabs>
          <w:tab w:val="left" w:pos="540"/>
        </w:tabs>
        <w:ind w:left="360"/>
        <w:rPr>
          <w:rStyle w:val="nounderlines"/>
          <w:rFonts w:ascii="Calibri" w:eastAsia="Times New Roman" w:hAnsi="Calibri" w:cs="Calibri"/>
        </w:rPr>
      </w:pPr>
      <w:r>
        <w:rPr>
          <w:rFonts w:ascii="Calibri" w:eastAsia="Calibri" w:hAnsi="Calibri" w:cs="Calibri"/>
          <w:szCs w:val="24"/>
        </w:rPr>
        <w:t>All individuals must be at least 18-28 years of age and meet WIOA Title I Adult eligibility requirements to participate in the OYACPP PY 24-25 program. Participant information must be reported in</w:t>
      </w:r>
      <w:r w:rsidRPr="003819CB">
        <w:rPr>
          <w:rFonts w:ascii="Calibri" w:eastAsia="Times New Roman" w:hAnsi="Calibri" w:cs="Calibri"/>
        </w:rPr>
        <w:t xml:space="preserve"> </w:t>
      </w:r>
      <w:r>
        <w:rPr>
          <w:rFonts w:ascii="Calibri" w:eastAsia="Times New Roman" w:hAnsi="Calibri" w:cs="Calibri"/>
        </w:rPr>
        <w:t>CalJOBS</w:t>
      </w:r>
      <w:r>
        <w:rPr>
          <w:rStyle w:val="nounderlines"/>
          <w:rFonts w:ascii="Calibri" w:eastAsia="Times New Roman" w:hAnsi="Calibri" w:cs="Calibri"/>
        </w:rPr>
        <w:t>.</w:t>
      </w:r>
    </w:p>
    <w:p w14:paraId="6F16EAE7" w14:textId="4F120188" w:rsidR="0024046E" w:rsidRDefault="0024046E" w:rsidP="004277B6">
      <w:pPr>
        <w:tabs>
          <w:tab w:val="left" w:pos="540"/>
        </w:tabs>
        <w:ind w:left="360"/>
        <w:rPr>
          <w:rFonts w:ascii="Calibri" w:eastAsia="Calibri" w:hAnsi="Calibri" w:cs="Calibri"/>
          <w:szCs w:val="24"/>
        </w:rPr>
      </w:pPr>
      <w:r w:rsidRPr="00101AAC">
        <w:rPr>
          <w:rFonts w:cstheme="minorHAnsi"/>
          <w:i/>
          <w:iCs/>
          <w:szCs w:val="24"/>
        </w:rPr>
        <w:lastRenderedPageBreak/>
        <w:t xml:space="preserve">For additional information please reference page </w:t>
      </w:r>
      <w:r>
        <w:rPr>
          <w:rFonts w:cstheme="minorHAnsi"/>
          <w:i/>
          <w:iCs/>
          <w:szCs w:val="24"/>
        </w:rPr>
        <w:t>4</w:t>
      </w:r>
      <w:r w:rsidRPr="00101AAC">
        <w:rPr>
          <w:rFonts w:cstheme="minorHAnsi"/>
          <w:i/>
          <w:iCs/>
          <w:szCs w:val="24"/>
        </w:rPr>
        <w:t xml:space="preserve"> of the SFP.</w:t>
      </w:r>
    </w:p>
    <w:p w14:paraId="5C936328" w14:textId="77777777" w:rsidR="00094367" w:rsidRDefault="00094367" w:rsidP="004277B6">
      <w:pPr>
        <w:tabs>
          <w:tab w:val="left" w:pos="540"/>
        </w:tabs>
        <w:ind w:firstLine="360"/>
        <w:rPr>
          <w:rFonts w:ascii="Calibri" w:eastAsia="Calibri" w:hAnsi="Calibri" w:cs="Calibri"/>
          <w:szCs w:val="24"/>
        </w:rPr>
      </w:pPr>
    </w:p>
    <w:p w14:paraId="42E13433" w14:textId="0ED12E11" w:rsidR="00094367" w:rsidRPr="00094367" w:rsidRDefault="00094367" w:rsidP="0191E773">
      <w:pPr>
        <w:pStyle w:val="ListParagraph"/>
        <w:numPr>
          <w:ilvl w:val="0"/>
          <w:numId w:val="16"/>
        </w:numPr>
        <w:tabs>
          <w:tab w:val="left" w:pos="540"/>
        </w:tabs>
        <w:rPr>
          <w:rFonts w:ascii="Calibri" w:eastAsia="Arial" w:hAnsi="Calibri" w:cs="Calibri"/>
          <w:color w:val="000000" w:themeColor="text1"/>
        </w:rPr>
      </w:pPr>
      <w:r w:rsidRPr="0191E773">
        <w:rPr>
          <w:rFonts w:ascii="Calibri" w:eastAsia="Arial" w:hAnsi="Calibri" w:cs="Calibri"/>
          <w:b/>
          <w:bCs/>
          <w:color w:val="000000" w:themeColor="text1"/>
        </w:rPr>
        <w:t>Do organizations applying need past experience managing or receiving WIOA funds?</w:t>
      </w:r>
    </w:p>
    <w:p w14:paraId="1F53B7CA" w14:textId="77777777" w:rsidR="00094367" w:rsidRDefault="00094367" w:rsidP="004277B6">
      <w:pPr>
        <w:pStyle w:val="ListParagraph"/>
        <w:tabs>
          <w:tab w:val="left" w:pos="540"/>
        </w:tabs>
        <w:ind w:left="360"/>
        <w:rPr>
          <w:rFonts w:ascii="Calibri" w:eastAsia="Arial" w:hAnsi="Calibri" w:cs="Calibri"/>
          <w:b/>
          <w:bCs/>
          <w:color w:val="000000" w:themeColor="text1"/>
          <w:lang w:val="en"/>
        </w:rPr>
      </w:pPr>
    </w:p>
    <w:p w14:paraId="4B8F1AAA" w14:textId="00D1A4EA" w:rsidR="00094367" w:rsidRDefault="003819CB" w:rsidP="0191E773">
      <w:pPr>
        <w:pStyle w:val="ListParagraph"/>
        <w:tabs>
          <w:tab w:val="left" w:pos="540"/>
        </w:tabs>
        <w:ind w:left="360"/>
        <w:rPr>
          <w:rFonts w:ascii="Calibri" w:eastAsia="Arial" w:hAnsi="Calibri" w:cs="Calibri"/>
          <w:color w:val="000000" w:themeColor="text1"/>
        </w:rPr>
      </w:pPr>
      <w:r w:rsidRPr="0191E773">
        <w:rPr>
          <w:rFonts w:ascii="Calibri" w:eastAsia="Arial" w:hAnsi="Calibri" w:cs="Calibri"/>
          <w:color w:val="000000" w:themeColor="text1"/>
        </w:rPr>
        <w:t>No, organizations do not need experience managing or receiving WIOA funds to be eligible for this funding opportunity. Please note that applicants, including collaborations among partners, must have demonstrated expertise in assisting opportunity young adults (OYA) and in workforce development programs.</w:t>
      </w:r>
    </w:p>
    <w:p w14:paraId="564880DC" w14:textId="62AC725D" w:rsidR="0024046E" w:rsidRDefault="0024046E" w:rsidP="004277B6">
      <w:pPr>
        <w:pStyle w:val="ListParagraph"/>
        <w:tabs>
          <w:tab w:val="left" w:pos="540"/>
        </w:tabs>
        <w:ind w:left="360"/>
        <w:rPr>
          <w:rFonts w:ascii="Calibri" w:eastAsia="Arial" w:hAnsi="Calibri" w:cs="Calibri"/>
          <w:color w:val="000000" w:themeColor="text1"/>
          <w:lang w:val="en"/>
        </w:rPr>
      </w:pPr>
      <w:r w:rsidRPr="00101AAC">
        <w:rPr>
          <w:rFonts w:cstheme="minorHAnsi"/>
          <w:i/>
          <w:iCs/>
          <w:szCs w:val="24"/>
        </w:rPr>
        <w:t xml:space="preserve">For additional information please reference page </w:t>
      </w:r>
      <w:r w:rsidR="005D71DC">
        <w:rPr>
          <w:rFonts w:cstheme="minorHAnsi"/>
          <w:i/>
          <w:iCs/>
          <w:szCs w:val="24"/>
        </w:rPr>
        <w:t>5</w:t>
      </w:r>
      <w:r w:rsidRPr="00101AAC">
        <w:rPr>
          <w:rFonts w:cstheme="minorHAnsi"/>
          <w:i/>
          <w:iCs/>
          <w:szCs w:val="24"/>
        </w:rPr>
        <w:t xml:space="preserve"> of the SFP.</w:t>
      </w:r>
    </w:p>
    <w:p w14:paraId="0375A6C4" w14:textId="77777777" w:rsidR="00094367" w:rsidRDefault="00094367" w:rsidP="004277B6">
      <w:pPr>
        <w:tabs>
          <w:tab w:val="left" w:pos="540"/>
        </w:tabs>
        <w:rPr>
          <w:rFonts w:ascii="Calibri" w:eastAsia="Arial" w:hAnsi="Calibri" w:cs="Calibri"/>
          <w:color w:val="000000" w:themeColor="text1"/>
          <w:lang w:val="en"/>
        </w:rPr>
      </w:pPr>
    </w:p>
    <w:p w14:paraId="514F0C94" w14:textId="10267544" w:rsidR="00094367" w:rsidRPr="00094367" w:rsidRDefault="003819CB" w:rsidP="004277B6">
      <w:pPr>
        <w:pStyle w:val="ListParagraph"/>
        <w:numPr>
          <w:ilvl w:val="0"/>
          <w:numId w:val="16"/>
        </w:numPr>
        <w:tabs>
          <w:tab w:val="left" w:pos="540"/>
        </w:tabs>
        <w:rPr>
          <w:rFonts w:ascii="Calibri" w:eastAsia="Arial" w:hAnsi="Calibri" w:cs="Calibri"/>
          <w:color w:val="000000" w:themeColor="text1"/>
          <w:lang w:val="en"/>
        </w:rPr>
      </w:pPr>
      <w:r>
        <w:rPr>
          <w:rFonts w:ascii="Calibri" w:eastAsia="Arial" w:hAnsi="Calibri" w:cs="Calibri"/>
          <w:b/>
          <w:bCs/>
          <w:color w:val="000000" w:themeColor="text1"/>
          <w:lang w:val="en"/>
        </w:rPr>
        <w:t>Can applicants braid local</w:t>
      </w:r>
      <w:r w:rsidRPr="003819CB">
        <w:t xml:space="preserve"> </w:t>
      </w:r>
      <w:r w:rsidRPr="003819CB">
        <w:rPr>
          <w:rFonts w:ascii="Calibri" w:eastAsia="Arial" w:hAnsi="Calibri" w:cs="Calibri"/>
          <w:b/>
          <w:bCs/>
          <w:color w:val="000000" w:themeColor="text1"/>
          <w:lang w:val="en"/>
        </w:rPr>
        <w:t>WIOA training funds into this project (i.e., can we co-enroll participants with the local workforce development center and utilize WIOA funding to pay for their training)? Can that count toward the match?</w:t>
      </w:r>
    </w:p>
    <w:p w14:paraId="4B9C6D8A" w14:textId="77777777" w:rsidR="00094367" w:rsidRDefault="00094367" w:rsidP="004277B6">
      <w:pPr>
        <w:tabs>
          <w:tab w:val="left" w:pos="540"/>
        </w:tabs>
        <w:rPr>
          <w:rFonts w:ascii="Calibri" w:eastAsia="Arial" w:hAnsi="Calibri" w:cs="Calibri"/>
          <w:color w:val="000000" w:themeColor="text1"/>
          <w:lang w:val="en"/>
        </w:rPr>
      </w:pPr>
    </w:p>
    <w:p w14:paraId="618994EF" w14:textId="73CDCAB1" w:rsidR="00094367" w:rsidRDefault="00094367" w:rsidP="0191E773">
      <w:pPr>
        <w:tabs>
          <w:tab w:val="left" w:pos="540"/>
        </w:tabs>
        <w:ind w:left="360"/>
        <w:rPr>
          <w:rFonts w:ascii="Calibri" w:eastAsia="Arial" w:hAnsi="Calibri" w:cs="Calibri"/>
          <w:color w:val="000000" w:themeColor="text1"/>
        </w:rPr>
      </w:pPr>
      <w:r w:rsidRPr="0191E773">
        <w:rPr>
          <w:rFonts w:ascii="Calibri" w:eastAsia="Arial" w:hAnsi="Calibri" w:cs="Calibri"/>
          <w:color w:val="000000" w:themeColor="text1"/>
        </w:rPr>
        <w:t>A</w:t>
      </w:r>
      <w:r w:rsidR="003819CB" w:rsidRPr="0191E773">
        <w:rPr>
          <w:rFonts w:ascii="Calibri" w:eastAsia="Arial" w:hAnsi="Calibri" w:cs="Calibri"/>
          <w:color w:val="000000" w:themeColor="text1"/>
        </w:rPr>
        <w:t xml:space="preserve">pplicants are encouraged to braid funds, leverage human capital, and utilize other resources to maximize the project's success. Leveraged resources can come from a variety of sources. All leveraged funds will be subject to the reporting requirements contained in Workforce Services Directive Monthly and Quarterly Financial Reporting Requirements </w:t>
      </w:r>
      <w:r w:rsidR="003819CB" w:rsidRPr="00700175">
        <w:rPr>
          <w:rFonts w:ascii="Calibri" w:eastAsia="Arial" w:hAnsi="Calibri" w:cs="Calibri"/>
          <w:color w:val="000000" w:themeColor="text1"/>
        </w:rPr>
        <w:t>(</w:t>
      </w:r>
      <w:hyperlink r:id="rId19">
        <w:r w:rsidR="003819CB" w:rsidRPr="00700175">
          <w:rPr>
            <w:rStyle w:val="Hyperlink"/>
            <w:rFonts w:ascii="Calibri" w:eastAsia="Arial" w:hAnsi="Calibri" w:cs="Calibri"/>
            <w:u w:val="none"/>
          </w:rPr>
          <w:t>WSD19-05</w:t>
        </w:r>
      </w:hyperlink>
      <w:r w:rsidR="003819CB" w:rsidRPr="00700175">
        <w:rPr>
          <w:rFonts w:ascii="Calibri" w:eastAsia="Arial" w:hAnsi="Calibri" w:cs="Calibri"/>
          <w:color w:val="000000" w:themeColor="text1"/>
        </w:rPr>
        <w:t>) (December 4, 2019), Workforce Services Directive Strategic Co-Enrollment – Unified Plan Partners (</w:t>
      </w:r>
      <w:hyperlink r:id="rId20">
        <w:r w:rsidR="003819CB" w:rsidRPr="00700175">
          <w:rPr>
            <w:rStyle w:val="Hyperlink"/>
            <w:rFonts w:ascii="Calibri" w:eastAsia="Arial" w:hAnsi="Calibri" w:cs="Calibri"/>
            <w:u w:val="none"/>
          </w:rPr>
          <w:t>WSD19-09</w:t>
        </w:r>
      </w:hyperlink>
      <w:r w:rsidR="003819CB" w:rsidRPr="00700175">
        <w:rPr>
          <w:rFonts w:ascii="Calibri" w:eastAsia="Arial" w:hAnsi="Calibri" w:cs="Calibri"/>
          <w:color w:val="000000" w:themeColor="text1"/>
        </w:rPr>
        <w:t>)</w:t>
      </w:r>
      <w:r w:rsidR="003819CB" w:rsidRPr="0191E773">
        <w:rPr>
          <w:rFonts w:ascii="Calibri" w:eastAsia="Arial" w:hAnsi="Calibri" w:cs="Calibri"/>
          <w:color w:val="000000" w:themeColor="text1"/>
        </w:rPr>
        <w:t xml:space="preserve"> (February 12, 2020), and Title 2 Code of Federal Regulations (CFR) Part 200: Uniform Administrative Requirements, Cost Principles, and Audit Requirements for Federal Awards (Uniform Guidance), Section 200.306 Cost sharing or leveraging.</w:t>
      </w:r>
    </w:p>
    <w:p w14:paraId="461FC8F8" w14:textId="5A1C81CE" w:rsidR="005D71DC" w:rsidRDefault="005D71DC" w:rsidP="004277B6">
      <w:pPr>
        <w:tabs>
          <w:tab w:val="left" w:pos="540"/>
        </w:tabs>
        <w:ind w:left="360"/>
        <w:rPr>
          <w:rFonts w:ascii="Calibri" w:eastAsia="Arial" w:hAnsi="Calibri" w:cs="Calibri"/>
          <w:color w:val="000000" w:themeColor="text1"/>
          <w:lang w:val="en"/>
        </w:rPr>
      </w:pPr>
      <w:r w:rsidRPr="00101AAC">
        <w:rPr>
          <w:rFonts w:cstheme="minorHAnsi"/>
          <w:i/>
          <w:iCs/>
          <w:szCs w:val="24"/>
        </w:rPr>
        <w:t>For additional information please reference page</w:t>
      </w:r>
      <w:r>
        <w:rPr>
          <w:rFonts w:cstheme="minorHAnsi"/>
          <w:i/>
          <w:iCs/>
          <w:szCs w:val="24"/>
        </w:rPr>
        <w:t>s 14-15</w:t>
      </w:r>
      <w:r w:rsidRPr="00101AAC">
        <w:rPr>
          <w:rFonts w:cstheme="minorHAnsi"/>
          <w:i/>
          <w:iCs/>
          <w:szCs w:val="24"/>
        </w:rPr>
        <w:t xml:space="preserve"> of the SFP.</w:t>
      </w:r>
    </w:p>
    <w:p w14:paraId="06655602" w14:textId="77777777" w:rsidR="003819CB" w:rsidRDefault="003819CB" w:rsidP="004277B6">
      <w:pPr>
        <w:tabs>
          <w:tab w:val="left" w:pos="540"/>
        </w:tabs>
        <w:rPr>
          <w:rFonts w:ascii="Calibri" w:eastAsia="Arial" w:hAnsi="Calibri" w:cs="Calibri"/>
          <w:color w:val="000000" w:themeColor="text1"/>
          <w:lang w:val="en"/>
        </w:rPr>
      </w:pPr>
    </w:p>
    <w:p w14:paraId="5C5DA840" w14:textId="731D1D58" w:rsidR="003819CB" w:rsidRPr="003819CB" w:rsidRDefault="003819CB" w:rsidP="0191E773">
      <w:pPr>
        <w:pStyle w:val="ListParagraph"/>
        <w:numPr>
          <w:ilvl w:val="0"/>
          <w:numId w:val="16"/>
        </w:numPr>
        <w:tabs>
          <w:tab w:val="left" w:pos="540"/>
        </w:tabs>
        <w:rPr>
          <w:rFonts w:ascii="Calibri" w:eastAsia="Arial" w:hAnsi="Calibri" w:cs="Calibri"/>
          <w:color w:val="000000" w:themeColor="text1"/>
        </w:rPr>
      </w:pPr>
      <w:r w:rsidRPr="0191E773">
        <w:rPr>
          <w:rFonts w:ascii="Calibri" w:eastAsia="Arial" w:hAnsi="Calibri" w:cs="Calibri"/>
          <w:b/>
          <w:bCs/>
          <w:color w:val="000000" w:themeColor="text1"/>
        </w:rPr>
        <w:t>In terms of allowable costs, please elaborate on the reporting/back-up that will be needed for “participant support costs”. Are there limits in the amount of that funding per person?</w:t>
      </w:r>
    </w:p>
    <w:p w14:paraId="5829F3AE" w14:textId="7E426983" w:rsidR="003819CB" w:rsidRDefault="003819CB" w:rsidP="004277B6">
      <w:pPr>
        <w:pStyle w:val="ListParagraph"/>
        <w:tabs>
          <w:tab w:val="left" w:pos="540"/>
        </w:tabs>
        <w:ind w:left="360"/>
        <w:rPr>
          <w:rFonts w:ascii="Calibri" w:eastAsia="Arial" w:hAnsi="Calibri" w:cs="Calibri"/>
          <w:b/>
          <w:bCs/>
          <w:color w:val="000000" w:themeColor="text1"/>
          <w:lang w:val="en"/>
        </w:rPr>
      </w:pPr>
    </w:p>
    <w:p w14:paraId="4101E281" w14:textId="740F1D01" w:rsidR="003819CB" w:rsidRDefault="003819CB" w:rsidP="004277B6">
      <w:pPr>
        <w:pStyle w:val="ListParagraph"/>
        <w:tabs>
          <w:tab w:val="left" w:pos="540"/>
        </w:tabs>
        <w:ind w:left="360"/>
        <w:rPr>
          <w:rFonts w:ascii="Calibri" w:eastAsia="Arial" w:hAnsi="Calibri" w:cs="Calibri"/>
          <w:color w:val="000000" w:themeColor="text1"/>
          <w:lang w:val="en"/>
        </w:rPr>
      </w:pPr>
      <w:r w:rsidRPr="003819CB">
        <w:rPr>
          <w:rFonts w:ascii="Calibri" w:eastAsia="Arial" w:hAnsi="Calibri" w:cs="Calibri"/>
          <w:color w:val="000000" w:themeColor="text1"/>
          <w:lang w:val="en"/>
        </w:rPr>
        <w:t>The EDD recognizes that intensive training in occupational skills literacy and other essential skills, combined with robust wrap-around support and ancillary services, will result in higher costs per participant than other similar training programs; therefore, an applicant may serve any number of participants but must provide a rationale for the cost per participant. The number of projected participants is calculated using the mid-range average cost per participant ($9,000) and the high-range average cost per participant ($15,000). The average cost per participant may vary based on geographic location, target population, service type, and intensity.</w:t>
      </w:r>
    </w:p>
    <w:p w14:paraId="7D6FC45D" w14:textId="231598F0" w:rsidR="005D71DC" w:rsidRDefault="005D71DC" w:rsidP="004277B6">
      <w:pPr>
        <w:pStyle w:val="ListParagraph"/>
        <w:tabs>
          <w:tab w:val="left" w:pos="540"/>
        </w:tabs>
        <w:ind w:left="360"/>
        <w:rPr>
          <w:rFonts w:cstheme="minorHAnsi"/>
          <w:i/>
          <w:iCs/>
          <w:szCs w:val="24"/>
        </w:rPr>
      </w:pPr>
      <w:r w:rsidRPr="00101AAC">
        <w:rPr>
          <w:rFonts w:cstheme="minorHAnsi"/>
          <w:i/>
          <w:iCs/>
          <w:szCs w:val="24"/>
        </w:rPr>
        <w:t>For additional information please reference page</w:t>
      </w:r>
      <w:r>
        <w:rPr>
          <w:rFonts w:cstheme="minorHAnsi"/>
          <w:i/>
          <w:iCs/>
          <w:szCs w:val="24"/>
        </w:rPr>
        <w:t>s 48-53</w:t>
      </w:r>
      <w:r w:rsidRPr="00101AAC">
        <w:rPr>
          <w:rFonts w:cstheme="minorHAnsi"/>
          <w:i/>
          <w:iCs/>
          <w:szCs w:val="24"/>
        </w:rPr>
        <w:t xml:space="preserve"> of the SFP.</w:t>
      </w:r>
    </w:p>
    <w:p w14:paraId="07DF04F3" w14:textId="77777777" w:rsidR="00427051" w:rsidRDefault="00427051" w:rsidP="004277B6">
      <w:pPr>
        <w:pStyle w:val="ListParagraph"/>
        <w:tabs>
          <w:tab w:val="left" w:pos="540"/>
        </w:tabs>
        <w:ind w:left="360"/>
        <w:rPr>
          <w:rFonts w:cstheme="minorHAnsi"/>
          <w:i/>
          <w:iCs/>
          <w:szCs w:val="24"/>
        </w:rPr>
      </w:pPr>
    </w:p>
    <w:p w14:paraId="156BF5A7" w14:textId="0FFF9EF9" w:rsidR="00427051" w:rsidRPr="00427051" w:rsidRDefault="00427051" w:rsidP="004277B6">
      <w:pPr>
        <w:pStyle w:val="ListParagraph"/>
        <w:numPr>
          <w:ilvl w:val="0"/>
          <w:numId w:val="16"/>
        </w:numPr>
        <w:tabs>
          <w:tab w:val="left" w:pos="540"/>
        </w:tabs>
        <w:rPr>
          <w:rFonts w:ascii="Calibri" w:eastAsia="Arial" w:hAnsi="Calibri" w:cs="Calibri"/>
          <w:color w:val="000000" w:themeColor="text1"/>
          <w:lang w:val="en"/>
        </w:rPr>
      </w:pPr>
      <w:r>
        <w:rPr>
          <w:rFonts w:cstheme="minorHAnsi"/>
          <w:b/>
          <w:bCs/>
          <w:szCs w:val="24"/>
        </w:rPr>
        <w:t>The SFP references word document templates for submission materials. How can applicants access these templates?</w:t>
      </w:r>
    </w:p>
    <w:p w14:paraId="13E17395" w14:textId="77777777" w:rsidR="00427051" w:rsidRPr="001671B7" w:rsidRDefault="00427051" w:rsidP="001671B7">
      <w:pPr>
        <w:tabs>
          <w:tab w:val="left" w:pos="540"/>
        </w:tabs>
        <w:rPr>
          <w:rFonts w:cstheme="minorHAnsi"/>
          <w:b/>
          <w:bCs/>
          <w:szCs w:val="24"/>
        </w:rPr>
      </w:pPr>
    </w:p>
    <w:p w14:paraId="12FCE95F" w14:textId="7692BB14" w:rsidR="6C014824" w:rsidRDefault="6C014824" w:rsidP="0191E773">
      <w:pPr>
        <w:pStyle w:val="ListParagraph"/>
        <w:tabs>
          <w:tab w:val="left" w:pos="540"/>
        </w:tabs>
        <w:spacing w:line="259" w:lineRule="auto"/>
        <w:ind w:left="360"/>
      </w:pPr>
      <w:r w:rsidRPr="0191E773">
        <w:t xml:space="preserve">On the second page of the SFP, page ii Proposal Package Instructions and Exhibits, each </w:t>
      </w:r>
      <w:r w:rsidR="4A58A9FB" w:rsidRPr="0191E773">
        <w:t xml:space="preserve">of the bulleted exhibits and attachments includes a hyperlink to download the Microsoft Word template. </w:t>
      </w:r>
    </w:p>
    <w:p w14:paraId="25095AC1" w14:textId="77777777" w:rsidR="00427051" w:rsidRDefault="00427051" w:rsidP="004277B6">
      <w:pPr>
        <w:pStyle w:val="ListParagraph"/>
        <w:tabs>
          <w:tab w:val="left" w:pos="540"/>
        </w:tabs>
        <w:ind w:left="360"/>
        <w:rPr>
          <w:rFonts w:cstheme="minorHAnsi"/>
          <w:szCs w:val="24"/>
        </w:rPr>
      </w:pPr>
    </w:p>
    <w:p w14:paraId="63413AC9" w14:textId="77777777" w:rsidR="00700175" w:rsidRDefault="00700175">
      <w:pPr>
        <w:rPr>
          <w:b/>
          <w:bCs/>
        </w:rPr>
      </w:pPr>
      <w:r>
        <w:rPr>
          <w:b/>
          <w:bCs/>
        </w:rPr>
        <w:br w:type="page"/>
      </w:r>
    </w:p>
    <w:p w14:paraId="4D0CACD5" w14:textId="38E5CEF4" w:rsidR="00427051" w:rsidRPr="005D22BE" w:rsidRDefault="00427051" w:rsidP="0191E773">
      <w:pPr>
        <w:pStyle w:val="ListParagraph"/>
        <w:numPr>
          <w:ilvl w:val="0"/>
          <w:numId w:val="16"/>
        </w:numPr>
        <w:tabs>
          <w:tab w:val="left" w:pos="540"/>
        </w:tabs>
        <w:rPr>
          <w:rFonts w:ascii="Calibri" w:eastAsia="Arial" w:hAnsi="Calibri" w:cs="Calibri"/>
          <w:color w:val="000000" w:themeColor="text1"/>
          <w:lang w:val="en"/>
        </w:rPr>
      </w:pPr>
      <w:r w:rsidRPr="005D22BE">
        <w:rPr>
          <w:b/>
          <w:bCs/>
        </w:rPr>
        <w:lastRenderedPageBreak/>
        <w:t>Will EDD facilitate connecting potential partners?</w:t>
      </w:r>
    </w:p>
    <w:p w14:paraId="017D13B6" w14:textId="77777777" w:rsidR="00427051" w:rsidRPr="001671B7" w:rsidRDefault="00427051" w:rsidP="001671B7">
      <w:pPr>
        <w:tabs>
          <w:tab w:val="left" w:pos="540"/>
        </w:tabs>
        <w:rPr>
          <w:rFonts w:cstheme="minorHAnsi"/>
          <w:b/>
          <w:bCs/>
          <w:szCs w:val="24"/>
        </w:rPr>
      </w:pPr>
    </w:p>
    <w:p w14:paraId="5399DB7A" w14:textId="010659F8" w:rsidR="47DC76D5" w:rsidRDefault="47DC76D5" w:rsidP="0191E773">
      <w:pPr>
        <w:pStyle w:val="ListParagraph"/>
        <w:tabs>
          <w:tab w:val="left" w:pos="540"/>
        </w:tabs>
        <w:spacing w:line="259" w:lineRule="auto"/>
        <w:ind w:left="360"/>
      </w:pPr>
      <w:r w:rsidRPr="0191E773">
        <w:t xml:space="preserve">No, applicants are responsible for establishing </w:t>
      </w:r>
      <w:r w:rsidR="242AC263" w:rsidRPr="0191E773">
        <w:t xml:space="preserve">partnerships to achieve the goals and objectives of the program. </w:t>
      </w:r>
    </w:p>
    <w:p w14:paraId="1719843F" w14:textId="77777777" w:rsidR="00427051" w:rsidRPr="001671B7" w:rsidRDefault="00427051" w:rsidP="001671B7">
      <w:pPr>
        <w:tabs>
          <w:tab w:val="left" w:pos="540"/>
        </w:tabs>
        <w:rPr>
          <w:rFonts w:cstheme="minorHAnsi"/>
          <w:szCs w:val="24"/>
        </w:rPr>
      </w:pPr>
    </w:p>
    <w:p w14:paraId="3402968A" w14:textId="3796E129" w:rsidR="00427051" w:rsidRPr="00427051" w:rsidRDefault="00427051" w:rsidP="004277B6">
      <w:pPr>
        <w:pStyle w:val="ListParagraph"/>
        <w:numPr>
          <w:ilvl w:val="0"/>
          <w:numId w:val="16"/>
        </w:numPr>
        <w:tabs>
          <w:tab w:val="left" w:pos="540"/>
        </w:tabs>
        <w:rPr>
          <w:rFonts w:ascii="Calibri" w:eastAsia="Arial" w:hAnsi="Calibri" w:cs="Calibri"/>
          <w:color w:val="000000" w:themeColor="text1"/>
          <w:lang w:val="en"/>
        </w:rPr>
      </w:pPr>
      <w:r>
        <w:rPr>
          <w:rFonts w:cstheme="minorHAnsi"/>
          <w:b/>
          <w:bCs/>
          <w:szCs w:val="24"/>
        </w:rPr>
        <w:t>When will the TA/Eval SFP drop for the OYACPP PY 24-25?</w:t>
      </w:r>
    </w:p>
    <w:p w14:paraId="2AFAF11C" w14:textId="77777777" w:rsidR="00427051" w:rsidRPr="001671B7" w:rsidRDefault="00427051" w:rsidP="001671B7">
      <w:pPr>
        <w:tabs>
          <w:tab w:val="left" w:pos="540"/>
        </w:tabs>
        <w:rPr>
          <w:rFonts w:cstheme="minorHAnsi"/>
          <w:b/>
          <w:bCs/>
          <w:szCs w:val="24"/>
        </w:rPr>
      </w:pPr>
    </w:p>
    <w:p w14:paraId="4849DCD5" w14:textId="1FABB9C2" w:rsidR="08B7AD16" w:rsidRDefault="08B7AD16" w:rsidP="0191E773">
      <w:pPr>
        <w:pStyle w:val="ListParagraph"/>
        <w:tabs>
          <w:tab w:val="left" w:pos="540"/>
        </w:tabs>
        <w:spacing w:line="259" w:lineRule="auto"/>
        <w:ind w:left="360"/>
      </w:pPr>
      <w:r w:rsidRPr="0191E773">
        <w:t xml:space="preserve">The EDD anticipates the OYA ETA PY 24-25 SFP will be released on October 14, 2024. </w:t>
      </w:r>
      <w:r w:rsidR="54666698" w:rsidRPr="0191E773">
        <w:t xml:space="preserve">Once released, the SFP will be found on the </w:t>
      </w:r>
      <w:bookmarkStart w:id="4" w:name="_Hlk180141529"/>
      <w:bookmarkStart w:id="5" w:name="_Hlk180141556"/>
      <w:r w:rsidR="00D67545" w:rsidRPr="00700175">
        <w:fldChar w:fldCharType="begin"/>
      </w:r>
      <w:r w:rsidR="00D67545" w:rsidRPr="00700175">
        <w:instrText>HYPERLINK "https://edd.ca.gov/en/jobs_and_training/wdsfp_workforce_development_solicitations_for_proposals" \h</w:instrText>
      </w:r>
      <w:r w:rsidR="00D67545" w:rsidRPr="00700175">
        <w:fldChar w:fldCharType="separate"/>
      </w:r>
      <w:r w:rsidR="54666698" w:rsidRPr="00700175">
        <w:rPr>
          <w:rStyle w:val="Hyperlink"/>
          <w:u w:val="none"/>
        </w:rPr>
        <w:t>EDD</w:t>
      </w:r>
      <w:r w:rsidR="00700175" w:rsidRPr="00700175">
        <w:rPr>
          <w:rStyle w:val="Hyperlink"/>
          <w:u w:val="none"/>
        </w:rPr>
        <w:t xml:space="preserve"> Workforce Development Solicitations for Proposals</w:t>
      </w:r>
      <w:r w:rsidR="00D67545" w:rsidRPr="00700175">
        <w:rPr>
          <w:rStyle w:val="Hyperlink"/>
          <w:u w:val="none"/>
        </w:rPr>
        <w:fldChar w:fldCharType="end"/>
      </w:r>
      <w:bookmarkEnd w:id="4"/>
      <w:r w:rsidR="00700175" w:rsidRPr="00700175">
        <w:t xml:space="preserve"> </w:t>
      </w:r>
      <w:r w:rsidR="00700175" w:rsidRPr="00700175">
        <w:rPr>
          <w:rStyle w:val="Hyperlink"/>
          <w:color w:val="auto"/>
          <w:u w:val="none"/>
        </w:rPr>
        <w:t>web</w:t>
      </w:r>
      <w:r w:rsidR="00700175">
        <w:rPr>
          <w:rStyle w:val="Hyperlink"/>
          <w:color w:val="auto"/>
          <w:u w:val="none"/>
        </w:rPr>
        <w:t>page</w:t>
      </w:r>
      <w:r w:rsidR="00700175" w:rsidRPr="00700175">
        <w:rPr>
          <w:rStyle w:val="Hyperlink"/>
          <w:color w:val="auto"/>
          <w:u w:val="none"/>
        </w:rPr>
        <w:t>.</w:t>
      </w:r>
      <w:bookmarkEnd w:id="5"/>
    </w:p>
    <w:p w14:paraId="7336FF5E" w14:textId="77777777" w:rsidR="00427051" w:rsidRPr="001671B7" w:rsidRDefault="00427051" w:rsidP="001671B7">
      <w:pPr>
        <w:tabs>
          <w:tab w:val="left" w:pos="540"/>
        </w:tabs>
        <w:rPr>
          <w:rFonts w:cstheme="minorHAnsi"/>
          <w:szCs w:val="24"/>
        </w:rPr>
      </w:pPr>
    </w:p>
    <w:p w14:paraId="48FD1695" w14:textId="5896893A" w:rsidR="00427051" w:rsidRPr="00C70344" w:rsidRDefault="00427051" w:rsidP="0191E773">
      <w:pPr>
        <w:pStyle w:val="ListParagraph"/>
        <w:numPr>
          <w:ilvl w:val="0"/>
          <w:numId w:val="16"/>
        </w:numPr>
        <w:tabs>
          <w:tab w:val="left" w:pos="540"/>
        </w:tabs>
        <w:rPr>
          <w:rFonts w:ascii="Calibri" w:eastAsia="Arial" w:hAnsi="Calibri" w:cs="Calibri"/>
          <w:b/>
          <w:bCs/>
          <w:color w:val="000000" w:themeColor="text1"/>
          <w:lang w:val="en"/>
        </w:rPr>
      </w:pPr>
      <w:r w:rsidRPr="00C70344">
        <w:rPr>
          <w:b/>
          <w:bCs/>
        </w:rPr>
        <w:t>Are there any mandated grant expenses such as mandatory state orientation or T&amp;TA</w:t>
      </w:r>
      <w:r w:rsidRPr="00C70344">
        <w:t xml:space="preserve"> </w:t>
      </w:r>
      <w:r w:rsidRPr="00C70344">
        <w:rPr>
          <w:b/>
          <w:bCs/>
        </w:rPr>
        <w:t>conferences/workshops?</w:t>
      </w:r>
    </w:p>
    <w:p w14:paraId="0CA6017E" w14:textId="77777777" w:rsidR="00427051" w:rsidRPr="001671B7" w:rsidRDefault="00427051" w:rsidP="001671B7">
      <w:pPr>
        <w:tabs>
          <w:tab w:val="left" w:pos="540"/>
        </w:tabs>
        <w:rPr>
          <w:rFonts w:cstheme="minorHAnsi"/>
          <w:szCs w:val="24"/>
        </w:rPr>
      </w:pPr>
    </w:p>
    <w:p w14:paraId="7ED8D0F6" w14:textId="2A391F74" w:rsidR="00427051" w:rsidRPr="00C70344" w:rsidRDefault="00741A54" w:rsidP="004277B6">
      <w:pPr>
        <w:pStyle w:val="ListParagraph"/>
        <w:tabs>
          <w:tab w:val="left" w:pos="540"/>
        </w:tabs>
        <w:ind w:left="360"/>
        <w:rPr>
          <w:rFonts w:cstheme="minorHAnsi"/>
          <w:szCs w:val="24"/>
        </w:rPr>
      </w:pPr>
      <w:r w:rsidRPr="00C70344">
        <w:rPr>
          <w:rFonts w:cstheme="minorHAnsi"/>
          <w:szCs w:val="24"/>
        </w:rPr>
        <w:t xml:space="preserve">There may be mandatory quarterly meetings, communities of practice, and other activities planned by the approved </w:t>
      </w:r>
      <w:r w:rsidR="00F9100F">
        <w:rPr>
          <w:rFonts w:cstheme="minorHAnsi"/>
          <w:szCs w:val="24"/>
        </w:rPr>
        <w:t>technical assistance (</w:t>
      </w:r>
      <w:r w:rsidRPr="00C70344">
        <w:rPr>
          <w:rFonts w:cstheme="minorHAnsi"/>
          <w:szCs w:val="24"/>
        </w:rPr>
        <w:t>TA</w:t>
      </w:r>
      <w:r w:rsidR="00F9100F">
        <w:rPr>
          <w:rFonts w:cstheme="minorHAnsi"/>
          <w:szCs w:val="24"/>
        </w:rPr>
        <w:t>)</w:t>
      </w:r>
      <w:r w:rsidRPr="00C70344">
        <w:rPr>
          <w:rFonts w:cstheme="minorHAnsi"/>
          <w:szCs w:val="24"/>
        </w:rPr>
        <w:t xml:space="preserve"> provider.</w:t>
      </w:r>
    </w:p>
    <w:p w14:paraId="1A72D766" w14:textId="77777777" w:rsidR="00741A54" w:rsidRPr="001671B7" w:rsidRDefault="00741A54" w:rsidP="001671B7">
      <w:pPr>
        <w:tabs>
          <w:tab w:val="left" w:pos="540"/>
        </w:tabs>
        <w:rPr>
          <w:rFonts w:cstheme="minorHAnsi"/>
          <w:szCs w:val="24"/>
        </w:rPr>
      </w:pPr>
    </w:p>
    <w:p w14:paraId="3BA8997F" w14:textId="5C0E5FA7" w:rsidR="00427051" w:rsidRPr="00097144" w:rsidRDefault="00427051" w:rsidP="004277B6">
      <w:pPr>
        <w:pStyle w:val="ListParagraph"/>
        <w:numPr>
          <w:ilvl w:val="0"/>
          <w:numId w:val="16"/>
        </w:numPr>
        <w:tabs>
          <w:tab w:val="left" w:pos="540"/>
        </w:tabs>
        <w:rPr>
          <w:rFonts w:ascii="Calibri" w:eastAsia="Arial" w:hAnsi="Calibri" w:cs="Calibri"/>
          <w:b/>
          <w:bCs/>
          <w:color w:val="000000" w:themeColor="text1"/>
          <w:lang w:val="en"/>
        </w:rPr>
      </w:pPr>
      <w:r w:rsidRPr="00097144">
        <w:rPr>
          <w:rFonts w:cstheme="minorHAnsi"/>
          <w:b/>
          <w:bCs/>
          <w:szCs w:val="24"/>
        </w:rPr>
        <w:t>Can recipients of the first round of OYA apply to OYA 2.0?</w:t>
      </w:r>
    </w:p>
    <w:p w14:paraId="5B3AE7A6" w14:textId="77777777" w:rsidR="00427051" w:rsidRPr="001671B7" w:rsidRDefault="00427051" w:rsidP="001671B7">
      <w:pPr>
        <w:tabs>
          <w:tab w:val="left" w:pos="540"/>
        </w:tabs>
        <w:rPr>
          <w:rFonts w:cstheme="minorHAnsi"/>
          <w:szCs w:val="24"/>
        </w:rPr>
      </w:pPr>
    </w:p>
    <w:p w14:paraId="6265F1EF" w14:textId="401D9510" w:rsidR="00427051" w:rsidRDefault="078D61B1" w:rsidP="0191E773">
      <w:pPr>
        <w:pStyle w:val="ListParagraph"/>
        <w:tabs>
          <w:tab w:val="left" w:pos="540"/>
        </w:tabs>
        <w:spacing w:line="259" w:lineRule="auto"/>
        <w:ind w:left="360"/>
      </w:pPr>
      <w:r w:rsidRPr="0191E773">
        <w:t xml:space="preserve">Yes, applicants who were awarded </w:t>
      </w:r>
      <w:r w:rsidR="00F9100F">
        <w:t xml:space="preserve">PY 23-24 </w:t>
      </w:r>
      <w:r w:rsidRPr="0191E773">
        <w:t xml:space="preserve">OYACPP funding may re-apply for this </w:t>
      </w:r>
      <w:r w:rsidR="00F9100F">
        <w:t>PY 24-25 funding</w:t>
      </w:r>
      <w:r w:rsidR="5BD126F9" w:rsidRPr="0191E773">
        <w:t xml:space="preserve">. However, the </w:t>
      </w:r>
      <w:r w:rsidR="39113ED0" w:rsidRPr="0191E773">
        <w:t xml:space="preserve">participants </w:t>
      </w:r>
      <w:r w:rsidR="00F9100F">
        <w:t xml:space="preserve">to be </w:t>
      </w:r>
      <w:r w:rsidR="39113ED0" w:rsidRPr="0191E773">
        <w:t xml:space="preserve">served </w:t>
      </w:r>
      <w:r w:rsidR="00121B94">
        <w:t>through the</w:t>
      </w:r>
      <w:r w:rsidR="39113ED0" w:rsidRPr="0191E773">
        <w:t xml:space="preserve"> </w:t>
      </w:r>
      <w:r w:rsidR="00F9100F">
        <w:t>PY 24-25</w:t>
      </w:r>
      <w:r w:rsidR="39113ED0" w:rsidRPr="0191E773">
        <w:t xml:space="preserve"> </w:t>
      </w:r>
      <w:r w:rsidR="00374702">
        <w:t xml:space="preserve">funding </w:t>
      </w:r>
      <w:r w:rsidR="39113ED0" w:rsidRPr="0191E773">
        <w:t xml:space="preserve">cannot be the same as those served in </w:t>
      </w:r>
      <w:r w:rsidR="00F9100F">
        <w:t>PY 23-24</w:t>
      </w:r>
      <w:r w:rsidR="39113ED0" w:rsidRPr="0191E773">
        <w:t xml:space="preserve">. </w:t>
      </w:r>
    </w:p>
    <w:p w14:paraId="2DF18F06" w14:textId="77777777" w:rsidR="00427051" w:rsidRDefault="00427051" w:rsidP="004277B6">
      <w:pPr>
        <w:tabs>
          <w:tab w:val="left" w:pos="540"/>
        </w:tabs>
        <w:rPr>
          <w:rFonts w:ascii="Calibri" w:eastAsia="Arial" w:hAnsi="Calibri" w:cs="Calibri"/>
          <w:color w:val="000000" w:themeColor="text1"/>
          <w:lang w:val="en"/>
        </w:rPr>
      </w:pPr>
    </w:p>
    <w:p w14:paraId="288A4614" w14:textId="7B1D0EE7" w:rsidR="00427051" w:rsidRPr="00097144" w:rsidRDefault="00427051" w:rsidP="004277B6">
      <w:pPr>
        <w:pStyle w:val="ListParagraph"/>
        <w:numPr>
          <w:ilvl w:val="0"/>
          <w:numId w:val="16"/>
        </w:numPr>
        <w:tabs>
          <w:tab w:val="left" w:pos="540"/>
        </w:tabs>
        <w:rPr>
          <w:rFonts w:ascii="Calibri" w:eastAsia="Arial" w:hAnsi="Calibri" w:cs="Calibri"/>
          <w:b/>
          <w:bCs/>
          <w:color w:val="000000" w:themeColor="text1"/>
          <w:lang w:val="en"/>
        </w:rPr>
      </w:pPr>
      <w:r w:rsidRPr="0191E773">
        <w:rPr>
          <w:rFonts w:ascii="Calibri" w:eastAsia="Arial" w:hAnsi="Calibri" w:cs="Calibri"/>
          <w:b/>
          <w:bCs/>
          <w:color w:val="000000" w:themeColor="text1"/>
          <w:lang w:val="en"/>
        </w:rPr>
        <w:t>Are legal immigrants eligible as a service population?</w:t>
      </w:r>
    </w:p>
    <w:p w14:paraId="1CF7AF6D" w14:textId="77777777" w:rsidR="00427051" w:rsidRPr="001671B7" w:rsidRDefault="00427051" w:rsidP="001671B7">
      <w:pPr>
        <w:tabs>
          <w:tab w:val="left" w:pos="540"/>
        </w:tabs>
        <w:rPr>
          <w:rFonts w:ascii="Calibri" w:eastAsia="Arial" w:hAnsi="Calibri" w:cs="Calibri"/>
          <w:color w:val="000000" w:themeColor="text1"/>
          <w:lang w:val="en"/>
        </w:rPr>
      </w:pPr>
    </w:p>
    <w:p w14:paraId="7212DA40" w14:textId="0D49F5D1" w:rsidR="00427051" w:rsidRDefault="6F8F2BA6" w:rsidP="004277B6">
      <w:pPr>
        <w:pStyle w:val="ListParagraph"/>
        <w:tabs>
          <w:tab w:val="left" w:pos="540"/>
        </w:tabs>
        <w:ind w:left="360"/>
        <w:rPr>
          <w:rFonts w:ascii="Calibri" w:eastAsia="Arial" w:hAnsi="Calibri" w:cs="Calibri"/>
          <w:color w:val="000000" w:themeColor="text1"/>
          <w:lang w:val="en"/>
        </w:rPr>
      </w:pPr>
      <w:r w:rsidRPr="0191E773">
        <w:rPr>
          <w:rFonts w:ascii="Calibri" w:eastAsia="Arial" w:hAnsi="Calibri" w:cs="Calibri"/>
          <w:color w:val="000000" w:themeColor="text1"/>
        </w:rPr>
        <w:t xml:space="preserve">Yes, </w:t>
      </w:r>
      <w:r w:rsidR="00444D07">
        <w:rPr>
          <w:rFonts w:ascii="Calibri" w:eastAsia="Arial" w:hAnsi="Calibri" w:cs="Calibri"/>
          <w:color w:val="000000" w:themeColor="text1"/>
        </w:rPr>
        <w:t>o</w:t>
      </w:r>
      <w:r w:rsidRPr="0191E773">
        <w:rPr>
          <w:rFonts w:ascii="Calibri" w:eastAsia="Arial" w:hAnsi="Calibri" w:cs="Calibri"/>
          <w:color w:val="000000" w:themeColor="text1"/>
          <w:lang w:val="en"/>
        </w:rPr>
        <w:t>pportunit</w:t>
      </w:r>
      <w:r w:rsidR="00085491">
        <w:rPr>
          <w:rFonts w:ascii="Calibri" w:eastAsia="Arial" w:hAnsi="Calibri" w:cs="Calibri"/>
          <w:color w:val="000000" w:themeColor="text1"/>
          <w:lang w:val="en"/>
        </w:rPr>
        <w:t xml:space="preserve">y </w:t>
      </w:r>
      <w:r w:rsidR="00444D07">
        <w:rPr>
          <w:rFonts w:ascii="Calibri" w:eastAsia="Arial" w:hAnsi="Calibri" w:cs="Calibri"/>
          <w:color w:val="000000" w:themeColor="text1"/>
          <w:lang w:val="en"/>
        </w:rPr>
        <w:t>y</w:t>
      </w:r>
      <w:r w:rsidRPr="0191E773">
        <w:rPr>
          <w:rFonts w:ascii="Calibri" w:eastAsia="Arial" w:hAnsi="Calibri" w:cs="Calibri"/>
          <w:color w:val="000000" w:themeColor="text1"/>
          <w:lang w:val="en"/>
        </w:rPr>
        <w:t>ou</w:t>
      </w:r>
      <w:r w:rsidR="15687A15" w:rsidRPr="0191E773">
        <w:rPr>
          <w:rFonts w:ascii="Calibri" w:eastAsia="Arial" w:hAnsi="Calibri" w:cs="Calibri"/>
          <w:color w:val="000000" w:themeColor="text1"/>
          <w:lang w:val="en"/>
        </w:rPr>
        <w:t xml:space="preserve">ng </w:t>
      </w:r>
      <w:r w:rsidR="00444D07">
        <w:rPr>
          <w:rFonts w:ascii="Calibri" w:eastAsia="Arial" w:hAnsi="Calibri" w:cs="Calibri"/>
          <w:color w:val="000000" w:themeColor="text1"/>
          <w:lang w:val="en"/>
        </w:rPr>
        <w:t>a</w:t>
      </w:r>
      <w:r w:rsidR="15687A15" w:rsidRPr="0191E773">
        <w:rPr>
          <w:rFonts w:ascii="Calibri" w:eastAsia="Arial" w:hAnsi="Calibri" w:cs="Calibri"/>
          <w:color w:val="000000" w:themeColor="text1"/>
          <w:lang w:val="en"/>
        </w:rPr>
        <w:t>dults</w:t>
      </w:r>
      <w:r w:rsidRPr="0191E773">
        <w:rPr>
          <w:rFonts w:ascii="Calibri" w:eastAsia="Arial" w:hAnsi="Calibri" w:cs="Calibri"/>
          <w:color w:val="000000" w:themeColor="text1"/>
          <w:lang w:val="en"/>
        </w:rPr>
        <w:t xml:space="preserve"> </w:t>
      </w:r>
      <w:r w:rsidR="5BE2155C" w:rsidRPr="0191E773">
        <w:rPr>
          <w:rFonts w:ascii="Calibri" w:eastAsia="Arial" w:hAnsi="Calibri" w:cs="Calibri"/>
          <w:color w:val="000000" w:themeColor="text1"/>
          <w:lang w:val="en"/>
        </w:rPr>
        <w:t xml:space="preserve">between ages </w:t>
      </w:r>
      <w:r w:rsidRPr="0191E773">
        <w:rPr>
          <w:rFonts w:ascii="Calibri" w:eastAsia="Arial" w:hAnsi="Calibri" w:cs="Calibri"/>
          <w:color w:val="000000" w:themeColor="text1"/>
          <w:lang w:val="en"/>
        </w:rPr>
        <w:t>18-28 are eligible as a service population regardless of citizenship</w:t>
      </w:r>
      <w:r w:rsidR="00D015B6">
        <w:rPr>
          <w:rFonts w:ascii="Calibri" w:eastAsia="Arial" w:hAnsi="Calibri" w:cs="Calibri"/>
          <w:color w:val="000000" w:themeColor="text1"/>
          <w:lang w:val="en"/>
        </w:rPr>
        <w:t xml:space="preserve"> status</w:t>
      </w:r>
      <w:r w:rsidRPr="0191E773">
        <w:rPr>
          <w:rFonts w:ascii="Calibri" w:eastAsia="Arial" w:hAnsi="Calibri" w:cs="Calibri"/>
          <w:color w:val="000000" w:themeColor="text1"/>
          <w:lang w:val="en"/>
        </w:rPr>
        <w:t xml:space="preserve"> </w:t>
      </w:r>
      <w:r w:rsidR="00D015B6">
        <w:rPr>
          <w:rFonts w:ascii="Calibri" w:eastAsia="Arial" w:hAnsi="Calibri" w:cs="Calibri"/>
          <w:color w:val="000000" w:themeColor="text1"/>
          <w:lang w:val="en"/>
        </w:rPr>
        <w:t xml:space="preserve">if the </w:t>
      </w:r>
      <w:r w:rsidR="5E37380D" w:rsidRPr="0191E773">
        <w:rPr>
          <w:rFonts w:ascii="Calibri" w:eastAsia="Arial" w:hAnsi="Calibri" w:cs="Calibri"/>
          <w:color w:val="000000" w:themeColor="text1"/>
          <w:lang w:val="en"/>
        </w:rPr>
        <w:t>participant</w:t>
      </w:r>
      <w:r w:rsidR="4C28CFB1" w:rsidRPr="0191E773">
        <w:rPr>
          <w:rFonts w:ascii="Calibri" w:eastAsia="Arial" w:hAnsi="Calibri" w:cs="Calibri"/>
          <w:color w:val="000000" w:themeColor="text1"/>
          <w:lang w:val="en"/>
        </w:rPr>
        <w:t xml:space="preserve"> </w:t>
      </w:r>
      <w:r w:rsidR="00D015B6">
        <w:rPr>
          <w:rFonts w:ascii="Calibri" w:eastAsia="Arial" w:hAnsi="Calibri" w:cs="Calibri"/>
          <w:color w:val="000000" w:themeColor="text1"/>
          <w:lang w:val="en"/>
        </w:rPr>
        <w:t>can</w:t>
      </w:r>
      <w:r w:rsidR="4C28CFB1" w:rsidRPr="0191E773">
        <w:rPr>
          <w:rFonts w:ascii="Calibri" w:eastAsia="Arial" w:hAnsi="Calibri" w:cs="Calibri"/>
          <w:color w:val="000000" w:themeColor="text1"/>
          <w:lang w:val="en"/>
        </w:rPr>
        <w:t xml:space="preserve"> lawfully</w:t>
      </w:r>
      <w:r w:rsidR="00D015B6">
        <w:rPr>
          <w:rFonts w:ascii="Calibri" w:eastAsia="Arial" w:hAnsi="Calibri" w:cs="Calibri"/>
          <w:color w:val="000000" w:themeColor="text1"/>
          <w:lang w:val="en"/>
        </w:rPr>
        <w:t xml:space="preserve"> work</w:t>
      </w:r>
      <w:r w:rsidR="4C28CFB1" w:rsidRPr="0191E773">
        <w:rPr>
          <w:rFonts w:ascii="Calibri" w:eastAsia="Arial" w:hAnsi="Calibri" w:cs="Calibri"/>
          <w:color w:val="000000" w:themeColor="text1"/>
          <w:lang w:val="en"/>
        </w:rPr>
        <w:t xml:space="preserve"> in the United States.</w:t>
      </w:r>
    </w:p>
    <w:p w14:paraId="5F29FE76" w14:textId="77777777" w:rsidR="00427051" w:rsidRDefault="00427051" w:rsidP="004277B6">
      <w:pPr>
        <w:pStyle w:val="ListParagraph"/>
        <w:tabs>
          <w:tab w:val="left" w:pos="540"/>
        </w:tabs>
        <w:ind w:left="360"/>
        <w:rPr>
          <w:rFonts w:ascii="Calibri" w:eastAsia="Arial" w:hAnsi="Calibri" w:cs="Calibri"/>
          <w:color w:val="000000" w:themeColor="text1"/>
          <w:lang w:val="en"/>
        </w:rPr>
      </w:pPr>
    </w:p>
    <w:p w14:paraId="3B3241CB" w14:textId="53B8977B" w:rsidR="00427051" w:rsidRPr="00097144" w:rsidRDefault="00427051" w:rsidP="004277B6">
      <w:pPr>
        <w:pStyle w:val="ListParagraph"/>
        <w:numPr>
          <w:ilvl w:val="0"/>
          <w:numId w:val="16"/>
        </w:numPr>
        <w:tabs>
          <w:tab w:val="left" w:pos="540"/>
        </w:tabs>
        <w:rPr>
          <w:rFonts w:ascii="Calibri" w:eastAsia="Arial" w:hAnsi="Calibri" w:cs="Calibri"/>
          <w:b/>
          <w:bCs/>
          <w:color w:val="000000" w:themeColor="text1"/>
          <w:lang w:val="en"/>
        </w:rPr>
      </w:pPr>
      <w:r w:rsidRPr="00097144">
        <w:rPr>
          <w:rFonts w:ascii="Calibri" w:eastAsia="Arial" w:hAnsi="Calibri" w:cs="Calibri"/>
          <w:b/>
          <w:bCs/>
          <w:color w:val="000000" w:themeColor="text1"/>
          <w:lang w:val="en"/>
        </w:rPr>
        <w:t>What is “GSU”?</w:t>
      </w:r>
    </w:p>
    <w:p w14:paraId="4A9F8EEC" w14:textId="77777777" w:rsidR="00427051" w:rsidRPr="001671B7" w:rsidRDefault="00427051" w:rsidP="001671B7">
      <w:pPr>
        <w:tabs>
          <w:tab w:val="left" w:pos="540"/>
        </w:tabs>
        <w:rPr>
          <w:rFonts w:ascii="Calibri" w:eastAsia="Arial" w:hAnsi="Calibri" w:cs="Calibri"/>
          <w:color w:val="000000" w:themeColor="text1"/>
          <w:lang w:val="en"/>
        </w:rPr>
      </w:pPr>
    </w:p>
    <w:p w14:paraId="7E251C52" w14:textId="1F18FC73" w:rsidR="06FED639" w:rsidRDefault="00331B5A" w:rsidP="0191E773">
      <w:pPr>
        <w:pStyle w:val="ListParagraph"/>
        <w:tabs>
          <w:tab w:val="left" w:pos="540"/>
        </w:tabs>
        <w:spacing w:line="259" w:lineRule="auto"/>
        <w:ind w:left="360"/>
      </w:pPr>
      <w:r>
        <w:rPr>
          <w:rFonts w:ascii="Calibri" w:eastAsia="Arial" w:hAnsi="Calibri" w:cs="Calibri"/>
          <w:color w:val="000000" w:themeColor="text1"/>
        </w:rPr>
        <w:t xml:space="preserve">The acronym stands for </w:t>
      </w:r>
      <w:r w:rsidR="06FED639" w:rsidRPr="0191E773">
        <w:rPr>
          <w:rFonts w:ascii="Calibri" w:eastAsia="Arial" w:hAnsi="Calibri" w:cs="Calibri"/>
          <w:color w:val="000000" w:themeColor="text1"/>
        </w:rPr>
        <w:t>Grants and Solicitation</w:t>
      </w:r>
      <w:r w:rsidR="06FED639" w:rsidRPr="0191E773">
        <w:rPr>
          <w:rFonts w:ascii="Calibri" w:eastAsia="Arial" w:hAnsi="Calibri" w:cs="Calibri"/>
          <w:color w:val="000000" w:themeColor="text1"/>
          <w:lang w:val="en"/>
        </w:rPr>
        <w:t xml:space="preserve"> Unit</w:t>
      </w:r>
      <w:r>
        <w:rPr>
          <w:rFonts w:ascii="Calibri" w:eastAsia="Arial" w:hAnsi="Calibri" w:cs="Calibri"/>
          <w:color w:val="000000" w:themeColor="text1"/>
          <w:lang w:val="en"/>
        </w:rPr>
        <w:t xml:space="preserve"> (GSU)</w:t>
      </w:r>
      <w:r w:rsidR="00444D07">
        <w:rPr>
          <w:rFonts w:ascii="Calibri" w:eastAsia="Arial" w:hAnsi="Calibri" w:cs="Calibri"/>
          <w:color w:val="000000" w:themeColor="text1"/>
          <w:lang w:val="en"/>
        </w:rPr>
        <w:t>.</w:t>
      </w:r>
    </w:p>
    <w:p w14:paraId="45B5DD3F" w14:textId="77777777" w:rsidR="00427051" w:rsidRPr="001671B7" w:rsidRDefault="00427051" w:rsidP="001671B7">
      <w:pPr>
        <w:tabs>
          <w:tab w:val="left" w:pos="540"/>
        </w:tabs>
        <w:rPr>
          <w:rFonts w:ascii="Calibri" w:eastAsia="Arial" w:hAnsi="Calibri" w:cs="Calibri"/>
          <w:color w:val="000000" w:themeColor="text1"/>
          <w:lang w:val="en"/>
        </w:rPr>
      </w:pPr>
    </w:p>
    <w:p w14:paraId="50A05C63" w14:textId="1B321BA4" w:rsidR="00427051" w:rsidRPr="00097144" w:rsidRDefault="00427051" w:rsidP="004277B6">
      <w:pPr>
        <w:pStyle w:val="ListParagraph"/>
        <w:numPr>
          <w:ilvl w:val="0"/>
          <w:numId w:val="16"/>
        </w:numPr>
        <w:tabs>
          <w:tab w:val="left" w:pos="540"/>
        </w:tabs>
        <w:rPr>
          <w:rFonts w:ascii="Calibri" w:eastAsia="Arial" w:hAnsi="Calibri" w:cs="Calibri"/>
          <w:b/>
          <w:bCs/>
          <w:color w:val="000000" w:themeColor="text1"/>
          <w:lang w:val="en"/>
        </w:rPr>
      </w:pPr>
      <w:r w:rsidRPr="00097144">
        <w:rPr>
          <w:rFonts w:ascii="Calibri" w:eastAsia="Arial" w:hAnsi="Calibri" w:cs="Calibri"/>
          <w:b/>
          <w:bCs/>
          <w:color w:val="000000" w:themeColor="text1"/>
          <w:lang w:val="en"/>
        </w:rPr>
        <w:t>Is there a definition of the infrastructure sector?</w:t>
      </w:r>
    </w:p>
    <w:p w14:paraId="7F32F431" w14:textId="067BF030" w:rsidR="00427051" w:rsidRPr="001671B7" w:rsidRDefault="00427051" w:rsidP="001671B7">
      <w:pPr>
        <w:tabs>
          <w:tab w:val="left" w:pos="540"/>
        </w:tabs>
        <w:rPr>
          <w:rFonts w:ascii="Calibri" w:eastAsia="Arial" w:hAnsi="Calibri" w:cs="Calibri"/>
          <w:color w:val="000000" w:themeColor="text1"/>
          <w:lang w:val="en"/>
        </w:rPr>
      </w:pPr>
    </w:p>
    <w:p w14:paraId="70BF6360" w14:textId="392F7BFD" w:rsidR="71FDEABB" w:rsidRDefault="71FDEABB" w:rsidP="0191E773">
      <w:pPr>
        <w:ind w:left="360"/>
      </w:pPr>
      <w:r w:rsidRPr="0191E773">
        <w:rPr>
          <w:rFonts w:ascii="Calibri" w:eastAsia="Calibri" w:hAnsi="Calibri" w:cs="Calibri"/>
          <w:szCs w:val="24"/>
          <w:lang w:val="en"/>
        </w:rPr>
        <w:t>Infrastructure is defined as the basic physical systems of a business, region, or nation and often involves the production of public goods or production processes. Infrastructure includes transportation, communication networks, sewage, water, and school systems.</w:t>
      </w:r>
    </w:p>
    <w:p w14:paraId="006E7EE9" w14:textId="77777777" w:rsidR="00427051" w:rsidRPr="001671B7" w:rsidRDefault="00427051" w:rsidP="001671B7">
      <w:pPr>
        <w:tabs>
          <w:tab w:val="left" w:pos="540"/>
        </w:tabs>
        <w:rPr>
          <w:rFonts w:ascii="Calibri" w:eastAsia="Arial" w:hAnsi="Calibri" w:cs="Calibri"/>
          <w:color w:val="000000" w:themeColor="text1"/>
          <w:lang w:val="en"/>
        </w:rPr>
      </w:pPr>
    </w:p>
    <w:p w14:paraId="79B83E00" w14:textId="22D86842" w:rsidR="00427051" w:rsidRPr="00097144" w:rsidRDefault="00427051" w:rsidP="0191E773">
      <w:pPr>
        <w:pStyle w:val="ListParagraph"/>
        <w:numPr>
          <w:ilvl w:val="0"/>
          <w:numId w:val="16"/>
        </w:numPr>
        <w:tabs>
          <w:tab w:val="left" w:pos="540"/>
        </w:tabs>
        <w:rPr>
          <w:rFonts w:ascii="Calibri" w:eastAsia="Arial" w:hAnsi="Calibri" w:cs="Calibri"/>
          <w:b/>
          <w:bCs/>
          <w:color w:val="000000" w:themeColor="text1"/>
        </w:rPr>
      </w:pPr>
      <w:r w:rsidRPr="0191E773">
        <w:rPr>
          <w:rFonts w:ascii="Calibri" w:eastAsia="Arial" w:hAnsi="Calibri" w:cs="Calibri"/>
          <w:b/>
          <w:bCs/>
          <w:color w:val="000000" w:themeColor="text1"/>
        </w:rPr>
        <w:t>Does other work experiences include internships?</w:t>
      </w:r>
    </w:p>
    <w:p w14:paraId="0931AB7E" w14:textId="77777777" w:rsidR="00427051" w:rsidRPr="001671B7" w:rsidRDefault="00427051" w:rsidP="001671B7">
      <w:pPr>
        <w:tabs>
          <w:tab w:val="left" w:pos="540"/>
        </w:tabs>
        <w:rPr>
          <w:rFonts w:ascii="Calibri" w:eastAsia="Arial" w:hAnsi="Calibri" w:cs="Calibri"/>
          <w:color w:val="000000" w:themeColor="text1"/>
          <w:lang w:val="en"/>
        </w:rPr>
      </w:pPr>
    </w:p>
    <w:p w14:paraId="4745C1F1" w14:textId="0623C2D7" w:rsidR="074E9719" w:rsidRDefault="074E9719" w:rsidP="0191E773">
      <w:pPr>
        <w:ind w:left="360"/>
      </w:pPr>
      <w:r w:rsidRPr="0191E773">
        <w:rPr>
          <w:rFonts w:ascii="Calibri" w:eastAsia="Calibri" w:hAnsi="Calibri" w:cs="Calibri"/>
          <w:szCs w:val="24"/>
        </w:rPr>
        <w:t xml:space="preserve">Internships and work experiences linked to careers are WIOA-allowable activities. </w:t>
      </w:r>
    </w:p>
    <w:p w14:paraId="365A0C20" w14:textId="2A4C1CAF" w:rsidR="074E9719" w:rsidRDefault="074E9719" w:rsidP="0191E773">
      <w:pPr>
        <w:ind w:left="360"/>
        <w:rPr>
          <w:rFonts w:ascii="Calibri" w:eastAsia="Calibri" w:hAnsi="Calibri" w:cs="Calibri"/>
          <w:i/>
          <w:iCs/>
          <w:szCs w:val="24"/>
        </w:rPr>
      </w:pPr>
      <w:r w:rsidRPr="0191E773">
        <w:rPr>
          <w:rFonts w:ascii="Calibri" w:eastAsia="Calibri" w:hAnsi="Calibri" w:cs="Calibri"/>
          <w:i/>
          <w:iCs/>
          <w:szCs w:val="24"/>
        </w:rPr>
        <w:t>For additional information, see Appendix B of the SFP Allowable Activities.</w:t>
      </w:r>
    </w:p>
    <w:p w14:paraId="68B174D2" w14:textId="77777777" w:rsidR="00427051" w:rsidRPr="001671B7" w:rsidRDefault="00427051" w:rsidP="001671B7">
      <w:pPr>
        <w:tabs>
          <w:tab w:val="left" w:pos="540"/>
        </w:tabs>
        <w:rPr>
          <w:rFonts w:ascii="Calibri" w:eastAsia="Arial" w:hAnsi="Calibri" w:cs="Calibri"/>
          <w:color w:val="000000" w:themeColor="text1"/>
          <w:lang w:val="en"/>
        </w:rPr>
      </w:pPr>
    </w:p>
    <w:p w14:paraId="564E9C99" w14:textId="209FA7A4" w:rsidR="00427051" w:rsidRPr="00097144" w:rsidRDefault="00427051" w:rsidP="004277B6">
      <w:pPr>
        <w:pStyle w:val="ListParagraph"/>
        <w:numPr>
          <w:ilvl w:val="0"/>
          <w:numId w:val="16"/>
        </w:numPr>
        <w:tabs>
          <w:tab w:val="left" w:pos="540"/>
        </w:tabs>
        <w:rPr>
          <w:rFonts w:ascii="Calibri" w:eastAsia="Arial" w:hAnsi="Calibri" w:cs="Calibri"/>
          <w:b/>
          <w:bCs/>
          <w:color w:val="000000" w:themeColor="text1"/>
          <w:lang w:val="en"/>
        </w:rPr>
      </w:pPr>
      <w:r w:rsidRPr="0191E773">
        <w:rPr>
          <w:rFonts w:ascii="Calibri" w:eastAsia="Arial" w:hAnsi="Calibri" w:cs="Calibri"/>
          <w:b/>
          <w:bCs/>
          <w:color w:val="000000" w:themeColor="text1"/>
          <w:lang w:val="en"/>
        </w:rPr>
        <w:t>Is the definition of OYA limited to youth involved with justice system, foster system, and</w:t>
      </w:r>
      <w:r w:rsidRPr="0191E773">
        <w:rPr>
          <w:rFonts w:ascii="Calibri" w:eastAsia="Arial" w:hAnsi="Calibri" w:cs="Calibri"/>
          <w:color w:val="000000" w:themeColor="text1"/>
          <w:lang w:val="en"/>
        </w:rPr>
        <w:t xml:space="preserve"> </w:t>
      </w:r>
      <w:r w:rsidRPr="0191E773">
        <w:rPr>
          <w:rFonts w:ascii="Calibri" w:eastAsia="Arial" w:hAnsi="Calibri" w:cs="Calibri"/>
          <w:b/>
          <w:bCs/>
          <w:color w:val="000000" w:themeColor="text1"/>
          <w:lang w:val="en"/>
        </w:rPr>
        <w:t>homelessness? Or would programs supporting youth of color in general qualify?</w:t>
      </w:r>
    </w:p>
    <w:p w14:paraId="020EE9D3" w14:textId="77777777" w:rsidR="00427051" w:rsidRPr="001671B7" w:rsidRDefault="00427051" w:rsidP="001671B7">
      <w:pPr>
        <w:tabs>
          <w:tab w:val="left" w:pos="540"/>
        </w:tabs>
        <w:rPr>
          <w:rFonts w:ascii="Calibri" w:eastAsia="Arial" w:hAnsi="Calibri" w:cs="Calibri"/>
          <w:color w:val="000000" w:themeColor="text1"/>
          <w:lang w:val="en"/>
        </w:rPr>
      </w:pPr>
    </w:p>
    <w:p w14:paraId="2C507531" w14:textId="1261A87C" w:rsidR="3E15127C" w:rsidRDefault="3E15127C" w:rsidP="0191E773">
      <w:pPr>
        <w:pStyle w:val="ListParagraph"/>
        <w:tabs>
          <w:tab w:val="left" w:pos="540"/>
        </w:tabs>
        <w:ind w:left="360"/>
      </w:pPr>
      <w:r w:rsidRPr="0191E773">
        <w:rPr>
          <w:lang w:val="en"/>
        </w:rPr>
        <w:t xml:space="preserve">For this SFP, the target groups include opportunity and disconnected young adults ages 18-28 facing significant employment barriers that increase the likelihood of lower earnings throughout adulthood, including being a person of color. </w:t>
      </w:r>
    </w:p>
    <w:p w14:paraId="0F06F1DD" w14:textId="4CBAAAC9" w:rsidR="3E15127C" w:rsidRDefault="3E15127C" w:rsidP="0191E773">
      <w:pPr>
        <w:tabs>
          <w:tab w:val="left" w:pos="540"/>
        </w:tabs>
        <w:ind w:left="360"/>
        <w:rPr>
          <w:rFonts w:eastAsia="Times New Roman"/>
        </w:rPr>
      </w:pPr>
      <w:r w:rsidRPr="0191E773">
        <w:rPr>
          <w:i/>
          <w:iCs/>
        </w:rPr>
        <w:t>For additional information please reference page 4 of the SFP.</w:t>
      </w:r>
    </w:p>
    <w:p w14:paraId="0C857C40" w14:textId="77777777" w:rsidR="00427051" w:rsidRPr="001671B7" w:rsidRDefault="00427051" w:rsidP="001671B7">
      <w:pPr>
        <w:tabs>
          <w:tab w:val="left" w:pos="540"/>
        </w:tabs>
        <w:rPr>
          <w:rFonts w:ascii="Calibri" w:eastAsia="Arial" w:hAnsi="Calibri" w:cs="Calibri"/>
          <w:color w:val="000000" w:themeColor="text1"/>
          <w:lang w:val="en"/>
        </w:rPr>
      </w:pPr>
    </w:p>
    <w:p w14:paraId="28AE9730" w14:textId="0FE2D0C5" w:rsidR="00427051" w:rsidRPr="00097144" w:rsidRDefault="00427051" w:rsidP="004277B6">
      <w:pPr>
        <w:pStyle w:val="ListParagraph"/>
        <w:numPr>
          <w:ilvl w:val="0"/>
          <w:numId w:val="16"/>
        </w:numPr>
        <w:tabs>
          <w:tab w:val="left" w:pos="540"/>
        </w:tabs>
        <w:rPr>
          <w:rFonts w:ascii="Calibri" w:eastAsia="Arial" w:hAnsi="Calibri" w:cs="Calibri"/>
          <w:b/>
          <w:bCs/>
          <w:color w:val="000000" w:themeColor="text1"/>
          <w:lang w:val="en"/>
        </w:rPr>
      </w:pPr>
      <w:r w:rsidRPr="0191E773">
        <w:rPr>
          <w:rFonts w:ascii="Calibri" w:eastAsia="Arial" w:hAnsi="Calibri" w:cs="Calibri"/>
          <w:b/>
          <w:bCs/>
          <w:color w:val="000000" w:themeColor="text1"/>
          <w:lang w:val="en"/>
        </w:rPr>
        <w:t>We have a large population of these individuals in Orange County. Is this region eligible? Or do</w:t>
      </w:r>
      <w:r w:rsidRPr="0191E773">
        <w:rPr>
          <w:rFonts w:ascii="Calibri" w:eastAsia="Arial" w:hAnsi="Calibri" w:cs="Calibri"/>
          <w:color w:val="000000" w:themeColor="text1"/>
          <w:lang w:val="en"/>
        </w:rPr>
        <w:t xml:space="preserve"> </w:t>
      </w:r>
      <w:r w:rsidRPr="0191E773">
        <w:rPr>
          <w:rFonts w:ascii="Calibri" w:eastAsia="Arial" w:hAnsi="Calibri" w:cs="Calibri"/>
          <w:b/>
          <w:bCs/>
          <w:color w:val="000000" w:themeColor="text1"/>
          <w:lang w:val="en"/>
        </w:rPr>
        <w:t>services have to be provided in LA County?</w:t>
      </w:r>
    </w:p>
    <w:p w14:paraId="11E9F81D" w14:textId="77777777" w:rsidR="00427051" w:rsidRPr="001671B7" w:rsidRDefault="00427051" w:rsidP="001671B7">
      <w:pPr>
        <w:tabs>
          <w:tab w:val="left" w:pos="540"/>
        </w:tabs>
        <w:rPr>
          <w:rFonts w:ascii="Calibri" w:eastAsia="Arial" w:hAnsi="Calibri" w:cs="Calibri"/>
          <w:color w:val="000000" w:themeColor="text1"/>
          <w:lang w:val="en"/>
        </w:rPr>
      </w:pPr>
    </w:p>
    <w:p w14:paraId="19B5ABA2" w14:textId="3DCC3636" w:rsidR="553A000A" w:rsidRDefault="553A000A" w:rsidP="0191E773">
      <w:pPr>
        <w:pStyle w:val="ListParagraph"/>
        <w:tabs>
          <w:tab w:val="left" w:pos="540"/>
        </w:tabs>
        <w:ind w:left="360"/>
      </w:pPr>
      <w:r w:rsidRPr="0191E773">
        <w:rPr>
          <w:rFonts w:ascii="Calibri" w:eastAsia="Calibri" w:hAnsi="Calibri" w:cs="Calibri"/>
          <w:szCs w:val="24"/>
        </w:rPr>
        <w:t>Organizations located outside of the counties listed in the SFP may still be eligible for funding. Applicants should identify the target region(s) and make a case that there is a concentrated population of the targeted demographic in the target region(s).</w:t>
      </w:r>
    </w:p>
    <w:p w14:paraId="2EE641A3" w14:textId="77777777" w:rsidR="00427051" w:rsidRPr="001671B7" w:rsidRDefault="00427051" w:rsidP="001671B7">
      <w:pPr>
        <w:tabs>
          <w:tab w:val="left" w:pos="540"/>
        </w:tabs>
        <w:rPr>
          <w:rFonts w:ascii="Calibri" w:eastAsia="Arial" w:hAnsi="Calibri" w:cs="Calibri"/>
          <w:color w:val="000000" w:themeColor="text1"/>
          <w:lang w:val="en"/>
        </w:rPr>
      </w:pPr>
    </w:p>
    <w:p w14:paraId="4E1AF394" w14:textId="1A47479D" w:rsidR="00427051" w:rsidRPr="00097144" w:rsidRDefault="00427051" w:rsidP="004277B6">
      <w:pPr>
        <w:pStyle w:val="ListParagraph"/>
        <w:numPr>
          <w:ilvl w:val="0"/>
          <w:numId w:val="16"/>
        </w:numPr>
        <w:tabs>
          <w:tab w:val="left" w:pos="540"/>
        </w:tabs>
        <w:rPr>
          <w:rFonts w:ascii="Calibri" w:eastAsia="Arial" w:hAnsi="Calibri" w:cs="Calibri"/>
          <w:b/>
          <w:bCs/>
          <w:color w:val="000000" w:themeColor="text1"/>
          <w:lang w:val="en"/>
        </w:rPr>
      </w:pPr>
      <w:r w:rsidRPr="00097144">
        <w:rPr>
          <w:rFonts w:ascii="Calibri" w:eastAsia="Arial" w:hAnsi="Calibri" w:cs="Calibri"/>
          <w:b/>
          <w:bCs/>
          <w:color w:val="000000" w:themeColor="text1"/>
          <w:lang w:val="en"/>
        </w:rPr>
        <w:t>What is “DAS”?</w:t>
      </w:r>
    </w:p>
    <w:p w14:paraId="166BF48B" w14:textId="77777777" w:rsidR="00427051" w:rsidRPr="001671B7" w:rsidRDefault="00427051" w:rsidP="001671B7">
      <w:pPr>
        <w:tabs>
          <w:tab w:val="left" w:pos="540"/>
        </w:tabs>
        <w:rPr>
          <w:rFonts w:ascii="Calibri" w:eastAsia="Arial" w:hAnsi="Calibri" w:cs="Calibri"/>
          <w:color w:val="000000" w:themeColor="text1"/>
          <w:lang w:val="en"/>
        </w:rPr>
      </w:pPr>
    </w:p>
    <w:p w14:paraId="09F1BAFC" w14:textId="4CAF5862" w:rsidR="733658C1" w:rsidRDefault="00616371" w:rsidP="0191E773">
      <w:pPr>
        <w:pStyle w:val="ListParagraph"/>
        <w:tabs>
          <w:tab w:val="left" w:pos="540"/>
        </w:tabs>
        <w:spacing w:line="259" w:lineRule="auto"/>
        <w:ind w:left="360"/>
      </w:pPr>
      <w:r>
        <w:rPr>
          <w:rFonts w:ascii="Calibri" w:eastAsia="Arial" w:hAnsi="Calibri" w:cs="Calibri"/>
          <w:color w:val="000000" w:themeColor="text1"/>
        </w:rPr>
        <w:t xml:space="preserve">The acronym DAS stands for </w:t>
      </w:r>
      <w:r w:rsidR="733658C1" w:rsidRPr="0191E773">
        <w:rPr>
          <w:rFonts w:ascii="Calibri" w:eastAsia="Arial" w:hAnsi="Calibri" w:cs="Calibri"/>
          <w:color w:val="000000" w:themeColor="text1"/>
        </w:rPr>
        <w:t xml:space="preserve">Division </w:t>
      </w:r>
      <w:r w:rsidR="733658C1" w:rsidRPr="0191E773">
        <w:rPr>
          <w:rFonts w:ascii="Calibri" w:eastAsia="Arial" w:hAnsi="Calibri" w:cs="Calibri"/>
          <w:color w:val="000000" w:themeColor="text1"/>
          <w:lang w:val="en"/>
        </w:rPr>
        <w:t>of Apprenticeship Standards</w:t>
      </w:r>
      <w:r>
        <w:rPr>
          <w:rFonts w:ascii="Calibri" w:eastAsia="Arial" w:hAnsi="Calibri" w:cs="Calibri"/>
          <w:color w:val="000000" w:themeColor="text1"/>
          <w:lang w:val="en"/>
        </w:rPr>
        <w:t xml:space="preserve">. </w:t>
      </w:r>
      <w:r w:rsidR="733658C1" w:rsidRPr="0191E773">
        <w:rPr>
          <w:rFonts w:ascii="Calibri" w:eastAsia="Arial" w:hAnsi="Calibri" w:cs="Calibri"/>
          <w:color w:val="000000" w:themeColor="text1"/>
          <w:lang w:val="en"/>
        </w:rPr>
        <w:t xml:space="preserve"> </w:t>
      </w:r>
    </w:p>
    <w:p w14:paraId="373F9E5B" w14:textId="77777777" w:rsidR="00427051" w:rsidRPr="001671B7" w:rsidRDefault="00427051" w:rsidP="001671B7">
      <w:pPr>
        <w:tabs>
          <w:tab w:val="left" w:pos="540"/>
        </w:tabs>
        <w:rPr>
          <w:rFonts w:ascii="Calibri" w:eastAsia="Arial" w:hAnsi="Calibri" w:cs="Calibri"/>
          <w:color w:val="000000" w:themeColor="text1"/>
          <w:lang w:val="en"/>
        </w:rPr>
      </w:pPr>
    </w:p>
    <w:p w14:paraId="1E08B522" w14:textId="4CA7ED0B" w:rsidR="00427051" w:rsidRPr="00097144" w:rsidRDefault="00427051" w:rsidP="004277B6">
      <w:pPr>
        <w:pStyle w:val="ListParagraph"/>
        <w:numPr>
          <w:ilvl w:val="0"/>
          <w:numId w:val="16"/>
        </w:numPr>
        <w:tabs>
          <w:tab w:val="left" w:pos="540"/>
        </w:tabs>
        <w:rPr>
          <w:rFonts w:ascii="Calibri" w:eastAsia="Arial" w:hAnsi="Calibri" w:cs="Calibri"/>
          <w:b/>
          <w:bCs/>
          <w:color w:val="000000" w:themeColor="text1"/>
          <w:lang w:val="en"/>
        </w:rPr>
      </w:pPr>
      <w:r w:rsidRPr="0191E773">
        <w:rPr>
          <w:rFonts w:ascii="Calibri" w:eastAsia="Arial" w:hAnsi="Calibri" w:cs="Calibri"/>
          <w:b/>
          <w:bCs/>
          <w:color w:val="000000" w:themeColor="text1"/>
          <w:lang w:val="en"/>
        </w:rPr>
        <w:t>The SFP states that all individuals must be ages 18-28 and meet WIOA Title I Adult eligibility requirements. However, Opportunity Youth is typically defined as someone who is disconnected from school or work. Will that be a requirement in this proposal, or are in-school youth eligible too?</w:t>
      </w:r>
    </w:p>
    <w:p w14:paraId="135698D5" w14:textId="77777777" w:rsidR="00427051" w:rsidRPr="001671B7" w:rsidRDefault="00427051" w:rsidP="001671B7">
      <w:pPr>
        <w:tabs>
          <w:tab w:val="left" w:pos="540"/>
        </w:tabs>
        <w:rPr>
          <w:rFonts w:ascii="Calibri" w:eastAsia="Arial" w:hAnsi="Calibri" w:cs="Calibri"/>
          <w:color w:val="000000" w:themeColor="text1"/>
          <w:lang w:val="en"/>
        </w:rPr>
      </w:pPr>
    </w:p>
    <w:p w14:paraId="4BA99732" w14:textId="518F2442" w:rsidR="49F607F2" w:rsidRDefault="49F607F2" w:rsidP="0191E773">
      <w:pPr>
        <w:pStyle w:val="ListParagraph"/>
        <w:tabs>
          <w:tab w:val="left" w:pos="540"/>
        </w:tabs>
        <w:ind w:left="360"/>
      </w:pPr>
      <w:r w:rsidRPr="0191E773">
        <w:t xml:space="preserve">All individuals must be at least 18-28 years of age and meet WIOA Title I Adult eligibility requirements to participate in the OYACPP PY 24-25 program. </w:t>
      </w:r>
      <w:r w:rsidRPr="0191E773">
        <w:rPr>
          <w:rFonts w:ascii="Calibri" w:eastAsia="Calibri" w:hAnsi="Calibri" w:cs="Calibri"/>
          <w:szCs w:val="24"/>
        </w:rPr>
        <w:t xml:space="preserve">Projects may propose sub-target populations in their project design to include in-school young adults ages 18-28. </w:t>
      </w:r>
    </w:p>
    <w:p w14:paraId="7EE9A087" w14:textId="77777777" w:rsidR="00427051" w:rsidRPr="001671B7" w:rsidRDefault="00427051" w:rsidP="001671B7">
      <w:pPr>
        <w:tabs>
          <w:tab w:val="left" w:pos="540"/>
        </w:tabs>
        <w:rPr>
          <w:rFonts w:ascii="Calibri" w:eastAsia="Arial" w:hAnsi="Calibri" w:cs="Calibri"/>
          <w:color w:val="000000" w:themeColor="text1"/>
          <w:lang w:val="en"/>
        </w:rPr>
      </w:pPr>
    </w:p>
    <w:p w14:paraId="651A75F9" w14:textId="764603C0" w:rsidR="00427051" w:rsidRPr="00097144" w:rsidRDefault="00427051" w:rsidP="004277B6">
      <w:pPr>
        <w:pStyle w:val="ListParagraph"/>
        <w:numPr>
          <w:ilvl w:val="0"/>
          <w:numId w:val="16"/>
        </w:numPr>
        <w:tabs>
          <w:tab w:val="left" w:pos="540"/>
        </w:tabs>
        <w:rPr>
          <w:rFonts w:ascii="Calibri" w:eastAsia="Arial" w:hAnsi="Calibri" w:cs="Calibri"/>
          <w:b/>
          <w:bCs/>
          <w:color w:val="000000" w:themeColor="text1"/>
          <w:lang w:val="en"/>
        </w:rPr>
      </w:pPr>
      <w:r w:rsidRPr="00097144">
        <w:rPr>
          <w:rFonts w:ascii="Calibri" w:eastAsia="Arial" w:hAnsi="Calibri" w:cs="Calibri"/>
          <w:b/>
          <w:bCs/>
          <w:color w:val="000000" w:themeColor="text1"/>
          <w:lang w:val="en"/>
        </w:rPr>
        <w:t xml:space="preserve">Can we partner with agencies to provide some of the wrap-around services? </w:t>
      </w:r>
    </w:p>
    <w:p w14:paraId="72DD3BA6" w14:textId="77777777" w:rsidR="00427051" w:rsidRPr="001671B7" w:rsidRDefault="00427051" w:rsidP="001671B7">
      <w:pPr>
        <w:tabs>
          <w:tab w:val="left" w:pos="540"/>
        </w:tabs>
        <w:rPr>
          <w:rFonts w:ascii="Calibri" w:eastAsia="Arial" w:hAnsi="Calibri" w:cs="Calibri"/>
          <w:color w:val="000000" w:themeColor="text1"/>
          <w:lang w:val="en"/>
        </w:rPr>
      </w:pPr>
    </w:p>
    <w:p w14:paraId="1D94E9F7" w14:textId="48756B65" w:rsidR="55922193" w:rsidRDefault="55922193" w:rsidP="0191E773">
      <w:pPr>
        <w:pStyle w:val="ListParagraph"/>
        <w:tabs>
          <w:tab w:val="left" w:pos="540"/>
        </w:tabs>
        <w:spacing w:line="259" w:lineRule="auto"/>
        <w:ind w:left="360"/>
        <w:rPr>
          <w:rFonts w:ascii="Calibri" w:eastAsia="Arial" w:hAnsi="Calibri" w:cs="Calibri"/>
          <w:color w:val="000000" w:themeColor="text1"/>
          <w:lang w:val="en"/>
        </w:rPr>
      </w:pPr>
      <w:r w:rsidRPr="0191E773">
        <w:rPr>
          <w:rFonts w:ascii="Calibri" w:eastAsia="Arial" w:hAnsi="Calibri" w:cs="Calibri"/>
          <w:color w:val="000000" w:themeColor="text1"/>
        </w:rPr>
        <w:t>Yes, applicants are encouraged to establish partnerships. Partnerships must facilitate the provision of a full array of wrap-around support and case management services tailored to the needs of the target population in the project area.</w:t>
      </w:r>
      <w:r w:rsidR="51AEF403" w:rsidRPr="0191E773">
        <w:rPr>
          <w:rFonts w:ascii="Calibri" w:eastAsia="Arial" w:hAnsi="Calibri" w:cs="Calibri"/>
          <w:color w:val="000000" w:themeColor="text1"/>
        </w:rPr>
        <w:t xml:space="preserve"> </w:t>
      </w:r>
    </w:p>
    <w:p w14:paraId="1ACAFCDB" w14:textId="2EAB4135" w:rsidR="00427051" w:rsidRDefault="7FE48933" w:rsidP="001671B7">
      <w:pPr>
        <w:tabs>
          <w:tab w:val="left" w:pos="540"/>
        </w:tabs>
        <w:ind w:left="360"/>
        <w:rPr>
          <w:rFonts w:eastAsia="Times New Roman"/>
        </w:rPr>
      </w:pPr>
      <w:r w:rsidRPr="0191E773">
        <w:rPr>
          <w:i/>
          <w:iCs/>
        </w:rPr>
        <w:t>For additional information please reference pages 9-11 of the SFP.</w:t>
      </w:r>
    </w:p>
    <w:p w14:paraId="16EB7C2F" w14:textId="77777777" w:rsidR="001671B7" w:rsidRPr="001671B7" w:rsidRDefault="001671B7" w:rsidP="001671B7">
      <w:pPr>
        <w:tabs>
          <w:tab w:val="left" w:pos="540"/>
        </w:tabs>
        <w:ind w:left="360"/>
        <w:rPr>
          <w:rFonts w:eastAsia="Times New Roman"/>
        </w:rPr>
      </w:pPr>
    </w:p>
    <w:p w14:paraId="0FF04456" w14:textId="3057F65C" w:rsidR="00427051" w:rsidRPr="00097144" w:rsidRDefault="00427051" w:rsidP="004277B6">
      <w:pPr>
        <w:pStyle w:val="ListParagraph"/>
        <w:numPr>
          <w:ilvl w:val="0"/>
          <w:numId w:val="16"/>
        </w:numPr>
        <w:tabs>
          <w:tab w:val="left" w:pos="540"/>
        </w:tabs>
        <w:rPr>
          <w:rFonts w:ascii="Calibri" w:eastAsia="Arial" w:hAnsi="Calibri" w:cs="Calibri"/>
          <w:b/>
          <w:bCs/>
          <w:color w:val="000000" w:themeColor="text1"/>
          <w:lang w:val="en"/>
        </w:rPr>
      </w:pPr>
      <w:r w:rsidRPr="00097144">
        <w:rPr>
          <w:rFonts w:ascii="Calibri" w:eastAsia="Arial" w:hAnsi="Calibri" w:cs="Calibri"/>
          <w:b/>
          <w:bCs/>
          <w:color w:val="000000" w:themeColor="text1"/>
          <w:lang w:val="en"/>
        </w:rPr>
        <w:t>If an applicant has been assigned a Unique Entity ID by SAM.gov, do they still need to register with SAM.gov?</w:t>
      </w:r>
    </w:p>
    <w:p w14:paraId="58259331" w14:textId="77777777" w:rsidR="00427051" w:rsidRDefault="00427051" w:rsidP="004277B6">
      <w:pPr>
        <w:tabs>
          <w:tab w:val="left" w:pos="540"/>
        </w:tabs>
        <w:rPr>
          <w:rFonts w:ascii="Calibri" w:eastAsia="Arial" w:hAnsi="Calibri" w:cs="Calibri"/>
          <w:color w:val="000000" w:themeColor="text1"/>
          <w:lang w:val="en"/>
        </w:rPr>
      </w:pPr>
    </w:p>
    <w:p w14:paraId="56E50D49" w14:textId="67D50253" w:rsidR="4A9B7AFB" w:rsidRDefault="4A9B7AFB" w:rsidP="0191E773">
      <w:pPr>
        <w:tabs>
          <w:tab w:val="left" w:pos="540"/>
        </w:tabs>
        <w:ind w:left="360"/>
      </w:pPr>
      <w:r w:rsidRPr="0191E773">
        <w:rPr>
          <w:rFonts w:ascii="Calibri" w:eastAsia="Calibri" w:hAnsi="Calibri" w:cs="Calibri"/>
          <w:szCs w:val="24"/>
        </w:rPr>
        <w:t>SAM registration must be reviewed and updated every 12 months to keep accounts current, accurate, and complete in the SAM database. To remain eligible for funding, applicants must maintain an active registration in the SAM database. Applicants must ensure that this information is updated before applying for funding.</w:t>
      </w:r>
    </w:p>
    <w:p w14:paraId="54273CA6" w14:textId="033010DC" w:rsidR="64D871E3" w:rsidRDefault="64D871E3" w:rsidP="0191E773">
      <w:pPr>
        <w:tabs>
          <w:tab w:val="left" w:pos="540"/>
        </w:tabs>
        <w:ind w:left="360"/>
        <w:rPr>
          <w:rFonts w:eastAsia="Times New Roman"/>
        </w:rPr>
      </w:pPr>
      <w:r w:rsidRPr="0191E773">
        <w:rPr>
          <w:i/>
          <w:iCs/>
        </w:rPr>
        <w:t>For additional information please reference page 12 of the SFP.</w:t>
      </w:r>
    </w:p>
    <w:p w14:paraId="11E08D33" w14:textId="2A4F7A18" w:rsidR="00427051" w:rsidRDefault="00427051" w:rsidP="001671B7">
      <w:pPr>
        <w:tabs>
          <w:tab w:val="left" w:pos="540"/>
        </w:tabs>
        <w:rPr>
          <w:rFonts w:ascii="Calibri" w:eastAsia="Arial" w:hAnsi="Calibri" w:cs="Calibri"/>
          <w:color w:val="000000" w:themeColor="text1"/>
          <w:lang w:val="en"/>
        </w:rPr>
      </w:pPr>
    </w:p>
    <w:p w14:paraId="7C348C8D" w14:textId="77777777" w:rsidR="00700175" w:rsidRDefault="00700175">
      <w:pPr>
        <w:rPr>
          <w:rFonts w:ascii="Calibri" w:eastAsia="Arial" w:hAnsi="Calibri" w:cs="Calibri"/>
          <w:b/>
          <w:bCs/>
          <w:color w:val="000000" w:themeColor="text1"/>
          <w:lang w:val="en"/>
        </w:rPr>
      </w:pPr>
      <w:r>
        <w:rPr>
          <w:rFonts w:ascii="Calibri" w:eastAsia="Arial" w:hAnsi="Calibri" w:cs="Calibri"/>
          <w:b/>
          <w:bCs/>
          <w:color w:val="000000" w:themeColor="text1"/>
          <w:lang w:val="en"/>
        </w:rPr>
        <w:br w:type="page"/>
      </w:r>
    </w:p>
    <w:p w14:paraId="7ED6B7C4" w14:textId="15F1E6EB" w:rsidR="00427051" w:rsidRPr="00097144" w:rsidRDefault="00427051" w:rsidP="004277B6">
      <w:pPr>
        <w:pStyle w:val="ListParagraph"/>
        <w:numPr>
          <w:ilvl w:val="0"/>
          <w:numId w:val="16"/>
        </w:numPr>
        <w:tabs>
          <w:tab w:val="left" w:pos="540"/>
        </w:tabs>
        <w:rPr>
          <w:rFonts w:ascii="Calibri" w:eastAsia="Arial" w:hAnsi="Calibri" w:cs="Calibri"/>
          <w:b/>
          <w:bCs/>
          <w:color w:val="000000" w:themeColor="text1"/>
          <w:lang w:val="en"/>
        </w:rPr>
      </w:pPr>
      <w:r w:rsidRPr="00097144">
        <w:rPr>
          <w:rFonts w:ascii="Calibri" w:eastAsia="Arial" w:hAnsi="Calibri" w:cs="Calibri"/>
          <w:b/>
          <w:bCs/>
          <w:color w:val="000000" w:themeColor="text1"/>
          <w:lang w:val="en"/>
        </w:rPr>
        <w:lastRenderedPageBreak/>
        <w:t>Under this funding, are organizations allowed to pay trainees or participants or provide them stipends?</w:t>
      </w:r>
    </w:p>
    <w:p w14:paraId="1E0B4A9A" w14:textId="77777777" w:rsidR="00427051" w:rsidRPr="001671B7" w:rsidRDefault="00427051" w:rsidP="001671B7">
      <w:pPr>
        <w:tabs>
          <w:tab w:val="left" w:pos="540"/>
        </w:tabs>
        <w:rPr>
          <w:rFonts w:ascii="Calibri" w:eastAsia="Arial" w:hAnsi="Calibri" w:cs="Calibri"/>
          <w:color w:val="000000" w:themeColor="text1"/>
          <w:lang w:val="en"/>
        </w:rPr>
      </w:pPr>
    </w:p>
    <w:p w14:paraId="784D9A76" w14:textId="032A636E" w:rsidR="75BF0619" w:rsidRDefault="75BF0619" w:rsidP="0191E773">
      <w:pPr>
        <w:ind w:left="360"/>
        <w:rPr>
          <w:rFonts w:ascii="Calibri" w:eastAsia="Calibri" w:hAnsi="Calibri" w:cs="Calibri"/>
          <w:szCs w:val="24"/>
        </w:rPr>
      </w:pPr>
      <w:r w:rsidRPr="0191E773">
        <w:rPr>
          <w:rFonts w:ascii="Calibri" w:eastAsia="Calibri" w:hAnsi="Calibri" w:cs="Calibri"/>
          <w:szCs w:val="24"/>
        </w:rPr>
        <w:t>Funds may be used to pay a participant's wages and related benefits for work experience in the public, private, for-profit, or non-profit sectors when the participant's objective assessment and individual service strategy indicate that a work experience is appropriate.</w:t>
      </w:r>
      <w:r w:rsidR="4B0B5D64" w:rsidRPr="0191E773">
        <w:rPr>
          <w:rFonts w:ascii="Calibri" w:eastAsia="Calibri" w:hAnsi="Calibri" w:cs="Calibri"/>
          <w:szCs w:val="24"/>
        </w:rPr>
        <w:t xml:space="preserve"> </w:t>
      </w:r>
      <w:r w:rsidR="547F4A6D" w:rsidRPr="0191E773">
        <w:rPr>
          <w:rFonts w:ascii="Calibri" w:eastAsia="Calibri" w:hAnsi="Calibri" w:cs="Calibri"/>
          <w:szCs w:val="24"/>
        </w:rPr>
        <w:t>Grantees</w:t>
      </w:r>
      <w:r w:rsidR="4B0B5D64" w:rsidRPr="0191E773">
        <w:rPr>
          <w:rFonts w:ascii="Calibri" w:eastAsia="Calibri" w:hAnsi="Calibri" w:cs="Calibri"/>
          <w:szCs w:val="24"/>
        </w:rPr>
        <w:t xml:space="preserve"> may also provide stipends to participants,</w:t>
      </w:r>
      <w:r w:rsidR="2BE77FF7" w:rsidRPr="0191E773">
        <w:rPr>
          <w:rFonts w:ascii="Calibri" w:eastAsia="Calibri" w:hAnsi="Calibri" w:cs="Calibri"/>
          <w:szCs w:val="24"/>
        </w:rPr>
        <w:t xml:space="preserve"> however, p</w:t>
      </w:r>
      <w:r w:rsidR="7E0C0BB1" w:rsidRPr="0191E773">
        <w:rPr>
          <w:rFonts w:ascii="Calibri" w:eastAsia="Calibri" w:hAnsi="Calibri" w:cs="Calibri"/>
          <w:szCs w:val="24"/>
        </w:rPr>
        <w:t>lease note that financial stipends paid for by the funds received through this program will only be available to trainees participating in designated training programs to support their participation and successful outcomes. Stipends are only available during the grant term and not after the grant has ended. Projects that intend to provide stipends must have a stipend policy in place</w:t>
      </w:r>
      <w:r w:rsidR="6B4033F9" w:rsidRPr="0191E773">
        <w:rPr>
          <w:rFonts w:ascii="Calibri" w:eastAsia="Calibri" w:hAnsi="Calibri" w:cs="Calibri"/>
          <w:szCs w:val="24"/>
        </w:rPr>
        <w:t>.</w:t>
      </w:r>
    </w:p>
    <w:p w14:paraId="434C5B1B" w14:textId="090FF0BF" w:rsidR="0AEAEF2B" w:rsidRDefault="0AEAEF2B" w:rsidP="0191E773">
      <w:pPr>
        <w:tabs>
          <w:tab w:val="left" w:pos="540"/>
        </w:tabs>
        <w:ind w:firstLine="360"/>
        <w:rPr>
          <w:rFonts w:eastAsia="Times New Roman"/>
        </w:rPr>
      </w:pPr>
      <w:r w:rsidRPr="0191E773">
        <w:rPr>
          <w:i/>
          <w:iCs/>
        </w:rPr>
        <w:t>For additional information please reference pages 3 &amp; 7 of the SFP.</w:t>
      </w:r>
    </w:p>
    <w:p w14:paraId="4491A952" w14:textId="77777777" w:rsidR="00427051" w:rsidRPr="001671B7" w:rsidRDefault="00427051" w:rsidP="001671B7">
      <w:pPr>
        <w:tabs>
          <w:tab w:val="left" w:pos="540"/>
        </w:tabs>
        <w:rPr>
          <w:rFonts w:ascii="Calibri" w:eastAsia="Arial" w:hAnsi="Calibri" w:cs="Calibri"/>
          <w:color w:val="000000" w:themeColor="text1"/>
          <w:lang w:val="en"/>
        </w:rPr>
      </w:pPr>
    </w:p>
    <w:p w14:paraId="25EEB669" w14:textId="0693A110" w:rsidR="00427051" w:rsidRPr="00097144" w:rsidRDefault="00427051" w:rsidP="004277B6">
      <w:pPr>
        <w:pStyle w:val="ListParagraph"/>
        <w:numPr>
          <w:ilvl w:val="0"/>
          <w:numId w:val="16"/>
        </w:numPr>
        <w:tabs>
          <w:tab w:val="left" w:pos="540"/>
        </w:tabs>
        <w:rPr>
          <w:rFonts w:ascii="Calibri" w:eastAsia="Arial" w:hAnsi="Calibri" w:cs="Calibri"/>
          <w:b/>
          <w:bCs/>
          <w:color w:val="000000" w:themeColor="text1"/>
          <w:lang w:val="en"/>
        </w:rPr>
      </w:pPr>
      <w:r w:rsidRPr="00097144">
        <w:rPr>
          <w:rFonts w:ascii="Calibri" w:eastAsia="Arial" w:hAnsi="Calibri" w:cs="Calibri"/>
          <w:b/>
          <w:bCs/>
          <w:color w:val="000000" w:themeColor="text1"/>
          <w:lang w:val="en"/>
        </w:rPr>
        <w:t>Please repeat the meaning of IET and CTE.</w:t>
      </w:r>
    </w:p>
    <w:p w14:paraId="733030A4" w14:textId="77777777" w:rsidR="00427051" w:rsidRPr="001671B7" w:rsidRDefault="00427051" w:rsidP="001671B7">
      <w:pPr>
        <w:tabs>
          <w:tab w:val="left" w:pos="540"/>
        </w:tabs>
        <w:rPr>
          <w:rFonts w:ascii="Calibri" w:eastAsia="Arial" w:hAnsi="Calibri" w:cs="Calibri"/>
          <w:color w:val="000000" w:themeColor="text1"/>
          <w:lang w:val="en"/>
        </w:rPr>
      </w:pPr>
    </w:p>
    <w:p w14:paraId="5C458B4E" w14:textId="51073B9B" w:rsidR="00427051" w:rsidRDefault="1C158757" w:rsidP="0191E773">
      <w:pPr>
        <w:pStyle w:val="ListParagraph"/>
        <w:tabs>
          <w:tab w:val="left" w:pos="540"/>
        </w:tabs>
        <w:ind w:left="360"/>
        <w:rPr>
          <w:rFonts w:ascii="Calibri" w:eastAsia="Arial" w:hAnsi="Calibri" w:cs="Calibri"/>
          <w:color w:val="000000" w:themeColor="text1"/>
        </w:rPr>
      </w:pPr>
      <w:r w:rsidRPr="0191E773">
        <w:rPr>
          <w:rFonts w:ascii="Calibri" w:eastAsia="Arial" w:hAnsi="Calibri" w:cs="Calibri"/>
          <w:color w:val="000000" w:themeColor="text1"/>
        </w:rPr>
        <w:t>Int</w:t>
      </w:r>
      <w:r w:rsidRPr="0191E773">
        <w:rPr>
          <w:rFonts w:ascii="Calibri" w:eastAsia="Arial" w:hAnsi="Calibri" w:cs="Calibri"/>
          <w:color w:val="000000" w:themeColor="text1"/>
          <w:lang w:val="en"/>
        </w:rPr>
        <w:t>egrated Education and Training (IET)</w:t>
      </w:r>
      <w:r w:rsidR="2E49598C" w:rsidRPr="0191E773">
        <w:rPr>
          <w:rFonts w:ascii="Calibri" w:eastAsia="Arial" w:hAnsi="Calibri" w:cs="Calibri"/>
          <w:color w:val="000000" w:themeColor="text1"/>
          <w:lang w:val="en"/>
        </w:rPr>
        <w:t>,</w:t>
      </w:r>
      <w:r w:rsidRPr="0191E773">
        <w:rPr>
          <w:rFonts w:ascii="Calibri" w:eastAsia="Arial" w:hAnsi="Calibri" w:cs="Calibri"/>
          <w:color w:val="000000" w:themeColor="text1"/>
          <w:lang w:val="en"/>
        </w:rPr>
        <w:t xml:space="preserve"> and Career and Technical Education (CTE)</w:t>
      </w:r>
    </w:p>
    <w:p w14:paraId="61321B34" w14:textId="2B4627BA" w:rsidR="0369B307" w:rsidRDefault="0369B307" w:rsidP="0191E773">
      <w:pPr>
        <w:tabs>
          <w:tab w:val="left" w:pos="540"/>
        </w:tabs>
        <w:ind w:left="360"/>
        <w:rPr>
          <w:rFonts w:eastAsia="Times New Roman"/>
        </w:rPr>
      </w:pPr>
      <w:bookmarkStart w:id="6" w:name="_Hlk179881954"/>
      <w:r w:rsidRPr="0191E773">
        <w:rPr>
          <w:i/>
          <w:iCs/>
        </w:rPr>
        <w:t xml:space="preserve">For additional information please reference </w:t>
      </w:r>
      <w:bookmarkEnd w:id="6"/>
      <w:r w:rsidRPr="0191E773">
        <w:rPr>
          <w:i/>
          <w:iCs/>
        </w:rPr>
        <w:t>page 10 of the SFP.</w:t>
      </w:r>
    </w:p>
    <w:p w14:paraId="71B64C00" w14:textId="77777777" w:rsidR="00427051" w:rsidRPr="001671B7" w:rsidRDefault="00427051" w:rsidP="001671B7">
      <w:pPr>
        <w:tabs>
          <w:tab w:val="left" w:pos="540"/>
        </w:tabs>
        <w:rPr>
          <w:rFonts w:ascii="Calibri" w:eastAsia="Arial" w:hAnsi="Calibri" w:cs="Calibri"/>
          <w:color w:val="000000" w:themeColor="text1"/>
          <w:lang w:val="en"/>
        </w:rPr>
      </w:pPr>
    </w:p>
    <w:p w14:paraId="6A052E83" w14:textId="3B19C70C" w:rsidR="00427051" w:rsidRDefault="00427051" w:rsidP="004277B6">
      <w:pPr>
        <w:pStyle w:val="ListParagraph"/>
        <w:numPr>
          <w:ilvl w:val="0"/>
          <w:numId w:val="16"/>
        </w:numPr>
        <w:tabs>
          <w:tab w:val="left" w:pos="540"/>
        </w:tabs>
        <w:rPr>
          <w:rFonts w:ascii="Calibri" w:eastAsia="Arial" w:hAnsi="Calibri" w:cs="Calibri"/>
          <w:b/>
          <w:bCs/>
          <w:color w:val="000000" w:themeColor="text1"/>
          <w:lang w:val="en"/>
        </w:rPr>
      </w:pPr>
      <w:r w:rsidRPr="00097144">
        <w:rPr>
          <w:rFonts w:ascii="Calibri" w:eastAsia="Arial" w:hAnsi="Calibri" w:cs="Calibri"/>
          <w:b/>
          <w:bCs/>
          <w:color w:val="000000" w:themeColor="text1"/>
          <w:lang w:val="en"/>
        </w:rPr>
        <w:t>Does the applicant write/sign the commitment letter or does the funder write/sign the commitment letter?</w:t>
      </w:r>
    </w:p>
    <w:p w14:paraId="03C8A7FD" w14:textId="77777777" w:rsidR="001671B7" w:rsidRPr="001671B7" w:rsidRDefault="001671B7" w:rsidP="001671B7">
      <w:pPr>
        <w:pStyle w:val="ListParagraph"/>
        <w:tabs>
          <w:tab w:val="left" w:pos="540"/>
        </w:tabs>
        <w:ind w:left="360"/>
        <w:rPr>
          <w:rFonts w:ascii="Calibri" w:eastAsia="Arial" w:hAnsi="Calibri" w:cs="Calibri"/>
          <w:b/>
          <w:bCs/>
          <w:color w:val="000000" w:themeColor="text1"/>
          <w:lang w:val="en"/>
        </w:rPr>
      </w:pPr>
    </w:p>
    <w:p w14:paraId="72AC93B7" w14:textId="0E2EB241" w:rsidR="078B63F3" w:rsidRDefault="078B63F3" w:rsidP="0191E773">
      <w:pPr>
        <w:tabs>
          <w:tab w:val="left" w:pos="540"/>
        </w:tabs>
        <w:ind w:left="360"/>
      </w:pPr>
      <w:r w:rsidRPr="0191E773">
        <w:rPr>
          <w:rFonts w:ascii="Calibri" w:eastAsia="Calibri" w:hAnsi="Calibri" w:cs="Calibri"/>
          <w:szCs w:val="24"/>
        </w:rPr>
        <w:t xml:space="preserve">Regardless of the source, all leveraged funds must be documented in a commitment agreement letter </w:t>
      </w:r>
      <w:r w:rsidRPr="001671B7">
        <w:rPr>
          <w:rFonts w:ascii="Calibri" w:eastAsia="Calibri" w:hAnsi="Calibri" w:cs="Calibri"/>
          <w:szCs w:val="24"/>
        </w:rPr>
        <w:t>supplied by the funding agency.</w:t>
      </w:r>
      <w:r w:rsidRPr="0191E773">
        <w:rPr>
          <w:rFonts w:ascii="Calibri" w:eastAsia="Calibri" w:hAnsi="Calibri" w:cs="Calibri"/>
          <w:szCs w:val="24"/>
        </w:rPr>
        <w:t xml:space="preserve"> If the lead applicant is providing contributions, the applicant organization must provide a letter that conforms to the stated guidelines.</w:t>
      </w:r>
    </w:p>
    <w:p w14:paraId="6D6EEEDE" w14:textId="77777777" w:rsidR="001671B7" w:rsidRDefault="001671B7" w:rsidP="001671B7">
      <w:pPr>
        <w:tabs>
          <w:tab w:val="left" w:pos="540"/>
        </w:tabs>
        <w:rPr>
          <w:rFonts w:ascii="Calibri" w:eastAsia="Arial" w:hAnsi="Calibri" w:cs="Calibri"/>
          <w:color w:val="000000" w:themeColor="text1"/>
          <w:lang w:val="en"/>
        </w:rPr>
      </w:pPr>
    </w:p>
    <w:p w14:paraId="35FAAB7B" w14:textId="4C9F0943" w:rsidR="00427051" w:rsidRPr="001671B7" w:rsidRDefault="00427051" w:rsidP="001671B7">
      <w:pPr>
        <w:pStyle w:val="ListParagraph"/>
        <w:numPr>
          <w:ilvl w:val="0"/>
          <w:numId w:val="16"/>
        </w:numPr>
        <w:tabs>
          <w:tab w:val="left" w:pos="540"/>
        </w:tabs>
        <w:rPr>
          <w:rFonts w:ascii="Calibri" w:eastAsia="Arial" w:hAnsi="Calibri" w:cs="Calibri"/>
          <w:b/>
          <w:bCs/>
          <w:color w:val="000000" w:themeColor="text1"/>
          <w:lang w:val="en"/>
        </w:rPr>
      </w:pPr>
      <w:r w:rsidRPr="001671B7">
        <w:rPr>
          <w:rFonts w:ascii="Calibri" w:eastAsia="Arial" w:hAnsi="Calibri" w:cs="Calibri"/>
          <w:b/>
          <w:bCs/>
          <w:color w:val="000000" w:themeColor="text1"/>
          <w:lang w:val="en"/>
        </w:rPr>
        <w:t>Does “leverage” mean “match” or “cost-sharing”?</w:t>
      </w:r>
    </w:p>
    <w:p w14:paraId="46BEB575" w14:textId="77777777" w:rsidR="00427051" w:rsidRPr="001671B7" w:rsidRDefault="00427051" w:rsidP="001671B7">
      <w:pPr>
        <w:tabs>
          <w:tab w:val="left" w:pos="540"/>
        </w:tabs>
        <w:rPr>
          <w:rFonts w:ascii="Calibri" w:eastAsia="Arial" w:hAnsi="Calibri" w:cs="Calibri"/>
          <w:color w:val="000000" w:themeColor="text1"/>
          <w:lang w:val="en"/>
        </w:rPr>
      </w:pPr>
    </w:p>
    <w:p w14:paraId="0B756FE3" w14:textId="348846FB" w:rsidR="001671B7" w:rsidRDefault="50D7855C" w:rsidP="001671B7">
      <w:pPr>
        <w:pStyle w:val="ListParagraph"/>
        <w:tabs>
          <w:tab w:val="left" w:pos="540"/>
        </w:tabs>
        <w:ind w:left="360"/>
        <w:rPr>
          <w:rFonts w:ascii="Calibri" w:eastAsia="Calibri" w:hAnsi="Calibri" w:cs="Calibri"/>
          <w:szCs w:val="24"/>
        </w:rPr>
      </w:pPr>
      <w:r w:rsidRPr="0191E773">
        <w:rPr>
          <w:rFonts w:ascii="Calibri" w:eastAsia="Calibri" w:hAnsi="Calibri" w:cs="Calibri"/>
          <w:szCs w:val="24"/>
        </w:rPr>
        <w:t>The grant has no match requirement; however, applicants must demonstrate the ability to leverage at least 20 percent of their budget with funds or services from other sources. Leveraged funds are a contribution of funds made available to the subrecipient to be explicitly used for project activities. They must be consistent with the allowable activities of the fund source. The definition of "in-kind resources" is a contribution of non-cash resources explicitly used for project activities.</w:t>
      </w:r>
    </w:p>
    <w:p w14:paraId="0C52C488" w14:textId="77777777" w:rsidR="001671B7" w:rsidRPr="001671B7" w:rsidRDefault="001671B7" w:rsidP="001671B7">
      <w:pPr>
        <w:pStyle w:val="ListParagraph"/>
        <w:tabs>
          <w:tab w:val="left" w:pos="540"/>
        </w:tabs>
        <w:ind w:left="360"/>
      </w:pPr>
    </w:p>
    <w:p w14:paraId="59AC9E0E" w14:textId="385B7DD3" w:rsidR="00427051" w:rsidRPr="001671B7" w:rsidRDefault="00427051" w:rsidP="001671B7">
      <w:pPr>
        <w:pStyle w:val="ListParagraph"/>
        <w:numPr>
          <w:ilvl w:val="0"/>
          <w:numId w:val="16"/>
        </w:numPr>
        <w:tabs>
          <w:tab w:val="left" w:pos="540"/>
        </w:tabs>
        <w:rPr>
          <w:rFonts w:ascii="Calibri" w:eastAsia="Arial" w:hAnsi="Calibri" w:cs="Calibri"/>
          <w:b/>
          <w:bCs/>
          <w:color w:val="000000" w:themeColor="text1"/>
          <w:lang w:val="en"/>
        </w:rPr>
      </w:pPr>
      <w:r w:rsidRPr="001671B7">
        <w:rPr>
          <w:rFonts w:ascii="Calibri" w:eastAsia="Arial" w:hAnsi="Calibri" w:cs="Calibri"/>
          <w:b/>
          <w:bCs/>
          <w:color w:val="000000" w:themeColor="text1"/>
          <w:lang w:val="en"/>
        </w:rPr>
        <w:t>Does getting projects started in January 2025 include a ramp-up period?</w:t>
      </w:r>
    </w:p>
    <w:p w14:paraId="0F03DAAF" w14:textId="77777777" w:rsidR="00427051" w:rsidRPr="001671B7" w:rsidRDefault="00427051" w:rsidP="001671B7">
      <w:pPr>
        <w:tabs>
          <w:tab w:val="left" w:pos="540"/>
        </w:tabs>
        <w:rPr>
          <w:rFonts w:ascii="Calibri" w:eastAsia="Arial" w:hAnsi="Calibri" w:cs="Calibri"/>
          <w:color w:val="000000" w:themeColor="text1"/>
          <w:lang w:val="en"/>
        </w:rPr>
      </w:pPr>
    </w:p>
    <w:p w14:paraId="09F3E965" w14:textId="251C3733" w:rsidR="00427051" w:rsidRPr="005D22BE" w:rsidRDefault="00A338FC" w:rsidP="004277B6">
      <w:pPr>
        <w:pStyle w:val="ListParagraph"/>
        <w:tabs>
          <w:tab w:val="left" w:pos="540"/>
        </w:tabs>
        <w:ind w:left="360"/>
        <w:rPr>
          <w:rFonts w:ascii="Calibri" w:eastAsia="Arial" w:hAnsi="Calibri" w:cs="Calibri"/>
          <w:lang w:val="en"/>
        </w:rPr>
      </w:pPr>
      <w:r w:rsidRPr="005D22BE">
        <w:rPr>
          <w:rFonts w:ascii="Calibri" w:eastAsia="Arial" w:hAnsi="Calibri" w:cs="Calibri"/>
          <w:lang w:val="en"/>
        </w:rPr>
        <w:t xml:space="preserve">Projects will start upon subgrant execution, your workplan should account for any start-up period. </w:t>
      </w:r>
    </w:p>
    <w:p w14:paraId="192BCE15" w14:textId="77777777" w:rsidR="00427051" w:rsidRPr="001671B7" w:rsidRDefault="00427051" w:rsidP="001671B7">
      <w:pPr>
        <w:tabs>
          <w:tab w:val="left" w:pos="540"/>
        </w:tabs>
        <w:rPr>
          <w:rFonts w:ascii="Calibri" w:eastAsia="Arial" w:hAnsi="Calibri" w:cs="Calibri"/>
          <w:color w:val="000000" w:themeColor="text1"/>
          <w:lang w:val="en"/>
        </w:rPr>
      </w:pPr>
    </w:p>
    <w:p w14:paraId="12ED716B" w14:textId="744E6E1E" w:rsidR="00427051" w:rsidRPr="001B5C24" w:rsidRDefault="00A45C96" w:rsidP="001B5C24">
      <w:pPr>
        <w:tabs>
          <w:tab w:val="left" w:pos="540"/>
        </w:tabs>
        <w:rPr>
          <w:rFonts w:ascii="Calibri" w:eastAsia="Arial" w:hAnsi="Calibri" w:cs="Calibri"/>
          <w:b/>
          <w:bCs/>
          <w:color w:val="000000" w:themeColor="text1"/>
          <w:highlight w:val="yellow"/>
          <w:lang w:val="en"/>
        </w:rPr>
      </w:pPr>
      <w:r>
        <w:rPr>
          <w:rFonts w:ascii="Calibri" w:eastAsia="Arial" w:hAnsi="Calibri" w:cs="Calibri"/>
          <w:color w:val="000000" w:themeColor="text1"/>
          <w:lang w:val="en"/>
        </w:rPr>
        <w:t xml:space="preserve">40. </w:t>
      </w:r>
      <w:r w:rsidR="00427051" w:rsidRPr="001B5C24">
        <w:rPr>
          <w:rFonts w:ascii="Calibri" w:eastAsia="Arial" w:hAnsi="Calibri" w:cs="Calibri"/>
          <w:b/>
          <w:bCs/>
          <w:color w:val="000000" w:themeColor="text1"/>
          <w:lang w:val="en"/>
        </w:rPr>
        <w:t>Are organizations with fiscal sponsorship eligible to apply?</w:t>
      </w:r>
    </w:p>
    <w:p w14:paraId="6EB032FC" w14:textId="77777777" w:rsidR="00427051" w:rsidRPr="001671B7" w:rsidRDefault="00427051" w:rsidP="001671B7">
      <w:pPr>
        <w:tabs>
          <w:tab w:val="left" w:pos="540"/>
        </w:tabs>
        <w:rPr>
          <w:rFonts w:ascii="Calibri" w:eastAsia="Arial" w:hAnsi="Calibri" w:cs="Calibri"/>
          <w:color w:val="000000" w:themeColor="text1"/>
          <w:lang w:val="en"/>
        </w:rPr>
      </w:pPr>
    </w:p>
    <w:p w14:paraId="0C662842" w14:textId="50B5F19D" w:rsidR="180B3C01" w:rsidRDefault="180B3C01" w:rsidP="0191E773">
      <w:pPr>
        <w:pStyle w:val="ListParagraph"/>
        <w:tabs>
          <w:tab w:val="left" w:pos="540"/>
        </w:tabs>
        <w:spacing w:line="259" w:lineRule="auto"/>
        <w:ind w:left="360"/>
      </w:pPr>
      <w:r w:rsidRPr="0191E773">
        <w:rPr>
          <w:rFonts w:ascii="Calibri" w:eastAsia="Arial" w:hAnsi="Calibri" w:cs="Calibri"/>
          <w:color w:val="000000" w:themeColor="text1"/>
        </w:rPr>
        <w:t>Yes, organizations with f</w:t>
      </w:r>
      <w:r w:rsidRPr="0191E773">
        <w:rPr>
          <w:rFonts w:ascii="Calibri" w:eastAsia="Arial" w:hAnsi="Calibri" w:cs="Calibri"/>
          <w:color w:val="000000" w:themeColor="text1"/>
          <w:lang w:val="en"/>
        </w:rPr>
        <w:t xml:space="preserve">iscal sponsorships are eligible to apply for this OYACPP PY 24-25 SFP. </w:t>
      </w:r>
    </w:p>
    <w:p w14:paraId="0D28E325" w14:textId="77777777" w:rsidR="00427051" w:rsidRPr="001671B7" w:rsidRDefault="00427051" w:rsidP="001671B7">
      <w:pPr>
        <w:tabs>
          <w:tab w:val="left" w:pos="540"/>
        </w:tabs>
        <w:rPr>
          <w:rFonts w:ascii="Calibri" w:eastAsia="Arial" w:hAnsi="Calibri" w:cs="Calibri"/>
          <w:color w:val="000000" w:themeColor="text1"/>
          <w:lang w:val="en"/>
        </w:rPr>
      </w:pPr>
    </w:p>
    <w:p w14:paraId="0047C74D" w14:textId="1F0660CB" w:rsidR="00427051" w:rsidRPr="00A541B5" w:rsidRDefault="001B5C24" w:rsidP="00A541B5">
      <w:pPr>
        <w:tabs>
          <w:tab w:val="left" w:pos="540"/>
        </w:tabs>
        <w:rPr>
          <w:rFonts w:ascii="Calibri" w:eastAsia="Arial" w:hAnsi="Calibri" w:cs="Calibri"/>
          <w:b/>
          <w:bCs/>
          <w:color w:val="000000" w:themeColor="text1"/>
          <w:lang w:val="en"/>
        </w:rPr>
      </w:pPr>
      <w:r>
        <w:rPr>
          <w:rFonts w:ascii="Calibri" w:eastAsia="Arial" w:hAnsi="Calibri" w:cs="Calibri"/>
          <w:color w:val="000000" w:themeColor="text1"/>
          <w:lang w:val="en"/>
        </w:rPr>
        <w:t xml:space="preserve">41. </w:t>
      </w:r>
      <w:r w:rsidR="00427051" w:rsidRPr="00A541B5">
        <w:rPr>
          <w:rFonts w:ascii="Calibri" w:eastAsia="Arial" w:hAnsi="Calibri" w:cs="Calibri"/>
          <w:b/>
          <w:bCs/>
          <w:color w:val="000000" w:themeColor="text1"/>
          <w:lang w:val="en"/>
        </w:rPr>
        <w:t>Are LEAs eligible to apply?</w:t>
      </w:r>
    </w:p>
    <w:p w14:paraId="1F02CD14" w14:textId="77777777" w:rsidR="00427051" w:rsidRPr="001671B7" w:rsidRDefault="00427051" w:rsidP="001671B7">
      <w:pPr>
        <w:tabs>
          <w:tab w:val="left" w:pos="540"/>
        </w:tabs>
        <w:rPr>
          <w:rFonts w:ascii="Calibri" w:eastAsia="Arial" w:hAnsi="Calibri" w:cs="Calibri"/>
          <w:color w:val="000000" w:themeColor="text1"/>
          <w:lang w:val="en"/>
        </w:rPr>
      </w:pPr>
    </w:p>
    <w:p w14:paraId="1097DC35" w14:textId="6BF2F839" w:rsidR="556FC09C" w:rsidRDefault="001B5C24" w:rsidP="001B5C24">
      <w:pPr>
        <w:pStyle w:val="ListParagraph"/>
        <w:tabs>
          <w:tab w:val="left" w:pos="540"/>
        </w:tabs>
        <w:spacing w:line="259" w:lineRule="auto"/>
        <w:ind w:left="0"/>
        <w:rPr>
          <w:rFonts w:ascii="Calibri" w:eastAsia="Arial" w:hAnsi="Calibri" w:cs="Calibri"/>
          <w:color w:val="000000" w:themeColor="text1"/>
          <w:lang w:val="en"/>
        </w:rPr>
      </w:pPr>
      <w:r>
        <w:rPr>
          <w:rFonts w:ascii="Calibri" w:eastAsia="Arial" w:hAnsi="Calibri" w:cs="Calibri"/>
          <w:color w:val="000000" w:themeColor="text1"/>
        </w:rPr>
        <w:t xml:space="preserve">      </w:t>
      </w:r>
      <w:r w:rsidR="556FC09C" w:rsidRPr="0191E773">
        <w:rPr>
          <w:rFonts w:ascii="Calibri" w:eastAsia="Arial" w:hAnsi="Calibri" w:cs="Calibri"/>
          <w:color w:val="000000" w:themeColor="text1"/>
        </w:rPr>
        <w:t>Local Educationa</w:t>
      </w:r>
      <w:r w:rsidR="556FC09C" w:rsidRPr="0191E773">
        <w:rPr>
          <w:rFonts w:ascii="Calibri" w:eastAsia="Arial" w:hAnsi="Calibri" w:cs="Calibri"/>
          <w:color w:val="000000" w:themeColor="text1"/>
          <w:lang w:val="en"/>
        </w:rPr>
        <w:t xml:space="preserve">l Agencies are eligible to apply </w:t>
      </w:r>
      <w:r w:rsidR="001860A3">
        <w:rPr>
          <w:rFonts w:ascii="Calibri" w:eastAsia="Arial" w:hAnsi="Calibri" w:cs="Calibri"/>
          <w:color w:val="000000" w:themeColor="text1"/>
          <w:lang w:val="en"/>
        </w:rPr>
        <w:t>if</w:t>
      </w:r>
      <w:r w:rsidR="681450B3" w:rsidRPr="0191E773">
        <w:rPr>
          <w:rFonts w:ascii="Calibri" w:eastAsia="Arial" w:hAnsi="Calibri" w:cs="Calibri"/>
          <w:color w:val="000000" w:themeColor="text1"/>
          <w:lang w:val="en"/>
        </w:rPr>
        <w:t xml:space="preserve"> the organization is not a for-profit business.</w:t>
      </w:r>
    </w:p>
    <w:p w14:paraId="6E1065A7" w14:textId="40A93400" w:rsidR="681450B3" w:rsidRDefault="001B5C24" w:rsidP="001B5C24">
      <w:pPr>
        <w:pStyle w:val="ListParagraph"/>
        <w:tabs>
          <w:tab w:val="left" w:pos="540"/>
        </w:tabs>
        <w:spacing w:line="259" w:lineRule="auto"/>
        <w:ind w:left="0"/>
        <w:rPr>
          <w:rFonts w:ascii="Calibri" w:eastAsia="Arial" w:hAnsi="Calibri" w:cs="Calibri"/>
          <w:i/>
          <w:iCs/>
          <w:color w:val="000000" w:themeColor="text1"/>
          <w:lang w:val="en"/>
        </w:rPr>
      </w:pPr>
      <w:r>
        <w:rPr>
          <w:rFonts w:ascii="Calibri" w:eastAsia="Arial" w:hAnsi="Calibri" w:cs="Calibri"/>
          <w:i/>
          <w:iCs/>
          <w:color w:val="000000" w:themeColor="text1"/>
        </w:rPr>
        <w:lastRenderedPageBreak/>
        <w:t xml:space="preserve">     </w:t>
      </w:r>
      <w:r w:rsidR="681450B3" w:rsidRPr="0191E773">
        <w:rPr>
          <w:rFonts w:ascii="Calibri" w:eastAsia="Arial" w:hAnsi="Calibri" w:cs="Calibri"/>
          <w:i/>
          <w:iCs/>
          <w:color w:val="000000" w:themeColor="text1"/>
        </w:rPr>
        <w:t>For additional information, please reference page 5 of the SFP.</w:t>
      </w:r>
    </w:p>
    <w:p w14:paraId="4F8BBBC0" w14:textId="77777777" w:rsidR="00427051" w:rsidRPr="001671B7" w:rsidRDefault="00427051" w:rsidP="001671B7">
      <w:pPr>
        <w:tabs>
          <w:tab w:val="left" w:pos="540"/>
        </w:tabs>
        <w:rPr>
          <w:rFonts w:ascii="Calibri" w:eastAsia="Arial" w:hAnsi="Calibri" w:cs="Calibri"/>
          <w:color w:val="000000" w:themeColor="text1"/>
          <w:lang w:val="en"/>
        </w:rPr>
      </w:pPr>
    </w:p>
    <w:p w14:paraId="46840F42" w14:textId="4A41CAD1" w:rsidR="00427051" w:rsidRPr="00A541B5" w:rsidRDefault="001B5C24" w:rsidP="00A541B5">
      <w:pPr>
        <w:tabs>
          <w:tab w:val="left" w:pos="540"/>
        </w:tabs>
        <w:rPr>
          <w:rFonts w:ascii="Calibri" w:eastAsia="Arial" w:hAnsi="Calibri" w:cs="Calibri"/>
          <w:b/>
          <w:bCs/>
          <w:color w:val="000000" w:themeColor="text1"/>
        </w:rPr>
      </w:pPr>
      <w:r>
        <w:rPr>
          <w:rFonts w:ascii="Calibri" w:eastAsia="Arial" w:hAnsi="Calibri" w:cs="Calibri"/>
          <w:color w:val="000000" w:themeColor="text1"/>
        </w:rPr>
        <w:t>42</w:t>
      </w:r>
      <w:r w:rsidR="00C25C6F">
        <w:rPr>
          <w:rFonts w:ascii="Calibri" w:eastAsia="Arial" w:hAnsi="Calibri" w:cs="Calibri"/>
          <w:color w:val="000000" w:themeColor="text1"/>
        </w:rPr>
        <w:t>.</w:t>
      </w:r>
      <w:r>
        <w:rPr>
          <w:rFonts w:ascii="Calibri" w:eastAsia="Arial" w:hAnsi="Calibri" w:cs="Calibri"/>
          <w:color w:val="000000" w:themeColor="text1"/>
        </w:rPr>
        <w:t xml:space="preserve"> </w:t>
      </w:r>
      <w:r w:rsidR="00427051" w:rsidRPr="00A541B5">
        <w:rPr>
          <w:rFonts w:ascii="Calibri" w:eastAsia="Arial" w:hAnsi="Calibri" w:cs="Calibri"/>
          <w:b/>
          <w:bCs/>
          <w:color w:val="000000" w:themeColor="text1"/>
        </w:rPr>
        <w:t>Can an applicant apply for less if they can’t spend $1.5 million in 24 months?</w:t>
      </w:r>
    </w:p>
    <w:p w14:paraId="64ADE0DE" w14:textId="77777777" w:rsidR="00427051" w:rsidRPr="001671B7" w:rsidRDefault="00427051" w:rsidP="001671B7">
      <w:pPr>
        <w:tabs>
          <w:tab w:val="left" w:pos="540"/>
        </w:tabs>
        <w:rPr>
          <w:rFonts w:ascii="Calibri" w:eastAsia="Arial" w:hAnsi="Calibri" w:cs="Calibri"/>
          <w:color w:val="000000" w:themeColor="text1"/>
          <w:lang w:val="en"/>
        </w:rPr>
      </w:pPr>
    </w:p>
    <w:p w14:paraId="0E282BBF" w14:textId="3128384B" w:rsidR="11B2DD9C" w:rsidRDefault="001B5C24" w:rsidP="00085491">
      <w:pPr>
        <w:pStyle w:val="ListParagraph"/>
        <w:tabs>
          <w:tab w:val="left" w:pos="360"/>
        </w:tabs>
        <w:ind w:left="360" w:hanging="270"/>
      </w:pPr>
      <w:r>
        <w:t xml:space="preserve">     </w:t>
      </w:r>
      <w:r w:rsidR="11B2DD9C" w:rsidRPr="0191E773">
        <w:t>Applicants can apply for a minimum of $1.5 million.</w:t>
      </w:r>
      <w:r w:rsidR="65317CF8" w:rsidRPr="0191E773">
        <w:rPr>
          <w:rFonts w:ascii="Calibri" w:eastAsia="Calibri" w:hAnsi="Calibri" w:cs="Calibri"/>
          <w:szCs w:val="24"/>
        </w:rPr>
        <w:t xml:space="preserve"> Any funds not expended during the grant agreement period shall be returned to the state. </w:t>
      </w:r>
    </w:p>
    <w:p w14:paraId="6EE49731" w14:textId="77777777" w:rsidR="00427051" w:rsidRPr="001671B7" w:rsidRDefault="00427051" w:rsidP="001671B7">
      <w:pPr>
        <w:tabs>
          <w:tab w:val="left" w:pos="540"/>
        </w:tabs>
        <w:rPr>
          <w:rFonts w:ascii="Calibri" w:eastAsia="Arial" w:hAnsi="Calibri" w:cs="Calibri"/>
          <w:color w:val="000000" w:themeColor="text1"/>
          <w:lang w:val="en"/>
        </w:rPr>
      </w:pPr>
    </w:p>
    <w:p w14:paraId="03263257" w14:textId="46A1DA55" w:rsidR="00427051" w:rsidRPr="00A541B5" w:rsidRDefault="001B5C24" w:rsidP="00A541B5">
      <w:pPr>
        <w:tabs>
          <w:tab w:val="left" w:pos="540"/>
        </w:tabs>
        <w:rPr>
          <w:rFonts w:ascii="Calibri" w:eastAsia="Arial" w:hAnsi="Calibri" w:cs="Calibri"/>
          <w:b/>
          <w:bCs/>
          <w:color w:val="000000" w:themeColor="text1"/>
          <w:lang w:val="en"/>
        </w:rPr>
      </w:pPr>
      <w:r>
        <w:rPr>
          <w:rFonts w:ascii="Calibri" w:eastAsia="Arial" w:hAnsi="Calibri" w:cs="Calibri"/>
          <w:color w:val="000000" w:themeColor="text1"/>
          <w:lang w:val="en"/>
        </w:rPr>
        <w:t>43</w:t>
      </w:r>
      <w:r w:rsidR="00C25C6F">
        <w:rPr>
          <w:rFonts w:ascii="Calibri" w:eastAsia="Arial" w:hAnsi="Calibri" w:cs="Calibri"/>
          <w:color w:val="000000" w:themeColor="text1"/>
          <w:lang w:val="en"/>
        </w:rPr>
        <w:t>.</w:t>
      </w:r>
      <w:r>
        <w:rPr>
          <w:rFonts w:ascii="Calibri" w:eastAsia="Arial" w:hAnsi="Calibri" w:cs="Calibri"/>
          <w:color w:val="000000" w:themeColor="text1"/>
          <w:lang w:val="en"/>
        </w:rPr>
        <w:t xml:space="preserve"> </w:t>
      </w:r>
      <w:r w:rsidR="00427051" w:rsidRPr="00A541B5">
        <w:rPr>
          <w:rFonts w:ascii="Calibri" w:eastAsia="Arial" w:hAnsi="Calibri" w:cs="Calibri"/>
          <w:b/>
          <w:bCs/>
          <w:color w:val="000000" w:themeColor="text1"/>
          <w:lang w:val="en"/>
        </w:rPr>
        <w:t>Do eligible organizations include nonprofit private institutions for higher education?</w:t>
      </w:r>
    </w:p>
    <w:p w14:paraId="798F38D6" w14:textId="77777777" w:rsidR="00427051" w:rsidRDefault="00427051" w:rsidP="001671B7">
      <w:pPr>
        <w:tabs>
          <w:tab w:val="left" w:pos="540"/>
        </w:tabs>
        <w:rPr>
          <w:rFonts w:ascii="Calibri" w:eastAsia="Arial" w:hAnsi="Calibri" w:cs="Calibri"/>
          <w:color w:val="000000" w:themeColor="text1"/>
          <w:lang w:val="en"/>
        </w:rPr>
      </w:pPr>
    </w:p>
    <w:p w14:paraId="29B21E1C" w14:textId="7BA35DB8" w:rsidR="3006762B" w:rsidRDefault="3006762B" w:rsidP="00085491">
      <w:pPr>
        <w:tabs>
          <w:tab w:val="left" w:pos="540"/>
        </w:tabs>
        <w:ind w:left="360"/>
      </w:pPr>
      <w:r w:rsidRPr="0191E773">
        <w:rPr>
          <w:rFonts w:ascii="Calibri" w:eastAsia="Calibri" w:hAnsi="Calibri" w:cs="Calibri"/>
          <w:szCs w:val="24"/>
        </w:rPr>
        <w:t xml:space="preserve">Eligible applicants are </w:t>
      </w:r>
      <w:r w:rsidR="77E3C856" w:rsidRPr="0191E773">
        <w:rPr>
          <w:rFonts w:ascii="Calibri" w:eastAsia="Calibri" w:hAnsi="Calibri" w:cs="Calibri"/>
          <w:szCs w:val="24"/>
        </w:rPr>
        <w:t>n</w:t>
      </w:r>
      <w:r w:rsidRPr="0191E773">
        <w:rPr>
          <w:rFonts w:ascii="Calibri" w:eastAsia="Calibri" w:hAnsi="Calibri" w:cs="Calibri"/>
          <w:szCs w:val="24"/>
        </w:rPr>
        <w:t>on-profit organizations, labor unions, public agencies (local governments), tribal governments, community colleges, local workforce boards, and education and training providers. Applicants, including collaborations among</w:t>
      </w:r>
      <w:r w:rsidR="001B5C24">
        <w:rPr>
          <w:rFonts w:ascii="Calibri" w:eastAsia="Calibri" w:hAnsi="Calibri" w:cs="Calibri"/>
          <w:szCs w:val="24"/>
        </w:rPr>
        <w:t xml:space="preserve"> </w:t>
      </w:r>
      <w:r w:rsidRPr="0191E773">
        <w:rPr>
          <w:rFonts w:ascii="Calibri" w:eastAsia="Calibri" w:hAnsi="Calibri" w:cs="Calibri"/>
          <w:szCs w:val="24"/>
        </w:rPr>
        <w:t>partners, must have demonstrated expertise in assisting OYA</w:t>
      </w:r>
      <w:r w:rsidR="077A0268" w:rsidRPr="0191E773">
        <w:rPr>
          <w:rFonts w:ascii="Calibri" w:eastAsia="Calibri" w:hAnsi="Calibri" w:cs="Calibri"/>
          <w:szCs w:val="24"/>
        </w:rPr>
        <w:t>s</w:t>
      </w:r>
      <w:r w:rsidRPr="0191E773">
        <w:rPr>
          <w:rFonts w:ascii="Calibri" w:eastAsia="Calibri" w:hAnsi="Calibri" w:cs="Calibri"/>
          <w:szCs w:val="24"/>
        </w:rPr>
        <w:t xml:space="preserve"> and in workforce development programs. For-profit businesses and</w:t>
      </w:r>
      <w:r w:rsidR="5342513E" w:rsidRPr="0191E773">
        <w:rPr>
          <w:rFonts w:ascii="Calibri" w:eastAsia="Calibri" w:hAnsi="Calibri" w:cs="Calibri"/>
          <w:szCs w:val="24"/>
        </w:rPr>
        <w:t xml:space="preserve"> individuals are not eligible for this grant opportunity.</w:t>
      </w:r>
    </w:p>
    <w:p w14:paraId="58CCFF14" w14:textId="77777777" w:rsidR="00427051" w:rsidRDefault="00427051" w:rsidP="001671B7">
      <w:pPr>
        <w:tabs>
          <w:tab w:val="left" w:pos="540"/>
        </w:tabs>
        <w:rPr>
          <w:rFonts w:ascii="Calibri" w:eastAsia="Arial" w:hAnsi="Calibri" w:cs="Calibri"/>
          <w:color w:val="000000" w:themeColor="text1"/>
          <w:lang w:val="en"/>
        </w:rPr>
      </w:pPr>
    </w:p>
    <w:p w14:paraId="0108E2FD" w14:textId="71362E79" w:rsidR="00427051" w:rsidRPr="00A541B5" w:rsidRDefault="001B5C24" w:rsidP="00085491">
      <w:pPr>
        <w:tabs>
          <w:tab w:val="left" w:pos="540"/>
        </w:tabs>
        <w:ind w:left="360" w:hanging="360"/>
        <w:rPr>
          <w:rFonts w:ascii="Calibri" w:eastAsia="Arial" w:hAnsi="Calibri" w:cs="Calibri"/>
          <w:b/>
          <w:bCs/>
          <w:color w:val="000000" w:themeColor="text1"/>
          <w:lang w:val="en"/>
        </w:rPr>
      </w:pPr>
      <w:r>
        <w:rPr>
          <w:rFonts w:ascii="Calibri" w:eastAsia="Arial" w:hAnsi="Calibri" w:cs="Calibri"/>
          <w:color w:val="000000" w:themeColor="text1"/>
          <w:lang w:val="en"/>
        </w:rPr>
        <w:t>44</w:t>
      </w:r>
      <w:r w:rsidR="00C25C6F">
        <w:rPr>
          <w:rFonts w:ascii="Calibri" w:eastAsia="Arial" w:hAnsi="Calibri" w:cs="Calibri"/>
          <w:color w:val="000000" w:themeColor="text1"/>
          <w:lang w:val="en"/>
        </w:rPr>
        <w:t>.</w:t>
      </w:r>
      <w:r>
        <w:rPr>
          <w:rFonts w:ascii="Calibri" w:eastAsia="Arial" w:hAnsi="Calibri" w:cs="Calibri"/>
          <w:color w:val="000000" w:themeColor="text1"/>
          <w:lang w:val="en"/>
        </w:rPr>
        <w:t xml:space="preserve"> </w:t>
      </w:r>
      <w:r w:rsidR="00427051" w:rsidRPr="00A541B5">
        <w:rPr>
          <w:rFonts w:ascii="Calibri" w:eastAsia="Arial" w:hAnsi="Calibri" w:cs="Calibri"/>
          <w:b/>
          <w:bCs/>
          <w:color w:val="000000" w:themeColor="text1"/>
          <w:lang w:val="en"/>
        </w:rPr>
        <w:t>Can a for-profit organization serve as a partner under the grant if a nonprofit is the applicant?</w:t>
      </w:r>
      <w:r w:rsidR="795E541A" w:rsidRPr="00A541B5">
        <w:rPr>
          <w:rFonts w:ascii="Calibri" w:eastAsia="Arial" w:hAnsi="Calibri" w:cs="Calibri"/>
          <w:b/>
          <w:bCs/>
          <w:color w:val="000000" w:themeColor="text1"/>
          <w:lang w:val="en"/>
        </w:rPr>
        <w:t xml:space="preserve"> Can a for-profit business also be used as a contracted vendor and/or subrecipient?</w:t>
      </w:r>
    </w:p>
    <w:p w14:paraId="3A48E94A" w14:textId="77777777" w:rsidR="00427051" w:rsidRPr="001671B7" w:rsidRDefault="00427051" w:rsidP="001671B7">
      <w:pPr>
        <w:tabs>
          <w:tab w:val="left" w:pos="540"/>
        </w:tabs>
        <w:rPr>
          <w:rFonts w:ascii="Calibri" w:eastAsia="Arial" w:hAnsi="Calibri" w:cs="Calibri"/>
          <w:color w:val="000000" w:themeColor="text1"/>
          <w:lang w:val="en"/>
        </w:rPr>
      </w:pPr>
    </w:p>
    <w:p w14:paraId="7B804F5C" w14:textId="77777777" w:rsidR="00181044" w:rsidRDefault="14DA1793" w:rsidP="00085491">
      <w:pPr>
        <w:tabs>
          <w:tab w:val="left" w:pos="540"/>
        </w:tabs>
        <w:spacing w:line="259" w:lineRule="auto"/>
        <w:ind w:left="360"/>
        <w:rPr>
          <w:rFonts w:ascii="Calibri" w:eastAsia="Arial" w:hAnsi="Calibri" w:cs="Calibri"/>
          <w:color w:val="000000" w:themeColor="text1"/>
        </w:rPr>
      </w:pPr>
      <w:r w:rsidRPr="0191E773">
        <w:rPr>
          <w:rFonts w:ascii="Calibri" w:eastAsia="Arial" w:hAnsi="Calibri" w:cs="Calibri"/>
          <w:color w:val="000000" w:themeColor="text1"/>
        </w:rPr>
        <w:t>While for-profit businesses may not apply for this funding opportunity as the lead applicant, they</w:t>
      </w:r>
      <w:r w:rsidR="00616371">
        <w:rPr>
          <w:rFonts w:ascii="Calibri" w:eastAsia="Arial" w:hAnsi="Calibri" w:cs="Calibri"/>
          <w:color w:val="000000" w:themeColor="text1"/>
        </w:rPr>
        <w:t xml:space="preserve"> </w:t>
      </w:r>
      <w:r w:rsidRPr="0191E773">
        <w:rPr>
          <w:rFonts w:ascii="Calibri" w:eastAsia="Arial" w:hAnsi="Calibri" w:cs="Calibri"/>
          <w:color w:val="000000" w:themeColor="text1"/>
        </w:rPr>
        <w:t>may be utilized as a partner, cont</w:t>
      </w:r>
      <w:r w:rsidR="1B9B10E3" w:rsidRPr="0191E773">
        <w:rPr>
          <w:rFonts w:ascii="Calibri" w:eastAsia="Arial" w:hAnsi="Calibri" w:cs="Calibri"/>
          <w:color w:val="000000" w:themeColor="text1"/>
        </w:rPr>
        <w:t xml:space="preserve">ractor, or subrecipient. </w:t>
      </w:r>
    </w:p>
    <w:p w14:paraId="073421AF" w14:textId="633D4632" w:rsidR="001671B7" w:rsidRDefault="00741A54" w:rsidP="00085491">
      <w:pPr>
        <w:tabs>
          <w:tab w:val="left" w:pos="540"/>
        </w:tabs>
        <w:spacing w:line="259" w:lineRule="auto"/>
        <w:ind w:left="360"/>
        <w:rPr>
          <w:rFonts w:ascii="Calibri" w:eastAsia="Arial" w:hAnsi="Calibri" w:cs="Calibri"/>
        </w:rPr>
      </w:pPr>
      <w:r w:rsidRPr="00181044">
        <w:rPr>
          <w:rFonts w:ascii="Calibri" w:eastAsia="Arial" w:hAnsi="Calibri" w:cs="Calibri"/>
          <w:i/>
          <w:iCs/>
        </w:rPr>
        <w:t xml:space="preserve">Please refer to </w:t>
      </w:r>
      <w:r w:rsidR="00181044" w:rsidRPr="00181044">
        <w:rPr>
          <w:rFonts w:ascii="Calibri" w:eastAsia="Arial" w:hAnsi="Calibri" w:cs="Calibri"/>
          <w:i/>
          <w:iCs/>
        </w:rPr>
        <w:t>Workforce Services Directive</w:t>
      </w:r>
      <w:r w:rsidR="00181044">
        <w:rPr>
          <w:rFonts w:ascii="Calibri" w:eastAsia="Arial" w:hAnsi="Calibri" w:cs="Calibri"/>
        </w:rPr>
        <w:t xml:space="preserve"> (</w:t>
      </w:r>
      <w:hyperlink r:id="rId21" w:history="1">
        <w:r w:rsidRPr="00A45C96">
          <w:rPr>
            <w:rStyle w:val="Hyperlink"/>
            <w:rFonts w:ascii="Calibri" w:eastAsia="Arial" w:hAnsi="Calibri" w:cs="Calibri"/>
            <w:u w:val="none"/>
          </w:rPr>
          <w:t>WSD18-06</w:t>
        </w:r>
      </w:hyperlink>
      <w:r w:rsidR="00181044">
        <w:rPr>
          <w:rFonts w:ascii="Calibri" w:eastAsia="Arial" w:hAnsi="Calibri" w:cs="Calibri"/>
        </w:rPr>
        <w:t>)</w:t>
      </w:r>
      <w:r w:rsidRPr="00A541B5">
        <w:rPr>
          <w:rFonts w:ascii="Calibri" w:eastAsia="Arial" w:hAnsi="Calibri" w:cs="Calibri"/>
        </w:rPr>
        <w:t xml:space="preserve"> </w:t>
      </w:r>
      <w:r w:rsidRPr="00181044">
        <w:rPr>
          <w:rFonts w:ascii="Calibri" w:eastAsia="Arial" w:hAnsi="Calibri" w:cs="Calibri"/>
          <w:i/>
          <w:iCs/>
        </w:rPr>
        <w:t>Subrecipient and Contractor Distinctions</w:t>
      </w:r>
      <w:r w:rsidRPr="00A541B5">
        <w:rPr>
          <w:rFonts w:ascii="Calibri" w:eastAsia="Arial" w:hAnsi="Calibri" w:cs="Calibri"/>
        </w:rPr>
        <w:t xml:space="preserve">. </w:t>
      </w:r>
    </w:p>
    <w:p w14:paraId="6820DDAC" w14:textId="77777777" w:rsidR="001671B7" w:rsidRPr="001671B7" w:rsidRDefault="001671B7" w:rsidP="001671B7">
      <w:pPr>
        <w:tabs>
          <w:tab w:val="left" w:pos="540"/>
        </w:tabs>
        <w:spacing w:line="259" w:lineRule="auto"/>
        <w:ind w:left="360"/>
        <w:rPr>
          <w:rFonts w:ascii="Calibri" w:eastAsia="Arial" w:hAnsi="Calibri" w:cs="Calibri"/>
        </w:rPr>
      </w:pPr>
    </w:p>
    <w:p w14:paraId="0BBD5DF7" w14:textId="547D97D2" w:rsidR="00427051" w:rsidRPr="00A62F57" w:rsidRDefault="001B5C24" w:rsidP="00A62F57">
      <w:pPr>
        <w:tabs>
          <w:tab w:val="left" w:pos="540"/>
        </w:tabs>
        <w:rPr>
          <w:rFonts w:ascii="Calibri" w:eastAsia="Arial" w:hAnsi="Calibri" w:cs="Calibri"/>
          <w:b/>
          <w:bCs/>
          <w:color w:val="000000" w:themeColor="text1"/>
          <w:lang w:val="en"/>
        </w:rPr>
      </w:pPr>
      <w:r>
        <w:rPr>
          <w:rFonts w:ascii="Calibri" w:eastAsia="Arial" w:hAnsi="Calibri" w:cs="Calibri"/>
          <w:color w:val="000000" w:themeColor="text1"/>
          <w:lang w:val="en"/>
        </w:rPr>
        <w:t>45</w:t>
      </w:r>
      <w:r w:rsidR="00C25C6F">
        <w:rPr>
          <w:rFonts w:ascii="Calibri" w:eastAsia="Arial" w:hAnsi="Calibri" w:cs="Calibri"/>
          <w:color w:val="000000" w:themeColor="text1"/>
          <w:lang w:val="en"/>
        </w:rPr>
        <w:t>.</w:t>
      </w:r>
      <w:r>
        <w:rPr>
          <w:rFonts w:ascii="Calibri" w:eastAsia="Arial" w:hAnsi="Calibri" w:cs="Calibri"/>
          <w:color w:val="000000" w:themeColor="text1"/>
          <w:lang w:val="en"/>
        </w:rPr>
        <w:t xml:space="preserve"> </w:t>
      </w:r>
      <w:r w:rsidR="00427051" w:rsidRPr="00A62F57">
        <w:rPr>
          <w:rFonts w:ascii="Calibri" w:eastAsia="Arial" w:hAnsi="Calibri" w:cs="Calibri"/>
          <w:b/>
          <w:bCs/>
          <w:color w:val="000000" w:themeColor="text1"/>
          <w:lang w:val="en"/>
        </w:rPr>
        <w:t>Is the application with instructions on the EDD Website?</w:t>
      </w:r>
    </w:p>
    <w:p w14:paraId="7B495CA9" w14:textId="77777777" w:rsidR="00427051" w:rsidRPr="001671B7" w:rsidRDefault="00427051" w:rsidP="001671B7">
      <w:pPr>
        <w:tabs>
          <w:tab w:val="left" w:pos="540"/>
        </w:tabs>
        <w:rPr>
          <w:rFonts w:ascii="Calibri" w:eastAsia="Arial" w:hAnsi="Calibri" w:cs="Calibri"/>
          <w:color w:val="000000" w:themeColor="text1"/>
          <w:lang w:val="en"/>
        </w:rPr>
      </w:pPr>
    </w:p>
    <w:p w14:paraId="4F6F1404" w14:textId="441434BD" w:rsidR="2C3F7F67" w:rsidRDefault="001B5C24" w:rsidP="00085491">
      <w:pPr>
        <w:pStyle w:val="ListParagraph"/>
        <w:tabs>
          <w:tab w:val="left" w:pos="540"/>
        </w:tabs>
        <w:spacing w:line="259" w:lineRule="auto"/>
        <w:ind w:left="360" w:hanging="180"/>
      </w:pPr>
      <w:r>
        <w:rPr>
          <w:rFonts w:ascii="Calibri" w:eastAsia="Arial" w:hAnsi="Calibri" w:cs="Calibri"/>
          <w:color w:val="000000" w:themeColor="text1"/>
        </w:rPr>
        <w:t xml:space="preserve">    </w:t>
      </w:r>
      <w:r w:rsidR="2C3F7F67" w:rsidRPr="0191E773">
        <w:rPr>
          <w:rFonts w:ascii="Calibri" w:eastAsia="Arial" w:hAnsi="Calibri" w:cs="Calibri"/>
          <w:color w:val="000000" w:themeColor="text1"/>
        </w:rPr>
        <w:t xml:space="preserve">Yes, the OYACPP PY 24-25 SFP is available </w:t>
      </w:r>
      <w:r w:rsidR="2C3F7F67" w:rsidRPr="0191E773">
        <w:rPr>
          <w:rFonts w:ascii="Calibri" w:eastAsia="Arial" w:hAnsi="Calibri" w:cs="Calibri"/>
          <w:color w:val="000000" w:themeColor="text1"/>
          <w:lang w:val="en"/>
        </w:rPr>
        <w:t xml:space="preserve">on the </w:t>
      </w:r>
      <w:hyperlink r:id="rId22">
        <w:r w:rsidR="00700175" w:rsidRPr="00700175">
          <w:rPr>
            <w:rStyle w:val="Hyperlink"/>
            <w:u w:val="none"/>
          </w:rPr>
          <w:t>EDD Workforce Development Solicitations for Proposals</w:t>
        </w:r>
      </w:hyperlink>
      <w:r w:rsidR="00700175" w:rsidRPr="00700175">
        <w:t xml:space="preserve"> </w:t>
      </w:r>
      <w:r w:rsidR="00700175" w:rsidRPr="00700175">
        <w:rPr>
          <w:rStyle w:val="Hyperlink"/>
          <w:color w:val="auto"/>
          <w:u w:val="none"/>
        </w:rPr>
        <w:t>web</w:t>
      </w:r>
      <w:r w:rsidR="00700175">
        <w:rPr>
          <w:rStyle w:val="Hyperlink"/>
          <w:color w:val="auto"/>
          <w:u w:val="none"/>
        </w:rPr>
        <w:t>page</w:t>
      </w:r>
      <w:r w:rsidR="00700175" w:rsidRPr="00700175">
        <w:rPr>
          <w:rStyle w:val="Hyperlink"/>
          <w:color w:val="auto"/>
          <w:u w:val="none"/>
        </w:rPr>
        <w:t>.</w:t>
      </w:r>
      <w:r w:rsidR="2C3F7F67" w:rsidRPr="0191E773">
        <w:rPr>
          <w:rFonts w:ascii="Calibri" w:eastAsia="Arial" w:hAnsi="Calibri" w:cs="Calibri"/>
          <w:color w:val="000000" w:themeColor="text1"/>
          <w:lang w:val="en"/>
        </w:rPr>
        <w:t xml:space="preserve"> Application materials are available to download from the SFP. </w:t>
      </w:r>
    </w:p>
    <w:p w14:paraId="21FB4138" w14:textId="77777777" w:rsidR="00427051" w:rsidRPr="001671B7" w:rsidRDefault="00427051" w:rsidP="001671B7">
      <w:pPr>
        <w:tabs>
          <w:tab w:val="left" w:pos="540"/>
        </w:tabs>
        <w:rPr>
          <w:rFonts w:ascii="Calibri" w:eastAsia="Arial" w:hAnsi="Calibri" w:cs="Calibri"/>
          <w:color w:val="000000" w:themeColor="text1"/>
          <w:lang w:val="en"/>
        </w:rPr>
      </w:pPr>
    </w:p>
    <w:p w14:paraId="375C0945" w14:textId="762715D6" w:rsidR="00427051" w:rsidRPr="00A62F57" w:rsidRDefault="001B5C24" w:rsidP="00085491">
      <w:pPr>
        <w:tabs>
          <w:tab w:val="left" w:pos="540"/>
        </w:tabs>
        <w:ind w:left="360" w:hanging="360"/>
        <w:rPr>
          <w:rFonts w:ascii="Calibri" w:eastAsia="Arial" w:hAnsi="Calibri" w:cs="Calibri"/>
          <w:b/>
          <w:bCs/>
          <w:color w:val="000000" w:themeColor="text1"/>
          <w:lang w:val="en"/>
        </w:rPr>
      </w:pPr>
      <w:r>
        <w:rPr>
          <w:rFonts w:ascii="Calibri" w:eastAsia="Arial" w:hAnsi="Calibri" w:cs="Calibri"/>
          <w:color w:val="000000" w:themeColor="text1"/>
          <w:lang w:val="en"/>
        </w:rPr>
        <w:t>46</w:t>
      </w:r>
      <w:r w:rsidR="00C25C6F">
        <w:rPr>
          <w:rFonts w:ascii="Calibri" w:eastAsia="Arial" w:hAnsi="Calibri" w:cs="Calibri"/>
          <w:color w:val="000000" w:themeColor="text1"/>
          <w:lang w:val="en"/>
        </w:rPr>
        <w:t>.</w:t>
      </w:r>
      <w:r>
        <w:rPr>
          <w:rFonts w:ascii="Calibri" w:eastAsia="Arial" w:hAnsi="Calibri" w:cs="Calibri"/>
          <w:color w:val="000000" w:themeColor="text1"/>
          <w:lang w:val="en"/>
        </w:rPr>
        <w:t xml:space="preserve"> </w:t>
      </w:r>
      <w:r w:rsidR="00427051" w:rsidRPr="00A62F57">
        <w:rPr>
          <w:rFonts w:ascii="Calibri" w:eastAsia="Arial" w:hAnsi="Calibri" w:cs="Calibri"/>
          <w:b/>
          <w:bCs/>
          <w:color w:val="000000" w:themeColor="text1"/>
          <w:lang w:val="en"/>
        </w:rPr>
        <w:t>Is this SFP loo</w:t>
      </w:r>
      <w:r w:rsidR="47351C4C" w:rsidRPr="00A62F57">
        <w:rPr>
          <w:rFonts w:ascii="Calibri" w:eastAsia="Arial" w:hAnsi="Calibri" w:cs="Calibri"/>
          <w:b/>
          <w:bCs/>
          <w:color w:val="000000" w:themeColor="text1"/>
          <w:lang w:val="en"/>
        </w:rPr>
        <w:t>k</w:t>
      </w:r>
      <w:r w:rsidR="00427051" w:rsidRPr="00A62F57">
        <w:rPr>
          <w:rFonts w:ascii="Calibri" w:eastAsia="Arial" w:hAnsi="Calibri" w:cs="Calibri"/>
          <w:b/>
          <w:bCs/>
          <w:color w:val="000000" w:themeColor="text1"/>
          <w:lang w:val="en"/>
        </w:rPr>
        <w:t>ing for 20% matching from any source or from youth-related funding only? For example, if an applicant applies for $1.5 million for 3 years, would they need $100k matching per year for a total of $300k?</w:t>
      </w:r>
    </w:p>
    <w:p w14:paraId="7E60FFF4" w14:textId="77777777" w:rsidR="00427051" w:rsidRDefault="00427051" w:rsidP="004277B6">
      <w:pPr>
        <w:tabs>
          <w:tab w:val="left" w:pos="540"/>
        </w:tabs>
        <w:rPr>
          <w:rFonts w:ascii="Calibri" w:eastAsia="Arial" w:hAnsi="Calibri" w:cs="Calibri"/>
          <w:color w:val="000000" w:themeColor="text1"/>
          <w:lang w:val="en"/>
        </w:rPr>
      </w:pPr>
    </w:p>
    <w:p w14:paraId="08538FA7" w14:textId="766CF1CF" w:rsidR="0C32104A" w:rsidRDefault="0C32104A" w:rsidP="00085491">
      <w:pPr>
        <w:tabs>
          <w:tab w:val="left" w:pos="540"/>
        </w:tabs>
        <w:ind w:left="360"/>
      </w:pPr>
      <w:r w:rsidRPr="0191E773">
        <w:rPr>
          <w:rFonts w:ascii="Calibri" w:eastAsia="Calibri" w:hAnsi="Calibri" w:cs="Calibri"/>
          <w:szCs w:val="24"/>
        </w:rPr>
        <w:t>Applicants must demonstrate the ability to leverage at least 20 percent of their budget with funds or services from other sources. The leverage needed for funds is based on the total grant funding requested. Leveraged resources can come from a</w:t>
      </w:r>
      <w:r w:rsidR="08E5C80E" w:rsidRPr="0191E773">
        <w:rPr>
          <w:rFonts w:ascii="Calibri" w:eastAsia="Calibri" w:hAnsi="Calibri" w:cs="Calibri"/>
          <w:szCs w:val="24"/>
        </w:rPr>
        <w:t xml:space="preserve"> variety of sources. </w:t>
      </w:r>
    </w:p>
    <w:p w14:paraId="56F67A3A" w14:textId="77777777" w:rsidR="00427051" w:rsidRDefault="00427051" w:rsidP="001671B7">
      <w:pPr>
        <w:tabs>
          <w:tab w:val="left" w:pos="540"/>
        </w:tabs>
        <w:rPr>
          <w:rFonts w:ascii="Calibri" w:eastAsia="Arial" w:hAnsi="Calibri" w:cs="Calibri"/>
          <w:color w:val="000000" w:themeColor="text1"/>
          <w:lang w:val="en"/>
        </w:rPr>
      </w:pPr>
    </w:p>
    <w:p w14:paraId="3C53CEA0" w14:textId="77385604" w:rsidR="00427051" w:rsidRPr="00A62F57" w:rsidRDefault="001B5C24" w:rsidP="00085491">
      <w:pPr>
        <w:tabs>
          <w:tab w:val="left" w:pos="540"/>
        </w:tabs>
        <w:ind w:left="360" w:hanging="360"/>
        <w:rPr>
          <w:rFonts w:ascii="Calibri" w:eastAsia="Arial" w:hAnsi="Calibri" w:cs="Calibri"/>
          <w:b/>
          <w:bCs/>
          <w:color w:val="000000" w:themeColor="text1"/>
        </w:rPr>
      </w:pPr>
      <w:r>
        <w:rPr>
          <w:rFonts w:ascii="Calibri" w:eastAsia="Arial" w:hAnsi="Calibri" w:cs="Calibri"/>
          <w:color w:val="000000" w:themeColor="text1"/>
        </w:rPr>
        <w:t>47</w:t>
      </w:r>
      <w:r w:rsidR="00C25C6F">
        <w:rPr>
          <w:rFonts w:ascii="Calibri" w:eastAsia="Arial" w:hAnsi="Calibri" w:cs="Calibri"/>
          <w:color w:val="000000" w:themeColor="text1"/>
        </w:rPr>
        <w:t>.</w:t>
      </w:r>
      <w:r>
        <w:rPr>
          <w:rFonts w:ascii="Calibri" w:eastAsia="Arial" w:hAnsi="Calibri" w:cs="Calibri"/>
          <w:color w:val="000000" w:themeColor="text1"/>
        </w:rPr>
        <w:t xml:space="preserve"> </w:t>
      </w:r>
      <w:r w:rsidR="00427051" w:rsidRPr="00A62F57">
        <w:rPr>
          <w:rFonts w:ascii="Calibri" w:eastAsia="Arial" w:hAnsi="Calibri" w:cs="Calibri"/>
          <w:b/>
          <w:bCs/>
          <w:color w:val="000000" w:themeColor="text1"/>
        </w:rPr>
        <w:t xml:space="preserve">Many urban areas are identified as possible locations to be awarded. As a small and rural workforce board, would less points be </w:t>
      </w:r>
      <w:r w:rsidR="00353EC7" w:rsidRPr="00A62F57">
        <w:rPr>
          <w:rFonts w:ascii="Calibri" w:eastAsia="Arial" w:hAnsi="Calibri" w:cs="Calibri"/>
          <w:b/>
          <w:bCs/>
          <w:color w:val="000000" w:themeColor="text1"/>
        </w:rPr>
        <w:t>awarded,</w:t>
      </w:r>
      <w:r w:rsidR="00427051" w:rsidRPr="00A62F57">
        <w:rPr>
          <w:rFonts w:ascii="Calibri" w:eastAsia="Arial" w:hAnsi="Calibri" w:cs="Calibri"/>
          <w:b/>
          <w:bCs/>
          <w:color w:val="000000" w:themeColor="text1"/>
        </w:rPr>
        <w:t xml:space="preserve"> or would the application be considered?</w:t>
      </w:r>
    </w:p>
    <w:p w14:paraId="495F431B" w14:textId="77777777" w:rsidR="00427051" w:rsidRDefault="00427051" w:rsidP="004277B6">
      <w:pPr>
        <w:tabs>
          <w:tab w:val="left" w:pos="540"/>
        </w:tabs>
        <w:rPr>
          <w:rFonts w:ascii="Calibri" w:eastAsia="Arial" w:hAnsi="Calibri" w:cs="Calibri"/>
          <w:color w:val="000000" w:themeColor="text1"/>
          <w:lang w:val="en"/>
        </w:rPr>
      </w:pPr>
    </w:p>
    <w:p w14:paraId="0F8E97C4" w14:textId="19C2BC6C" w:rsidR="62F514D1" w:rsidRDefault="001B5C24" w:rsidP="00085491">
      <w:pPr>
        <w:pStyle w:val="ListParagraph"/>
        <w:tabs>
          <w:tab w:val="left" w:pos="540"/>
        </w:tabs>
        <w:ind w:left="360" w:hanging="180"/>
      </w:pPr>
      <w:r>
        <w:rPr>
          <w:rFonts w:ascii="Calibri" w:eastAsia="Calibri" w:hAnsi="Calibri" w:cs="Calibri"/>
          <w:szCs w:val="24"/>
        </w:rPr>
        <w:t xml:space="preserve">   </w:t>
      </w:r>
      <w:r w:rsidR="62F514D1" w:rsidRPr="0191E773">
        <w:rPr>
          <w:rFonts w:ascii="Calibri" w:eastAsia="Calibri" w:hAnsi="Calibri" w:cs="Calibri"/>
          <w:szCs w:val="24"/>
        </w:rPr>
        <w:t>Organizations located outside of the counties listed in the SFP may still be eligible for funding. Applicants should identify the target region(s) and make a case that there is a concentrated population of the targeted demographic in the target region(s).</w:t>
      </w:r>
    </w:p>
    <w:p w14:paraId="76F609EE" w14:textId="77777777" w:rsidR="00427051" w:rsidRDefault="00427051" w:rsidP="001671B7">
      <w:pPr>
        <w:tabs>
          <w:tab w:val="left" w:pos="540"/>
        </w:tabs>
        <w:rPr>
          <w:rFonts w:ascii="Calibri" w:eastAsia="Arial" w:hAnsi="Calibri" w:cs="Calibri"/>
          <w:color w:val="000000" w:themeColor="text1"/>
          <w:lang w:val="en"/>
        </w:rPr>
      </w:pPr>
    </w:p>
    <w:p w14:paraId="4C548752" w14:textId="77777777" w:rsidR="00A45C96" w:rsidRDefault="00A45C96">
      <w:pPr>
        <w:rPr>
          <w:rFonts w:ascii="Calibri" w:eastAsia="Arial" w:hAnsi="Calibri" w:cs="Calibri"/>
          <w:color w:val="000000" w:themeColor="text1"/>
          <w:lang w:val="en"/>
        </w:rPr>
      </w:pPr>
      <w:r>
        <w:rPr>
          <w:rFonts w:ascii="Calibri" w:eastAsia="Arial" w:hAnsi="Calibri" w:cs="Calibri"/>
          <w:color w:val="000000" w:themeColor="text1"/>
          <w:lang w:val="en"/>
        </w:rPr>
        <w:br w:type="page"/>
      </w:r>
    </w:p>
    <w:p w14:paraId="78271B66" w14:textId="3F7D7DEB" w:rsidR="00427051" w:rsidRPr="00A62F57" w:rsidRDefault="001B5C24" w:rsidP="00A62F57">
      <w:pPr>
        <w:tabs>
          <w:tab w:val="left" w:pos="540"/>
        </w:tabs>
        <w:rPr>
          <w:rFonts w:ascii="Calibri" w:eastAsia="Arial" w:hAnsi="Calibri" w:cs="Calibri"/>
          <w:b/>
          <w:bCs/>
          <w:color w:val="000000" w:themeColor="text1"/>
          <w:lang w:val="en"/>
        </w:rPr>
      </w:pPr>
      <w:r>
        <w:rPr>
          <w:rFonts w:ascii="Calibri" w:eastAsia="Arial" w:hAnsi="Calibri" w:cs="Calibri"/>
          <w:color w:val="000000" w:themeColor="text1"/>
          <w:lang w:val="en"/>
        </w:rPr>
        <w:lastRenderedPageBreak/>
        <w:t>48</w:t>
      </w:r>
      <w:r w:rsidR="00C25C6F">
        <w:rPr>
          <w:rFonts w:ascii="Calibri" w:eastAsia="Arial" w:hAnsi="Calibri" w:cs="Calibri"/>
          <w:color w:val="000000" w:themeColor="text1"/>
          <w:lang w:val="en"/>
        </w:rPr>
        <w:t>.</w:t>
      </w:r>
      <w:r>
        <w:rPr>
          <w:rFonts w:ascii="Calibri" w:eastAsia="Arial" w:hAnsi="Calibri" w:cs="Calibri"/>
          <w:color w:val="000000" w:themeColor="text1"/>
          <w:lang w:val="en"/>
        </w:rPr>
        <w:t xml:space="preserve"> </w:t>
      </w:r>
      <w:r w:rsidR="00427051" w:rsidRPr="00A62F57">
        <w:rPr>
          <w:rFonts w:ascii="Calibri" w:eastAsia="Arial" w:hAnsi="Calibri" w:cs="Calibri"/>
          <w:b/>
          <w:bCs/>
          <w:color w:val="000000" w:themeColor="text1"/>
          <w:lang w:val="en"/>
        </w:rPr>
        <w:t>Does the budget narrative count toward the 15-page limit?</w:t>
      </w:r>
    </w:p>
    <w:p w14:paraId="44987F7C" w14:textId="77777777" w:rsidR="00427051" w:rsidRPr="001671B7" w:rsidRDefault="00427051" w:rsidP="001671B7">
      <w:pPr>
        <w:tabs>
          <w:tab w:val="left" w:pos="540"/>
        </w:tabs>
        <w:rPr>
          <w:rFonts w:ascii="Calibri" w:eastAsia="Arial" w:hAnsi="Calibri" w:cs="Calibri"/>
          <w:color w:val="000000" w:themeColor="text1"/>
          <w:lang w:val="en"/>
        </w:rPr>
      </w:pPr>
    </w:p>
    <w:p w14:paraId="48437071" w14:textId="0EFE72EB" w:rsidR="633398B5" w:rsidRDefault="633398B5" w:rsidP="00085491">
      <w:pPr>
        <w:pStyle w:val="ListParagraph"/>
        <w:tabs>
          <w:tab w:val="left" w:pos="540"/>
        </w:tabs>
        <w:ind w:left="360"/>
      </w:pPr>
      <w:r w:rsidRPr="0191E773">
        <w:t xml:space="preserve">The Cover/Signature Page, Executive Summary, required exhibits, mandatory partnership agreement letters, match commitment letters, and optional letters of support are not included in the 15-page limit, which applies only to the </w:t>
      </w:r>
      <w:r w:rsidR="12F7CDA4" w:rsidRPr="0191E773">
        <w:t>Project N</w:t>
      </w:r>
      <w:r w:rsidRPr="0191E773">
        <w:t>arrative</w:t>
      </w:r>
      <w:r w:rsidR="728CCF36" w:rsidRPr="0191E773">
        <w:t xml:space="preserve"> (Exhibit A).</w:t>
      </w:r>
    </w:p>
    <w:p w14:paraId="29DC4429" w14:textId="77777777" w:rsidR="00A62F57" w:rsidRDefault="00A62F57" w:rsidP="00A62F57">
      <w:pPr>
        <w:tabs>
          <w:tab w:val="left" w:pos="540"/>
        </w:tabs>
        <w:rPr>
          <w:rFonts w:ascii="Calibri" w:eastAsia="Arial" w:hAnsi="Calibri" w:cs="Calibri"/>
          <w:b/>
          <w:bCs/>
          <w:color w:val="000000" w:themeColor="text1"/>
        </w:rPr>
      </w:pPr>
    </w:p>
    <w:p w14:paraId="6F24D646" w14:textId="4F0D8AA5" w:rsidR="00427051" w:rsidRPr="00A62F57" w:rsidRDefault="001B5C24" w:rsidP="00A62F57">
      <w:pPr>
        <w:tabs>
          <w:tab w:val="left" w:pos="540"/>
        </w:tabs>
        <w:rPr>
          <w:rFonts w:ascii="Calibri" w:eastAsia="Arial" w:hAnsi="Calibri" w:cs="Calibri"/>
          <w:b/>
          <w:bCs/>
          <w:color w:val="000000" w:themeColor="text1"/>
        </w:rPr>
      </w:pPr>
      <w:r>
        <w:rPr>
          <w:rFonts w:ascii="Calibri" w:eastAsia="Arial" w:hAnsi="Calibri" w:cs="Calibri"/>
          <w:color w:val="000000" w:themeColor="text1"/>
        </w:rPr>
        <w:t>49</w:t>
      </w:r>
      <w:r w:rsidR="00C25C6F">
        <w:rPr>
          <w:rFonts w:ascii="Calibri" w:eastAsia="Arial" w:hAnsi="Calibri" w:cs="Calibri"/>
          <w:color w:val="000000" w:themeColor="text1"/>
        </w:rPr>
        <w:t>.</w:t>
      </w:r>
      <w:r>
        <w:rPr>
          <w:rFonts w:ascii="Calibri" w:eastAsia="Arial" w:hAnsi="Calibri" w:cs="Calibri"/>
          <w:color w:val="000000" w:themeColor="text1"/>
        </w:rPr>
        <w:t xml:space="preserve"> </w:t>
      </w:r>
      <w:r w:rsidR="00427051" w:rsidRPr="00A62F57">
        <w:rPr>
          <w:rFonts w:ascii="Calibri" w:eastAsia="Arial" w:hAnsi="Calibri" w:cs="Calibri"/>
          <w:b/>
          <w:bCs/>
          <w:color w:val="000000" w:themeColor="text1"/>
        </w:rPr>
        <w:t xml:space="preserve">What are the restrictions </w:t>
      </w:r>
      <w:r w:rsidR="00353EC7" w:rsidRPr="00A62F57">
        <w:rPr>
          <w:rFonts w:ascii="Calibri" w:eastAsia="Arial" w:hAnsi="Calibri" w:cs="Calibri"/>
          <w:b/>
          <w:bCs/>
          <w:color w:val="000000" w:themeColor="text1"/>
        </w:rPr>
        <w:t>in regard to</w:t>
      </w:r>
      <w:r w:rsidR="00427051" w:rsidRPr="00A62F57">
        <w:rPr>
          <w:rFonts w:ascii="Calibri" w:eastAsia="Arial" w:hAnsi="Calibri" w:cs="Calibri"/>
          <w:b/>
          <w:bCs/>
          <w:color w:val="000000" w:themeColor="text1"/>
        </w:rPr>
        <w:t xml:space="preserve"> supportive services?</w:t>
      </w:r>
    </w:p>
    <w:p w14:paraId="2BF8ABB8" w14:textId="77777777" w:rsidR="00427051" w:rsidRPr="001671B7" w:rsidRDefault="00427051" w:rsidP="001671B7">
      <w:pPr>
        <w:tabs>
          <w:tab w:val="left" w:pos="540"/>
        </w:tabs>
        <w:rPr>
          <w:rFonts w:ascii="Calibri" w:eastAsia="Arial" w:hAnsi="Calibri" w:cs="Calibri"/>
          <w:color w:val="000000" w:themeColor="text1"/>
          <w:lang w:val="en"/>
        </w:rPr>
      </w:pPr>
    </w:p>
    <w:p w14:paraId="02351133" w14:textId="5667E26B" w:rsidR="2E75642D" w:rsidRDefault="2E75642D" w:rsidP="00085491">
      <w:pPr>
        <w:pStyle w:val="ListParagraph"/>
        <w:tabs>
          <w:tab w:val="left" w:pos="540"/>
        </w:tabs>
        <w:ind w:left="360"/>
      </w:pPr>
      <w:r w:rsidRPr="0191E773">
        <w:t>The Opportunity Young Adult Career Pathway Program must provide participants with innovative wrap-around support and case management. Trauma-informed wrap-around support and case management services must be tailored to each participant's cultural, personal, educa</w:t>
      </w:r>
      <w:r w:rsidR="1E36970B" w:rsidRPr="0191E773">
        <w:t>tio</w:t>
      </w:r>
      <w:r w:rsidRPr="0191E773">
        <w:t>nal, and professional needs</w:t>
      </w:r>
      <w:r w:rsidR="3731949F" w:rsidRPr="0191E773">
        <w:t xml:space="preserve">. Supportive services can include but are not limited to childcare, mental health, health, financial literacy transportation, and other services to support individual needs. </w:t>
      </w:r>
    </w:p>
    <w:p w14:paraId="1A12AA6E" w14:textId="77777777" w:rsidR="00427051" w:rsidRPr="001671B7" w:rsidRDefault="00427051" w:rsidP="001671B7">
      <w:pPr>
        <w:tabs>
          <w:tab w:val="left" w:pos="540"/>
        </w:tabs>
        <w:rPr>
          <w:rFonts w:ascii="Calibri" w:eastAsia="Arial" w:hAnsi="Calibri" w:cs="Calibri"/>
          <w:color w:val="000000" w:themeColor="text1"/>
          <w:lang w:val="en"/>
        </w:rPr>
      </w:pPr>
    </w:p>
    <w:p w14:paraId="66ED4089" w14:textId="4642C184" w:rsidR="00427051" w:rsidRPr="00A62F57" w:rsidRDefault="001B5C24" w:rsidP="00085491">
      <w:pPr>
        <w:tabs>
          <w:tab w:val="left" w:pos="540"/>
        </w:tabs>
        <w:ind w:left="360" w:hanging="360"/>
        <w:rPr>
          <w:rFonts w:ascii="Calibri" w:eastAsia="Arial" w:hAnsi="Calibri" w:cs="Calibri"/>
          <w:b/>
          <w:bCs/>
          <w:color w:val="000000" w:themeColor="text1"/>
        </w:rPr>
      </w:pPr>
      <w:r>
        <w:rPr>
          <w:rFonts w:ascii="Calibri" w:eastAsia="Arial" w:hAnsi="Calibri" w:cs="Calibri"/>
          <w:color w:val="000000" w:themeColor="text1"/>
        </w:rPr>
        <w:t>50</w:t>
      </w:r>
      <w:r w:rsidR="00C25C6F">
        <w:rPr>
          <w:rFonts w:ascii="Calibri" w:eastAsia="Arial" w:hAnsi="Calibri" w:cs="Calibri"/>
          <w:color w:val="000000" w:themeColor="text1"/>
        </w:rPr>
        <w:t>.</w:t>
      </w:r>
      <w:r>
        <w:rPr>
          <w:rFonts w:ascii="Calibri" w:eastAsia="Arial" w:hAnsi="Calibri" w:cs="Calibri"/>
          <w:color w:val="000000" w:themeColor="text1"/>
        </w:rPr>
        <w:t xml:space="preserve"> </w:t>
      </w:r>
      <w:r w:rsidR="00427051" w:rsidRPr="00A62F57">
        <w:rPr>
          <w:rFonts w:ascii="Calibri" w:eastAsia="Arial" w:hAnsi="Calibri" w:cs="Calibri"/>
          <w:b/>
          <w:bCs/>
          <w:color w:val="000000" w:themeColor="text1"/>
        </w:rPr>
        <w:t xml:space="preserve">Is it possible for an applicant to make a compelling case for the IT </w:t>
      </w:r>
      <w:r w:rsidR="00353EC7" w:rsidRPr="00A62F57">
        <w:rPr>
          <w:rFonts w:ascii="Calibri" w:eastAsia="Arial" w:hAnsi="Calibri" w:cs="Calibri"/>
          <w:b/>
          <w:bCs/>
          <w:color w:val="000000" w:themeColor="text1"/>
        </w:rPr>
        <w:t>industry,</w:t>
      </w:r>
      <w:r w:rsidR="00427051" w:rsidRPr="00A62F57">
        <w:rPr>
          <w:rFonts w:ascii="Calibri" w:eastAsia="Arial" w:hAnsi="Calibri" w:cs="Calibri"/>
          <w:b/>
          <w:bCs/>
          <w:color w:val="000000" w:themeColor="text1"/>
        </w:rPr>
        <w:t xml:space="preserve"> which is needed for manufacturing, health care, etc.?</w:t>
      </w:r>
    </w:p>
    <w:p w14:paraId="5B4D9B6D" w14:textId="77777777" w:rsidR="00427051" w:rsidRPr="001671B7" w:rsidRDefault="00427051" w:rsidP="001671B7">
      <w:pPr>
        <w:tabs>
          <w:tab w:val="left" w:pos="540"/>
        </w:tabs>
        <w:rPr>
          <w:rFonts w:ascii="Calibri" w:eastAsia="Arial" w:hAnsi="Calibri" w:cs="Calibri"/>
          <w:color w:val="000000" w:themeColor="text1"/>
          <w:lang w:val="en"/>
        </w:rPr>
      </w:pPr>
    </w:p>
    <w:p w14:paraId="6FF440AB" w14:textId="579A2D75" w:rsidR="6431CBCE" w:rsidRDefault="6431CBCE" w:rsidP="00085491">
      <w:pPr>
        <w:pStyle w:val="ListParagraph"/>
        <w:tabs>
          <w:tab w:val="left" w:pos="540"/>
        </w:tabs>
        <w:ind w:left="360"/>
      </w:pPr>
      <w:r w:rsidRPr="0191E773">
        <w:rPr>
          <w:rFonts w:ascii="Calibri" w:eastAsia="Calibri" w:hAnsi="Calibri" w:cs="Calibri"/>
          <w:szCs w:val="24"/>
        </w:rPr>
        <w:t>Applicants should target sectors with quality jobs with strong projected demand and career advancement opportunities, such as Public, Agriculture, Infrastructure, Manufacturing, and Health. Applicants can target other sectors, such as IT, and</w:t>
      </w:r>
      <w:r w:rsidRPr="0191E773">
        <w:rPr>
          <w:rFonts w:ascii="Calibri" w:eastAsia="Calibri" w:hAnsi="Calibri" w:cs="Calibri"/>
          <w:szCs w:val="24"/>
          <w:lang w:val="en"/>
        </w:rPr>
        <w:t xml:space="preserve"> must m</w:t>
      </w:r>
      <w:r w:rsidRPr="0191E773">
        <w:rPr>
          <w:rFonts w:ascii="Calibri" w:eastAsia="Calibri" w:hAnsi="Calibri" w:cs="Calibri"/>
          <w:szCs w:val="24"/>
        </w:rPr>
        <w:t>ake a case for considering those sectors.</w:t>
      </w:r>
    </w:p>
    <w:p w14:paraId="49C68044" w14:textId="77777777" w:rsidR="00427051" w:rsidRPr="001671B7" w:rsidRDefault="00427051" w:rsidP="001671B7">
      <w:pPr>
        <w:tabs>
          <w:tab w:val="left" w:pos="540"/>
        </w:tabs>
        <w:rPr>
          <w:rFonts w:ascii="Calibri" w:eastAsia="Arial" w:hAnsi="Calibri" w:cs="Calibri"/>
          <w:color w:val="000000" w:themeColor="text1"/>
          <w:lang w:val="en"/>
        </w:rPr>
      </w:pPr>
    </w:p>
    <w:p w14:paraId="4B2C39C5" w14:textId="16A6AAA3" w:rsidR="00427051" w:rsidRPr="001B7308" w:rsidRDefault="001B5C24" w:rsidP="001B7308">
      <w:pPr>
        <w:tabs>
          <w:tab w:val="left" w:pos="540"/>
        </w:tabs>
        <w:rPr>
          <w:rFonts w:ascii="Calibri" w:eastAsia="Arial" w:hAnsi="Calibri" w:cs="Calibri"/>
          <w:b/>
          <w:bCs/>
          <w:color w:val="000000" w:themeColor="text1"/>
          <w:lang w:val="en"/>
        </w:rPr>
      </w:pPr>
      <w:r>
        <w:rPr>
          <w:rFonts w:ascii="Calibri" w:eastAsia="Arial" w:hAnsi="Calibri" w:cs="Calibri"/>
          <w:color w:val="000000" w:themeColor="text1"/>
          <w:lang w:val="en"/>
        </w:rPr>
        <w:t>51</w:t>
      </w:r>
      <w:r w:rsidR="00C25C6F">
        <w:rPr>
          <w:rFonts w:ascii="Calibri" w:eastAsia="Arial" w:hAnsi="Calibri" w:cs="Calibri"/>
          <w:color w:val="000000" w:themeColor="text1"/>
          <w:lang w:val="en"/>
        </w:rPr>
        <w:t>.</w:t>
      </w:r>
      <w:r>
        <w:rPr>
          <w:rFonts w:ascii="Calibri" w:eastAsia="Arial" w:hAnsi="Calibri" w:cs="Calibri"/>
          <w:color w:val="000000" w:themeColor="text1"/>
          <w:lang w:val="en"/>
        </w:rPr>
        <w:t xml:space="preserve"> </w:t>
      </w:r>
      <w:r w:rsidR="00427051" w:rsidRPr="001B7308">
        <w:rPr>
          <w:rFonts w:ascii="Calibri" w:eastAsia="Arial" w:hAnsi="Calibri" w:cs="Calibri"/>
          <w:b/>
          <w:bCs/>
          <w:color w:val="000000" w:themeColor="text1"/>
          <w:lang w:val="en"/>
        </w:rPr>
        <w:t>Can an applicant partner with more than one lead organization?</w:t>
      </w:r>
    </w:p>
    <w:p w14:paraId="5D74924B" w14:textId="77777777" w:rsidR="00427051" w:rsidRDefault="00427051" w:rsidP="001671B7">
      <w:pPr>
        <w:tabs>
          <w:tab w:val="left" w:pos="540"/>
        </w:tabs>
        <w:rPr>
          <w:rFonts w:ascii="Calibri" w:eastAsia="Arial" w:hAnsi="Calibri" w:cs="Calibri"/>
          <w:color w:val="000000" w:themeColor="text1"/>
          <w:lang w:val="en"/>
        </w:rPr>
      </w:pPr>
    </w:p>
    <w:p w14:paraId="217DCC85" w14:textId="71A1D203" w:rsidR="00427051" w:rsidRPr="00EE4DF1" w:rsidRDefault="001B5C24" w:rsidP="00085491">
      <w:pPr>
        <w:tabs>
          <w:tab w:val="left" w:pos="540"/>
        </w:tabs>
        <w:ind w:left="180"/>
        <w:rPr>
          <w:rFonts w:ascii="Calibri" w:eastAsia="Arial" w:hAnsi="Calibri" w:cs="Calibri"/>
          <w:color w:val="FF0000"/>
          <w:lang w:val="en"/>
        </w:rPr>
      </w:pPr>
      <w:r>
        <w:rPr>
          <w:rFonts w:ascii="Calibri" w:eastAsia="Arial" w:hAnsi="Calibri" w:cs="Calibri"/>
          <w:lang w:val="en"/>
        </w:rPr>
        <w:t xml:space="preserve">    </w:t>
      </w:r>
      <w:r w:rsidR="00EE4DF1" w:rsidRPr="005D22BE">
        <w:rPr>
          <w:rFonts w:ascii="Calibri" w:eastAsia="Arial" w:hAnsi="Calibri" w:cs="Calibri"/>
          <w:lang w:val="en"/>
        </w:rPr>
        <w:t>Yes</w:t>
      </w:r>
      <w:r w:rsidR="00331B5A">
        <w:rPr>
          <w:rFonts w:ascii="Calibri" w:eastAsia="Arial" w:hAnsi="Calibri" w:cs="Calibri"/>
          <w:lang w:val="en"/>
        </w:rPr>
        <w:t>, an organization can partner with more than one lead organization</w:t>
      </w:r>
      <w:r w:rsidR="00EE4DF1" w:rsidRPr="005D22BE">
        <w:rPr>
          <w:rFonts w:ascii="Calibri" w:eastAsia="Arial" w:hAnsi="Calibri" w:cs="Calibri"/>
          <w:lang w:val="en"/>
        </w:rPr>
        <w:t>.</w:t>
      </w:r>
    </w:p>
    <w:p w14:paraId="14CB9DD7" w14:textId="77777777" w:rsidR="00427051" w:rsidRDefault="00427051" w:rsidP="001671B7">
      <w:pPr>
        <w:tabs>
          <w:tab w:val="left" w:pos="540"/>
        </w:tabs>
        <w:rPr>
          <w:rFonts w:ascii="Calibri" w:eastAsia="Arial" w:hAnsi="Calibri" w:cs="Calibri"/>
          <w:color w:val="000000" w:themeColor="text1"/>
          <w:lang w:val="en"/>
        </w:rPr>
      </w:pPr>
    </w:p>
    <w:p w14:paraId="6DED1782" w14:textId="32CDA7AF" w:rsidR="00427051" w:rsidRPr="001B7308" w:rsidRDefault="001B5C24" w:rsidP="00085491">
      <w:pPr>
        <w:tabs>
          <w:tab w:val="left" w:pos="540"/>
        </w:tabs>
        <w:ind w:left="360" w:hanging="360"/>
        <w:rPr>
          <w:rFonts w:ascii="Calibri" w:eastAsia="Arial" w:hAnsi="Calibri" w:cs="Calibri"/>
          <w:b/>
          <w:bCs/>
          <w:color w:val="000000" w:themeColor="text1"/>
        </w:rPr>
      </w:pPr>
      <w:r>
        <w:rPr>
          <w:rFonts w:ascii="Calibri" w:eastAsia="Arial" w:hAnsi="Calibri" w:cs="Calibri"/>
          <w:color w:val="000000" w:themeColor="text1"/>
        </w:rPr>
        <w:t>52</w:t>
      </w:r>
      <w:r w:rsidR="00C25C6F">
        <w:rPr>
          <w:rFonts w:ascii="Calibri" w:eastAsia="Arial" w:hAnsi="Calibri" w:cs="Calibri"/>
          <w:color w:val="000000" w:themeColor="text1"/>
        </w:rPr>
        <w:t>.</w:t>
      </w:r>
      <w:r>
        <w:rPr>
          <w:rFonts w:ascii="Calibri" w:eastAsia="Arial" w:hAnsi="Calibri" w:cs="Calibri"/>
          <w:color w:val="000000" w:themeColor="text1"/>
        </w:rPr>
        <w:t xml:space="preserve"> </w:t>
      </w:r>
      <w:r w:rsidR="00427051" w:rsidRPr="001B7308">
        <w:rPr>
          <w:rFonts w:ascii="Calibri" w:eastAsia="Arial" w:hAnsi="Calibri" w:cs="Calibri"/>
          <w:b/>
          <w:bCs/>
          <w:color w:val="000000" w:themeColor="text1"/>
        </w:rPr>
        <w:t>What are the performance outcomes metrics as well as rates and enrollment numbers required? Is</w:t>
      </w:r>
      <w:r w:rsidR="00427051" w:rsidRPr="001B7308">
        <w:rPr>
          <w:rFonts w:ascii="Calibri" w:eastAsia="Arial" w:hAnsi="Calibri" w:cs="Calibri"/>
          <w:color w:val="000000" w:themeColor="text1"/>
        </w:rPr>
        <w:t xml:space="preserve"> </w:t>
      </w:r>
      <w:r w:rsidR="00427051" w:rsidRPr="001B7308">
        <w:rPr>
          <w:rFonts w:ascii="Calibri" w:eastAsia="Arial" w:hAnsi="Calibri" w:cs="Calibri"/>
          <w:b/>
          <w:bCs/>
          <w:color w:val="000000" w:themeColor="text1"/>
        </w:rPr>
        <w:t>there a per-participant cost?</w:t>
      </w:r>
    </w:p>
    <w:p w14:paraId="098B0EB0" w14:textId="77777777" w:rsidR="00427051" w:rsidRPr="001671B7" w:rsidRDefault="00427051" w:rsidP="001671B7">
      <w:pPr>
        <w:tabs>
          <w:tab w:val="left" w:pos="540"/>
        </w:tabs>
        <w:rPr>
          <w:rFonts w:ascii="Calibri" w:eastAsia="Arial" w:hAnsi="Calibri" w:cs="Calibri"/>
          <w:color w:val="000000" w:themeColor="text1"/>
          <w:lang w:val="en"/>
        </w:rPr>
      </w:pPr>
    </w:p>
    <w:p w14:paraId="13514ECB" w14:textId="261C67AF" w:rsidR="00EE4DF1" w:rsidRPr="003E1224" w:rsidRDefault="696CC9C9" w:rsidP="00085491">
      <w:pPr>
        <w:pStyle w:val="ListParagraph"/>
        <w:tabs>
          <w:tab w:val="left" w:pos="540"/>
        </w:tabs>
        <w:ind w:left="360"/>
      </w:pPr>
      <w:r w:rsidRPr="0191E773">
        <w:t xml:space="preserve">The applicant is encouraged to meet or exceed the state-negotiated performance goals in delivering on the measurable employment and quality job outcomes. </w:t>
      </w:r>
      <w:r w:rsidR="40440C5C" w:rsidRPr="0191E773">
        <w:t>To meet the primary goals of the OYACPP and to improve OYA employment outcomes, grantees will need to set performance goals for the following outcomes</w:t>
      </w:r>
      <w:r w:rsidR="4B7EFBCE" w:rsidRPr="0191E773">
        <w:t xml:space="preserve">: Total </w:t>
      </w:r>
      <w:r w:rsidR="0DF1F980" w:rsidRPr="0191E773">
        <w:t>p</w:t>
      </w:r>
      <w:r w:rsidR="4B7EFBCE" w:rsidRPr="0191E773">
        <w:t>articipants to be served, number to be enrolled in certified training and WBL</w:t>
      </w:r>
      <w:r w:rsidR="43B298D8" w:rsidRPr="0191E773">
        <w:t>, total participants exited,</w:t>
      </w:r>
      <w:r w:rsidR="0FAC41F9" w:rsidRPr="0191E773">
        <w:t xml:space="preserve"> employment rate 2</w:t>
      </w:r>
      <w:r w:rsidR="0FAC41F9" w:rsidRPr="0191E773">
        <w:rPr>
          <w:vertAlign w:val="superscript"/>
        </w:rPr>
        <w:t>nd</w:t>
      </w:r>
      <w:r w:rsidR="0FAC41F9" w:rsidRPr="0191E773">
        <w:t xml:space="preserve"> &amp; </w:t>
      </w:r>
      <w:r w:rsidR="09844AC3" w:rsidRPr="0191E773">
        <w:t>4</w:t>
      </w:r>
      <w:r w:rsidR="09844AC3" w:rsidRPr="0191E773">
        <w:rPr>
          <w:vertAlign w:val="superscript"/>
        </w:rPr>
        <w:t>th</w:t>
      </w:r>
      <w:r w:rsidR="09844AC3" w:rsidRPr="0191E773">
        <w:t xml:space="preserve"> </w:t>
      </w:r>
      <w:r w:rsidR="0FAC41F9" w:rsidRPr="0191E773">
        <w:t>quarter after exit, creden</w:t>
      </w:r>
      <w:r w:rsidR="67F894AF" w:rsidRPr="0191E773">
        <w:t>ti</w:t>
      </w:r>
      <w:r w:rsidR="4B2FA4F3" w:rsidRPr="0191E773">
        <w:t>a</w:t>
      </w:r>
      <w:r w:rsidR="0FAC41F9" w:rsidRPr="0191E773">
        <w:t xml:space="preserve">l </w:t>
      </w:r>
      <w:r w:rsidR="32610D7C" w:rsidRPr="0191E773">
        <w:t>a</w:t>
      </w:r>
      <w:r w:rsidR="29970466" w:rsidRPr="0191E773">
        <w:t>t</w:t>
      </w:r>
      <w:r w:rsidR="0FAC41F9" w:rsidRPr="0191E773">
        <w:t xml:space="preserve">tainment within 4 </w:t>
      </w:r>
      <w:r w:rsidR="2803DC99" w:rsidRPr="0191E773">
        <w:t>q</w:t>
      </w:r>
      <w:r w:rsidR="0FAC41F9" w:rsidRPr="0191E773">
        <w:t xml:space="preserve">uarters </w:t>
      </w:r>
      <w:r w:rsidR="19F5AAAD" w:rsidRPr="0191E773">
        <w:t>aft</w:t>
      </w:r>
      <w:r w:rsidR="7F3A0370" w:rsidRPr="0191E773">
        <w:t>e</w:t>
      </w:r>
      <w:r w:rsidR="0FAC41F9" w:rsidRPr="0191E773">
        <w:t xml:space="preserve">r </w:t>
      </w:r>
      <w:r w:rsidR="0A17995C" w:rsidRPr="0191E773">
        <w:t>e</w:t>
      </w:r>
      <w:r w:rsidR="0FAC41F9" w:rsidRPr="0191E773">
        <w:t>xit</w:t>
      </w:r>
      <w:r w:rsidR="4608CFD9" w:rsidRPr="0191E773">
        <w:t>,</w:t>
      </w:r>
      <w:r w:rsidR="48CDC6FA" w:rsidRPr="0191E773">
        <w:t xml:space="preserve"> median earnings 2</w:t>
      </w:r>
      <w:r w:rsidR="11A7585B" w:rsidRPr="0191E773">
        <w:rPr>
          <w:vertAlign w:val="superscript"/>
        </w:rPr>
        <w:t>nd</w:t>
      </w:r>
      <w:r w:rsidR="11A7585B" w:rsidRPr="0191E773">
        <w:t xml:space="preserve"> </w:t>
      </w:r>
      <w:r w:rsidR="48CDC6FA" w:rsidRPr="0191E773">
        <w:t>quarter after exit</w:t>
      </w:r>
      <w:r w:rsidR="2E7BC467" w:rsidRPr="0191E773">
        <w:t xml:space="preserve">, number of participants who receive benefits through employment, </w:t>
      </w:r>
      <w:r w:rsidR="410CF6A8" w:rsidRPr="0191E773">
        <w:t xml:space="preserve">number of participants who transition into the next job at a higher wage than the previous job or hourly wages that meet or exceed the MIT living wage standard for local regions, </w:t>
      </w:r>
      <w:r w:rsidR="28CFC1AF" w:rsidRPr="0191E773">
        <w:t>number of participants who transitioned to higher education or enrolled in credential programs</w:t>
      </w:r>
      <w:r w:rsidR="1BCD2F02" w:rsidRPr="0191E773">
        <w:t>, and the number of participants who achieved credential attainment during the grant period</w:t>
      </w:r>
      <w:r w:rsidR="28CFC1AF" w:rsidRPr="0191E773">
        <w:t>.</w:t>
      </w:r>
      <w:r w:rsidR="5885DC34" w:rsidRPr="0191E773">
        <w:t xml:space="preserve"> The average cost per participant may vary based on geographic location, target population, service type, and intensity.</w:t>
      </w:r>
    </w:p>
    <w:p w14:paraId="4C50E009" w14:textId="77777777" w:rsidR="00427051" w:rsidRPr="001671B7" w:rsidRDefault="00427051" w:rsidP="001671B7">
      <w:pPr>
        <w:tabs>
          <w:tab w:val="left" w:pos="540"/>
        </w:tabs>
        <w:rPr>
          <w:rFonts w:ascii="Calibri" w:eastAsia="Arial" w:hAnsi="Calibri" w:cs="Calibri"/>
          <w:color w:val="000000" w:themeColor="text1"/>
          <w:lang w:val="en"/>
        </w:rPr>
      </w:pPr>
    </w:p>
    <w:p w14:paraId="103C08E2" w14:textId="55AB9706" w:rsidR="00427051" w:rsidRPr="00FE79A3" w:rsidRDefault="001B5C24" w:rsidP="00FE79A3">
      <w:pPr>
        <w:tabs>
          <w:tab w:val="left" w:pos="540"/>
        </w:tabs>
        <w:rPr>
          <w:rFonts w:ascii="Calibri" w:eastAsia="Arial" w:hAnsi="Calibri" w:cs="Calibri"/>
          <w:b/>
          <w:bCs/>
          <w:color w:val="000000" w:themeColor="text1"/>
          <w:lang w:val="en"/>
        </w:rPr>
      </w:pPr>
      <w:r>
        <w:rPr>
          <w:rFonts w:ascii="Calibri" w:eastAsia="Arial" w:hAnsi="Calibri" w:cs="Calibri"/>
          <w:color w:val="000000" w:themeColor="text1"/>
          <w:lang w:val="en"/>
        </w:rPr>
        <w:t>53</w:t>
      </w:r>
      <w:r w:rsidR="00C25C6F">
        <w:rPr>
          <w:rFonts w:ascii="Calibri" w:eastAsia="Arial" w:hAnsi="Calibri" w:cs="Calibri"/>
          <w:color w:val="000000" w:themeColor="text1"/>
          <w:lang w:val="en"/>
        </w:rPr>
        <w:t>.</w:t>
      </w:r>
      <w:r>
        <w:rPr>
          <w:rFonts w:ascii="Calibri" w:eastAsia="Arial" w:hAnsi="Calibri" w:cs="Calibri"/>
          <w:color w:val="000000" w:themeColor="text1"/>
          <w:lang w:val="en"/>
        </w:rPr>
        <w:t xml:space="preserve"> </w:t>
      </w:r>
      <w:r w:rsidR="00427051" w:rsidRPr="00FE79A3">
        <w:rPr>
          <w:rFonts w:ascii="Calibri" w:eastAsia="Arial" w:hAnsi="Calibri" w:cs="Calibri"/>
          <w:b/>
          <w:bCs/>
          <w:color w:val="000000" w:themeColor="text1"/>
          <w:lang w:val="en"/>
        </w:rPr>
        <w:t>Will this grant be offered on a yearly/quarterly basis?</w:t>
      </w:r>
    </w:p>
    <w:p w14:paraId="6D388BCE" w14:textId="77777777" w:rsidR="00427051" w:rsidRPr="001671B7" w:rsidRDefault="00427051" w:rsidP="001671B7">
      <w:pPr>
        <w:tabs>
          <w:tab w:val="left" w:pos="540"/>
        </w:tabs>
        <w:rPr>
          <w:rFonts w:ascii="Calibri" w:eastAsia="Arial" w:hAnsi="Calibri" w:cs="Calibri"/>
          <w:color w:val="000000" w:themeColor="text1"/>
          <w:lang w:val="en"/>
        </w:rPr>
      </w:pPr>
    </w:p>
    <w:p w14:paraId="052E44CC" w14:textId="602A1D58" w:rsidR="6E962765" w:rsidRDefault="001B5C24" w:rsidP="00085491">
      <w:pPr>
        <w:pStyle w:val="ListParagraph"/>
        <w:tabs>
          <w:tab w:val="left" w:pos="540"/>
        </w:tabs>
        <w:spacing w:line="259" w:lineRule="auto"/>
        <w:ind w:left="360" w:hanging="180"/>
      </w:pPr>
      <w:r>
        <w:rPr>
          <w:rFonts w:ascii="Calibri" w:eastAsia="Arial" w:hAnsi="Calibri" w:cs="Calibri"/>
          <w:color w:val="000000" w:themeColor="text1"/>
        </w:rPr>
        <w:t xml:space="preserve">    </w:t>
      </w:r>
      <w:r w:rsidR="6E962765" w:rsidRPr="0191E773">
        <w:rPr>
          <w:rFonts w:ascii="Calibri" w:eastAsia="Arial" w:hAnsi="Calibri" w:cs="Calibri"/>
          <w:color w:val="000000" w:themeColor="text1"/>
        </w:rPr>
        <w:t>At this time, the EDD is not able to confirm whether any additional rounds of OYACPP funding will be available. Please continue to monitor the EDD website for future funding opportunities.</w:t>
      </w:r>
    </w:p>
    <w:p w14:paraId="4D7EE52D" w14:textId="77777777" w:rsidR="00427051" w:rsidRPr="001671B7" w:rsidRDefault="00427051" w:rsidP="001671B7">
      <w:pPr>
        <w:tabs>
          <w:tab w:val="left" w:pos="540"/>
        </w:tabs>
        <w:ind w:left="-360"/>
        <w:rPr>
          <w:rFonts w:ascii="Calibri" w:eastAsia="Arial" w:hAnsi="Calibri" w:cs="Calibri"/>
          <w:color w:val="000000" w:themeColor="text1"/>
          <w:lang w:val="en"/>
        </w:rPr>
      </w:pPr>
    </w:p>
    <w:p w14:paraId="00D68416" w14:textId="5617447F" w:rsidR="00427051" w:rsidRPr="00FE79A3" w:rsidRDefault="001B5C24" w:rsidP="00085491">
      <w:pPr>
        <w:tabs>
          <w:tab w:val="left" w:pos="540"/>
        </w:tabs>
        <w:ind w:left="360" w:hanging="360"/>
        <w:rPr>
          <w:rFonts w:ascii="Calibri" w:eastAsia="Arial" w:hAnsi="Calibri" w:cs="Calibri"/>
          <w:b/>
          <w:bCs/>
          <w:color w:val="000000" w:themeColor="text1"/>
        </w:rPr>
      </w:pPr>
      <w:r>
        <w:rPr>
          <w:rFonts w:ascii="Calibri" w:eastAsia="Arial" w:hAnsi="Calibri" w:cs="Calibri"/>
          <w:color w:val="000000" w:themeColor="text1"/>
        </w:rPr>
        <w:t>54</w:t>
      </w:r>
      <w:r w:rsidR="00C25C6F">
        <w:rPr>
          <w:rFonts w:ascii="Calibri" w:eastAsia="Arial" w:hAnsi="Calibri" w:cs="Calibri"/>
          <w:color w:val="000000" w:themeColor="text1"/>
        </w:rPr>
        <w:t>.</w:t>
      </w:r>
      <w:r>
        <w:rPr>
          <w:rFonts w:ascii="Calibri" w:eastAsia="Arial" w:hAnsi="Calibri" w:cs="Calibri"/>
          <w:color w:val="000000" w:themeColor="text1"/>
        </w:rPr>
        <w:t xml:space="preserve"> </w:t>
      </w:r>
      <w:r w:rsidR="00427051" w:rsidRPr="00FE79A3">
        <w:rPr>
          <w:rFonts w:ascii="Calibri" w:eastAsia="Arial" w:hAnsi="Calibri" w:cs="Calibri"/>
          <w:b/>
          <w:bCs/>
          <w:color w:val="000000" w:themeColor="text1"/>
        </w:rPr>
        <w:t>Are applicants required to select jobs that require a credential? Attainment of credentials is a required performance goal, correct?</w:t>
      </w:r>
    </w:p>
    <w:p w14:paraId="205E6CF6" w14:textId="77777777" w:rsidR="00427051" w:rsidRPr="001671B7" w:rsidRDefault="00427051" w:rsidP="001671B7">
      <w:pPr>
        <w:tabs>
          <w:tab w:val="left" w:pos="540"/>
        </w:tabs>
        <w:rPr>
          <w:rFonts w:ascii="Calibri" w:eastAsia="Arial" w:hAnsi="Calibri" w:cs="Calibri"/>
          <w:color w:val="000000" w:themeColor="text1"/>
          <w:lang w:val="en"/>
        </w:rPr>
      </w:pPr>
    </w:p>
    <w:p w14:paraId="363C4A10" w14:textId="77777777" w:rsidR="003E1224" w:rsidRDefault="003E1224" w:rsidP="00085491">
      <w:pPr>
        <w:pStyle w:val="ListParagraph"/>
        <w:tabs>
          <w:tab w:val="left" w:pos="540"/>
        </w:tabs>
        <w:ind w:left="360"/>
        <w:rPr>
          <w:rFonts w:ascii="Calibri" w:eastAsia="Arial" w:hAnsi="Calibri" w:cs="Calibri"/>
          <w:color w:val="000000" w:themeColor="text1"/>
          <w:lang w:val="en"/>
        </w:rPr>
      </w:pPr>
      <w:r w:rsidRPr="003E1224">
        <w:rPr>
          <w:rFonts w:ascii="Calibri" w:eastAsia="Arial" w:hAnsi="Calibri" w:cs="Calibri"/>
          <w:color w:val="000000" w:themeColor="text1"/>
          <w:lang w:val="en"/>
        </w:rPr>
        <w:t xml:space="preserve">Competitive projects should focus on the unique needs of the OYA to achieve program outcomes. Program design can incorporate cohort-based training, apprenticeships, occupational skills training, and much more. The applicant is encouraged to meet or exceed the state-negotiated performance goals in delivering on the measurable employment and quality job outcomes outlined in the SFP. Applicants should tailor performance goals to the project needs and regional objectives. The project narrative explanation of performance goals must reflect a data-driven local/regional economic analysis that supports the proposed project performance goals concerning service delivery, target populations, and skill attainment. </w:t>
      </w:r>
    </w:p>
    <w:p w14:paraId="34139F33" w14:textId="3F58DB39" w:rsidR="1B52A3FE" w:rsidRPr="003E1224" w:rsidRDefault="003E1224" w:rsidP="00085491">
      <w:pPr>
        <w:pStyle w:val="ListParagraph"/>
        <w:tabs>
          <w:tab w:val="left" w:pos="540"/>
        </w:tabs>
        <w:ind w:left="360"/>
        <w:rPr>
          <w:rFonts w:ascii="Calibri" w:eastAsia="Arial" w:hAnsi="Calibri" w:cs="Calibri"/>
          <w:i/>
          <w:iCs/>
          <w:color w:val="000000" w:themeColor="text1"/>
          <w:lang w:val="en"/>
        </w:rPr>
      </w:pPr>
      <w:r w:rsidRPr="003E1224">
        <w:rPr>
          <w:rFonts w:ascii="Calibri" w:eastAsia="Arial" w:hAnsi="Calibri" w:cs="Calibri"/>
          <w:i/>
          <w:iCs/>
          <w:color w:val="000000" w:themeColor="text1"/>
          <w:lang w:val="en"/>
        </w:rPr>
        <w:t>For additional information, see Section III of the SFP, Application and Program Requirements.</w:t>
      </w:r>
    </w:p>
    <w:p w14:paraId="4F755CC9" w14:textId="77777777" w:rsidR="00FE79A3" w:rsidRDefault="00FE79A3" w:rsidP="00FE79A3">
      <w:pPr>
        <w:tabs>
          <w:tab w:val="left" w:pos="540"/>
        </w:tabs>
        <w:rPr>
          <w:rFonts w:ascii="Calibri" w:eastAsia="Arial" w:hAnsi="Calibri" w:cs="Calibri"/>
          <w:b/>
          <w:bCs/>
          <w:color w:val="000000" w:themeColor="text1"/>
        </w:rPr>
      </w:pPr>
    </w:p>
    <w:p w14:paraId="7867E9E4" w14:textId="76AFECAB" w:rsidR="00427051" w:rsidRPr="00FE79A3" w:rsidRDefault="001B5C24" w:rsidP="00FE79A3">
      <w:pPr>
        <w:tabs>
          <w:tab w:val="left" w:pos="540"/>
        </w:tabs>
        <w:rPr>
          <w:rFonts w:ascii="Calibri" w:eastAsia="Arial" w:hAnsi="Calibri" w:cs="Calibri"/>
          <w:b/>
          <w:bCs/>
          <w:color w:val="000000" w:themeColor="text1"/>
        </w:rPr>
      </w:pPr>
      <w:r>
        <w:rPr>
          <w:rFonts w:ascii="Calibri" w:eastAsia="Arial" w:hAnsi="Calibri" w:cs="Calibri"/>
          <w:color w:val="000000" w:themeColor="text1"/>
        </w:rPr>
        <w:t>55</w:t>
      </w:r>
      <w:r w:rsidR="00C25C6F">
        <w:rPr>
          <w:rFonts w:ascii="Calibri" w:eastAsia="Arial" w:hAnsi="Calibri" w:cs="Calibri"/>
          <w:color w:val="000000" w:themeColor="text1"/>
        </w:rPr>
        <w:t>.</w:t>
      </w:r>
      <w:r>
        <w:rPr>
          <w:rFonts w:ascii="Calibri" w:eastAsia="Arial" w:hAnsi="Calibri" w:cs="Calibri"/>
          <w:color w:val="000000" w:themeColor="text1"/>
        </w:rPr>
        <w:t xml:space="preserve"> </w:t>
      </w:r>
      <w:r w:rsidR="00427051" w:rsidRPr="00FE79A3">
        <w:rPr>
          <w:rFonts w:ascii="Calibri" w:eastAsia="Arial" w:hAnsi="Calibri" w:cs="Calibri"/>
          <w:b/>
          <w:bCs/>
          <w:color w:val="000000" w:themeColor="text1"/>
        </w:rPr>
        <w:t>Is a Franchise Tax Board letter of nonprofit status required?</w:t>
      </w:r>
    </w:p>
    <w:p w14:paraId="6517984B" w14:textId="77777777" w:rsidR="00427051" w:rsidRPr="001671B7" w:rsidRDefault="00427051" w:rsidP="001671B7">
      <w:pPr>
        <w:tabs>
          <w:tab w:val="left" w:pos="540"/>
        </w:tabs>
        <w:rPr>
          <w:rFonts w:ascii="Calibri" w:eastAsia="Arial" w:hAnsi="Calibri" w:cs="Calibri"/>
          <w:color w:val="000000" w:themeColor="text1"/>
          <w:lang w:val="en"/>
        </w:rPr>
      </w:pPr>
    </w:p>
    <w:p w14:paraId="51165B99" w14:textId="63EBDD4F" w:rsidR="46ADD2D2" w:rsidRDefault="001B5C24" w:rsidP="00085491">
      <w:pPr>
        <w:pStyle w:val="ListParagraph"/>
        <w:tabs>
          <w:tab w:val="left" w:pos="540"/>
        </w:tabs>
        <w:spacing w:line="259" w:lineRule="auto"/>
        <w:ind w:left="270"/>
      </w:pPr>
      <w:r>
        <w:rPr>
          <w:rFonts w:ascii="Calibri" w:eastAsia="Arial" w:hAnsi="Calibri" w:cs="Calibri"/>
          <w:color w:val="000000" w:themeColor="text1"/>
        </w:rPr>
        <w:t xml:space="preserve">  </w:t>
      </w:r>
      <w:r w:rsidR="46ADD2D2" w:rsidRPr="0191E773">
        <w:rPr>
          <w:rFonts w:ascii="Calibri" w:eastAsia="Arial" w:hAnsi="Calibri" w:cs="Calibri"/>
          <w:color w:val="000000" w:themeColor="text1"/>
        </w:rPr>
        <w:t xml:space="preserve">The applicant is not required </w:t>
      </w:r>
      <w:r w:rsidR="46ADD2D2" w:rsidRPr="0191E773">
        <w:rPr>
          <w:rFonts w:ascii="Calibri" w:eastAsia="Arial" w:hAnsi="Calibri" w:cs="Calibri"/>
          <w:color w:val="000000" w:themeColor="text1"/>
          <w:lang w:val="en"/>
        </w:rPr>
        <w:t>to submit a letter of nonprofit status from the Franchise Tax Board.</w:t>
      </w:r>
    </w:p>
    <w:p w14:paraId="077D6D87" w14:textId="77777777" w:rsidR="00427051" w:rsidRPr="001671B7" w:rsidRDefault="00427051" w:rsidP="001671B7">
      <w:pPr>
        <w:tabs>
          <w:tab w:val="left" w:pos="540"/>
        </w:tabs>
        <w:rPr>
          <w:rFonts w:ascii="Calibri" w:eastAsia="Arial" w:hAnsi="Calibri" w:cs="Calibri"/>
          <w:color w:val="000000" w:themeColor="text1"/>
          <w:lang w:val="en"/>
        </w:rPr>
      </w:pPr>
    </w:p>
    <w:p w14:paraId="7557CF18" w14:textId="614A33BE" w:rsidR="00427051" w:rsidRPr="00FE79A3" w:rsidRDefault="001B5C24" w:rsidP="00085491">
      <w:pPr>
        <w:tabs>
          <w:tab w:val="left" w:pos="540"/>
        </w:tabs>
        <w:ind w:left="360" w:hanging="360"/>
        <w:rPr>
          <w:rFonts w:ascii="Calibri" w:eastAsia="Arial" w:hAnsi="Calibri" w:cs="Calibri"/>
          <w:b/>
          <w:bCs/>
          <w:color w:val="000000" w:themeColor="text1"/>
        </w:rPr>
      </w:pPr>
      <w:r>
        <w:rPr>
          <w:rFonts w:ascii="Calibri" w:eastAsia="Arial" w:hAnsi="Calibri" w:cs="Calibri"/>
          <w:color w:val="000000" w:themeColor="text1"/>
        </w:rPr>
        <w:t>56</w:t>
      </w:r>
      <w:r w:rsidR="00C25C6F">
        <w:rPr>
          <w:rFonts w:ascii="Calibri" w:eastAsia="Arial" w:hAnsi="Calibri" w:cs="Calibri"/>
          <w:color w:val="000000" w:themeColor="text1"/>
        </w:rPr>
        <w:t>.</w:t>
      </w:r>
      <w:r>
        <w:rPr>
          <w:rFonts w:ascii="Calibri" w:eastAsia="Arial" w:hAnsi="Calibri" w:cs="Calibri"/>
          <w:color w:val="000000" w:themeColor="text1"/>
        </w:rPr>
        <w:t xml:space="preserve"> </w:t>
      </w:r>
      <w:r w:rsidR="00427051" w:rsidRPr="00FE79A3">
        <w:rPr>
          <w:rFonts w:ascii="Calibri" w:eastAsia="Arial" w:hAnsi="Calibri" w:cs="Calibri"/>
          <w:b/>
          <w:bCs/>
          <w:color w:val="000000" w:themeColor="text1"/>
        </w:rPr>
        <w:t>If an organization is registered with SAM, but a role has not been assigned yet and is still pending, is there any further action required?</w:t>
      </w:r>
    </w:p>
    <w:p w14:paraId="5B496DCF" w14:textId="77777777" w:rsidR="00427051" w:rsidRPr="001671B7" w:rsidRDefault="00427051" w:rsidP="001671B7">
      <w:pPr>
        <w:tabs>
          <w:tab w:val="left" w:pos="540"/>
        </w:tabs>
        <w:rPr>
          <w:rFonts w:ascii="Calibri" w:eastAsia="Arial" w:hAnsi="Calibri" w:cs="Calibri"/>
          <w:color w:val="000000" w:themeColor="text1"/>
          <w:lang w:val="en"/>
        </w:rPr>
      </w:pPr>
    </w:p>
    <w:p w14:paraId="74BBA8C1" w14:textId="251B14E4" w:rsidR="00427051" w:rsidRDefault="001B5C24" w:rsidP="00085491">
      <w:pPr>
        <w:pStyle w:val="ListParagraph"/>
        <w:tabs>
          <w:tab w:val="left" w:pos="540"/>
        </w:tabs>
        <w:ind w:left="360" w:hanging="90"/>
      </w:pPr>
      <w:r>
        <w:t xml:space="preserve">  </w:t>
      </w:r>
      <w:r w:rsidR="7CA2A027" w:rsidRPr="0191E773">
        <w:t>It is the applicant’s responsibility to have all informa</w:t>
      </w:r>
      <w:r w:rsidR="5E3F1EE8" w:rsidRPr="0191E773">
        <w:t>ti</w:t>
      </w:r>
      <w:r w:rsidR="7CA2A027" w:rsidRPr="0191E773">
        <w:t>on up to date and accessible through the SAM before applying.</w:t>
      </w:r>
    </w:p>
    <w:p w14:paraId="254CAEC9" w14:textId="77777777" w:rsidR="00427051" w:rsidRPr="001671B7" w:rsidRDefault="00427051" w:rsidP="001671B7">
      <w:pPr>
        <w:tabs>
          <w:tab w:val="left" w:pos="540"/>
        </w:tabs>
        <w:rPr>
          <w:rFonts w:ascii="Calibri" w:eastAsia="Arial" w:hAnsi="Calibri" w:cs="Calibri"/>
          <w:color w:val="000000" w:themeColor="text1"/>
          <w:lang w:val="en"/>
        </w:rPr>
      </w:pPr>
    </w:p>
    <w:p w14:paraId="73BAC01B" w14:textId="0B554524" w:rsidR="00427051" w:rsidRPr="00FE79A3" w:rsidRDefault="001B5C24" w:rsidP="00085491">
      <w:pPr>
        <w:tabs>
          <w:tab w:val="left" w:pos="540"/>
        </w:tabs>
        <w:ind w:left="360" w:hanging="360"/>
        <w:rPr>
          <w:rFonts w:ascii="Calibri" w:eastAsia="Arial" w:hAnsi="Calibri" w:cs="Calibri"/>
          <w:b/>
          <w:bCs/>
          <w:color w:val="000000" w:themeColor="text1"/>
          <w:lang w:val="en"/>
        </w:rPr>
      </w:pPr>
      <w:r>
        <w:rPr>
          <w:rFonts w:ascii="Calibri" w:eastAsia="Arial" w:hAnsi="Calibri" w:cs="Calibri"/>
          <w:color w:val="000000" w:themeColor="text1"/>
          <w:lang w:val="en"/>
        </w:rPr>
        <w:t>57</w:t>
      </w:r>
      <w:r w:rsidR="00C25C6F">
        <w:rPr>
          <w:rFonts w:ascii="Calibri" w:eastAsia="Arial" w:hAnsi="Calibri" w:cs="Calibri"/>
          <w:color w:val="000000" w:themeColor="text1"/>
          <w:lang w:val="en"/>
        </w:rPr>
        <w:t>.</w:t>
      </w:r>
      <w:r>
        <w:rPr>
          <w:rFonts w:ascii="Calibri" w:eastAsia="Arial" w:hAnsi="Calibri" w:cs="Calibri"/>
          <w:color w:val="000000" w:themeColor="text1"/>
          <w:lang w:val="en"/>
        </w:rPr>
        <w:t xml:space="preserve"> </w:t>
      </w:r>
      <w:r w:rsidR="00427051" w:rsidRPr="00FE79A3">
        <w:rPr>
          <w:rFonts w:ascii="Calibri" w:eastAsia="Arial" w:hAnsi="Calibri" w:cs="Calibri"/>
          <w:b/>
          <w:bCs/>
          <w:color w:val="000000" w:themeColor="text1"/>
          <w:lang w:val="en"/>
        </w:rPr>
        <w:t xml:space="preserve">In the SFP, a TA grant opportunity is referenced. Is that for last year’s TA opportunity or will there be a new TA grant opportunity to support OYACPP PY 24-25? </w:t>
      </w:r>
    </w:p>
    <w:p w14:paraId="0C741865" w14:textId="77777777" w:rsidR="00427051" w:rsidRPr="001671B7" w:rsidRDefault="00427051" w:rsidP="001671B7">
      <w:pPr>
        <w:tabs>
          <w:tab w:val="left" w:pos="540"/>
        </w:tabs>
        <w:rPr>
          <w:rFonts w:ascii="Calibri" w:eastAsia="Arial" w:hAnsi="Calibri" w:cs="Calibri"/>
          <w:color w:val="000000" w:themeColor="text1"/>
          <w:lang w:val="en"/>
        </w:rPr>
      </w:pPr>
    </w:p>
    <w:p w14:paraId="7C232A29" w14:textId="7D8A03D1" w:rsidR="00427051" w:rsidRDefault="001B5C24" w:rsidP="00085491">
      <w:pPr>
        <w:pStyle w:val="ListParagraph"/>
        <w:tabs>
          <w:tab w:val="left" w:pos="540"/>
        </w:tabs>
        <w:ind w:left="360" w:hanging="90"/>
      </w:pPr>
      <w:r>
        <w:rPr>
          <w:rFonts w:ascii="Calibri" w:eastAsia="Arial" w:hAnsi="Calibri" w:cs="Calibri"/>
          <w:color w:val="000000" w:themeColor="text1"/>
        </w:rPr>
        <w:t xml:space="preserve">  </w:t>
      </w:r>
      <w:r w:rsidR="602C01BD" w:rsidRPr="0191E773">
        <w:rPr>
          <w:rFonts w:ascii="Calibri" w:eastAsia="Arial" w:hAnsi="Calibri" w:cs="Calibri"/>
          <w:color w:val="000000" w:themeColor="text1"/>
        </w:rPr>
        <w:t>In the SFP</w:t>
      </w:r>
      <w:r w:rsidR="0E65FD3A" w:rsidRPr="0191E773">
        <w:rPr>
          <w:rFonts w:ascii="Calibri" w:eastAsia="Arial" w:hAnsi="Calibri" w:cs="Calibri"/>
          <w:color w:val="000000" w:themeColor="text1"/>
        </w:rPr>
        <w:t>,</w:t>
      </w:r>
      <w:r w:rsidR="602C01BD" w:rsidRPr="0191E773">
        <w:rPr>
          <w:rFonts w:ascii="Calibri" w:eastAsia="Arial" w:hAnsi="Calibri" w:cs="Calibri"/>
          <w:color w:val="000000" w:themeColor="text1"/>
        </w:rPr>
        <w:t xml:space="preserve"> in the “Availability” section</w:t>
      </w:r>
      <w:r w:rsidR="53C0FDF0" w:rsidRPr="0191E773">
        <w:rPr>
          <w:rFonts w:ascii="Calibri" w:eastAsia="Arial" w:hAnsi="Calibri" w:cs="Calibri"/>
          <w:color w:val="000000" w:themeColor="text1"/>
        </w:rPr>
        <w:t>,</w:t>
      </w:r>
      <w:r w:rsidR="602C01BD" w:rsidRPr="0191E773">
        <w:rPr>
          <w:rFonts w:ascii="Calibri" w:eastAsia="Arial" w:hAnsi="Calibri" w:cs="Calibri"/>
          <w:color w:val="000000" w:themeColor="text1"/>
        </w:rPr>
        <w:t xml:space="preserve"> it is noted </w:t>
      </w:r>
      <w:r w:rsidR="0EAF31D5" w:rsidRPr="0191E773">
        <w:rPr>
          <w:rFonts w:ascii="Calibri" w:eastAsia="Arial" w:hAnsi="Calibri" w:cs="Calibri"/>
          <w:color w:val="000000" w:themeColor="text1"/>
        </w:rPr>
        <w:t xml:space="preserve">that </w:t>
      </w:r>
      <w:r w:rsidR="0EAF31D5" w:rsidRPr="0191E773">
        <w:t xml:space="preserve">$1.7 million will be set aside to fund the Opportunity Young Adult Career Pathway Evaluation and Technical Assistance </w:t>
      </w:r>
      <w:r w:rsidR="4DF13E60" w:rsidRPr="0191E773">
        <w:t>SF</w:t>
      </w:r>
      <w:r w:rsidR="0EAF31D5" w:rsidRPr="0191E773">
        <w:t>P</w:t>
      </w:r>
      <w:r w:rsidR="33AFBF30" w:rsidRPr="0191E773">
        <w:t>, which is in reference to Program Year 2024-25.</w:t>
      </w:r>
    </w:p>
    <w:p w14:paraId="7373FD3B" w14:textId="77777777" w:rsidR="003E1224" w:rsidRPr="00197D53" w:rsidRDefault="003E1224" w:rsidP="00197D53">
      <w:pPr>
        <w:tabs>
          <w:tab w:val="left" w:pos="540"/>
        </w:tabs>
        <w:rPr>
          <w:rFonts w:ascii="Calibri" w:eastAsia="Arial" w:hAnsi="Calibri" w:cs="Calibri"/>
          <w:color w:val="000000" w:themeColor="text1"/>
          <w:lang w:val="en"/>
        </w:rPr>
      </w:pPr>
    </w:p>
    <w:p w14:paraId="2422D91E" w14:textId="6FB4EF82" w:rsidR="00427051" w:rsidRPr="00955BEF" w:rsidRDefault="001B5C24" w:rsidP="00955BEF">
      <w:pPr>
        <w:tabs>
          <w:tab w:val="left" w:pos="540"/>
        </w:tabs>
        <w:rPr>
          <w:rFonts w:ascii="Calibri" w:eastAsia="Arial" w:hAnsi="Calibri" w:cs="Calibri"/>
          <w:b/>
          <w:bCs/>
          <w:color w:val="000000" w:themeColor="text1"/>
          <w:lang w:val="en"/>
        </w:rPr>
      </w:pPr>
      <w:r>
        <w:rPr>
          <w:rFonts w:ascii="Calibri" w:eastAsia="Arial" w:hAnsi="Calibri" w:cs="Calibri"/>
          <w:color w:val="000000" w:themeColor="text1"/>
          <w:lang w:val="en"/>
        </w:rPr>
        <w:t>58</w:t>
      </w:r>
      <w:r w:rsidR="00C25C6F">
        <w:rPr>
          <w:rFonts w:ascii="Calibri" w:eastAsia="Arial" w:hAnsi="Calibri" w:cs="Calibri"/>
          <w:color w:val="000000" w:themeColor="text1"/>
          <w:lang w:val="en"/>
        </w:rPr>
        <w:t>.</w:t>
      </w:r>
      <w:r>
        <w:rPr>
          <w:rFonts w:ascii="Calibri" w:eastAsia="Arial" w:hAnsi="Calibri" w:cs="Calibri"/>
          <w:color w:val="000000" w:themeColor="text1"/>
          <w:lang w:val="en"/>
        </w:rPr>
        <w:t xml:space="preserve"> </w:t>
      </w:r>
      <w:r w:rsidR="00427051" w:rsidRPr="00955BEF">
        <w:rPr>
          <w:rFonts w:ascii="Calibri" w:eastAsia="Arial" w:hAnsi="Calibri" w:cs="Calibri"/>
          <w:b/>
          <w:bCs/>
          <w:color w:val="000000" w:themeColor="text1"/>
          <w:lang w:val="en"/>
        </w:rPr>
        <w:t>Are footnotes allowed and must they also be in 12-point font?</w:t>
      </w:r>
    </w:p>
    <w:p w14:paraId="0956E698" w14:textId="77777777" w:rsidR="00427051" w:rsidRPr="001671B7" w:rsidRDefault="00427051" w:rsidP="001671B7">
      <w:pPr>
        <w:tabs>
          <w:tab w:val="left" w:pos="540"/>
        </w:tabs>
        <w:rPr>
          <w:rFonts w:ascii="Calibri" w:eastAsia="Arial" w:hAnsi="Calibri" w:cs="Calibri"/>
          <w:color w:val="000000" w:themeColor="text1"/>
          <w:lang w:val="en"/>
        </w:rPr>
      </w:pPr>
    </w:p>
    <w:p w14:paraId="5361147B" w14:textId="3F4C1361" w:rsidR="3F06BFBC" w:rsidRDefault="001B5C24" w:rsidP="00085491">
      <w:pPr>
        <w:pStyle w:val="ListParagraph"/>
        <w:tabs>
          <w:tab w:val="left" w:pos="540"/>
        </w:tabs>
        <w:spacing w:line="259" w:lineRule="auto"/>
        <w:ind w:left="360" w:hanging="180"/>
      </w:pPr>
      <w:r>
        <w:rPr>
          <w:rFonts w:ascii="Calibri" w:eastAsia="Arial" w:hAnsi="Calibri" w:cs="Calibri"/>
          <w:color w:val="000000" w:themeColor="text1"/>
        </w:rPr>
        <w:t xml:space="preserve">   </w:t>
      </w:r>
      <w:r w:rsidR="3F06BFBC" w:rsidRPr="0191E773">
        <w:rPr>
          <w:rFonts w:ascii="Calibri" w:eastAsia="Arial" w:hAnsi="Calibri" w:cs="Calibri"/>
          <w:color w:val="000000" w:themeColor="text1"/>
        </w:rPr>
        <w:t>Yes, foo</w:t>
      </w:r>
      <w:proofErr w:type="spellStart"/>
      <w:r w:rsidR="3F06BFBC" w:rsidRPr="0191E773">
        <w:rPr>
          <w:rFonts w:ascii="Calibri" w:eastAsia="Arial" w:hAnsi="Calibri" w:cs="Calibri"/>
          <w:color w:val="000000" w:themeColor="text1"/>
          <w:lang w:val="en"/>
        </w:rPr>
        <w:t>tnotes</w:t>
      </w:r>
      <w:proofErr w:type="spellEnd"/>
      <w:r w:rsidR="3F06BFBC" w:rsidRPr="0191E773">
        <w:rPr>
          <w:rFonts w:ascii="Calibri" w:eastAsia="Arial" w:hAnsi="Calibri" w:cs="Calibri"/>
          <w:color w:val="000000" w:themeColor="text1"/>
          <w:lang w:val="en"/>
        </w:rPr>
        <w:t xml:space="preserve"> are allowed</w:t>
      </w:r>
      <w:r w:rsidR="00A45C96">
        <w:rPr>
          <w:rFonts w:ascii="Calibri" w:eastAsia="Arial" w:hAnsi="Calibri" w:cs="Calibri"/>
          <w:color w:val="000000" w:themeColor="text1"/>
          <w:lang w:val="en"/>
        </w:rPr>
        <w:t>. H</w:t>
      </w:r>
      <w:r w:rsidR="3F06BFBC" w:rsidRPr="0191E773">
        <w:rPr>
          <w:rFonts w:ascii="Calibri" w:eastAsia="Arial" w:hAnsi="Calibri" w:cs="Calibri"/>
          <w:color w:val="000000" w:themeColor="text1"/>
          <w:lang w:val="en"/>
        </w:rPr>
        <w:t>owever</w:t>
      </w:r>
      <w:r w:rsidR="00A45C96">
        <w:rPr>
          <w:rFonts w:ascii="Calibri" w:eastAsia="Arial" w:hAnsi="Calibri" w:cs="Calibri"/>
          <w:color w:val="000000" w:themeColor="text1"/>
          <w:lang w:val="en"/>
        </w:rPr>
        <w:t>,</w:t>
      </w:r>
      <w:r w:rsidR="3F06BFBC" w:rsidRPr="0191E773">
        <w:rPr>
          <w:rFonts w:ascii="Calibri" w:eastAsia="Arial" w:hAnsi="Calibri" w:cs="Calibri"/>
          <w:color w:val="000000" w:themeColor="text1"/>
          <w:lang w:val="en"/>
        </w:rPr>
        <w:t xml:space="preserve"> they must be in 12-point font. </w:t>
      </w:r>
    </w:p>
    <w:p w14:paraId="60972AA4" w14:textId="77777777" w:rsidR="00427051" w:rsidRPr="001671B7" w:rsidRDefault="00427051" w:rsidP="001671B7">
      <w:pPr>
        <w:tabs>
          <w:tab w:val="left" w:pos="540"/>
        </w:tabs>
        <w:rPr>
          <w:rFonts w:ascii="Calibri" w:eastAsia="Arial" w:hAnsi="Calibri" w:cs="Calibri"/>
          <w:color w:val="000000" w:themeColor="text1"/>
          <w:lang w:val="en"/>
        </w:rPr>
      </w:pPr>
    </w:p>
    <w:p w14:paraId="21F6BE51" w14:textId="60491B9B" w:rsidR="00427051" w:rsidRPr="00955BEF" w:rsidRDefault="001B5C24" w:rsidP="00955BEF">
      <w:pPr>
        <w:tabs>
          <w:tab w:val="left" w:pos="540"/>
        </w:tabs>
        <w:rPr>
          <w:rFonts w:ascii="Calibri" w:eastAsia="Arial" w:hAnsi="Calibri" w:cs="Calibri"/>
          <w:b/>
          <w:bCs/>
          <w:color w:val="000000" w:themeColor="text1"/>
          <w:lang w:val="en"/>
        </w:rPr>
      </w:pPr>
      <w:r>
        <w:rPr>
          <w:rFonts w:ascii="Calibri" w:eastAsia="Arial" w:hAnsi="Calibri" w:cs="Calibri"/>
          <w:color w:val="000000" w:themeColor="text1"/>
          <w:lang w:val="en"/>
        </w:rPr>
        <w:t>59</w:t>
      </w:r>
      <w:r w:rsidR="00C25C6F">
        <w:rPr>
          <w:rFonts w:ascii="Calibri" w:eastAsia="Arial" w:hAnsi="Calibri" w:cs="Calibri"/>
          <w:color w:val="000000" w:themeColor="text1"/>
          <w:lang w:val="en"/>
        </w:rPr>
        <w:t>.</w:t>
      </w:r>
      <w:r>
        <w:rPr>
          <w:rFonts w:ascii="Calibri" w:eastAsia="Arial" w:hAnsi="Calibri" w:cs="Calibri"/>
          <w:color w:val="000000" w:themeColor="text1"/>
          <w:lang w:val="en"/>
        </w:rPr>
        <w:t xml:space="preserve"> </w:t>
      </w:r>
      <w:r w:rsidR="00427051" w:rsidRPr="00955BEF">
        <w:rPr>
          <w:rFonts w:ascii="Calibri" w:eastAsia="Arial" w:hAnsi="Calibri" w:cs="Calibri"/>
          <w:b/>
          <w:bCs/>
          <w:color w:val="000000" w:themeColor="text1"/>
          <w:lang w:val="en"/>
        </w:rPr>
        <w:t>Is foster care a mandatory requirement for the OYA’s served?</w:t>
      </w:r>
    </w:p>
    <w:p w14:paraId="0CB02831" w14:textId="77777777" w:rsidR="00427051" w:rsidRPr="001671B7" w:rsidRDefault="00427051" w:rsidP="001671B7">
      <w:pPr>
        <w:tabs>
          <w:tab w:val="left" w:pos="540"/>
        </w:tabs>
        <w:rPr>
          <w:rFonts w:ascii="Calibri" w:eastAsia="Arial" w:hAnsi="Calibri" w:cs="Calibri"/>
          <w:color w:val="000000" w:themeColor="text1"/>
          <w:lang w:val="en"/>
        </w:rPr>
      </w:pPr>
    </w:p>
    <w:p w14:paraId="5242813B" w14:textId="0A8E3542" w:rsidR="3B898F47" w:rsidRDefault="3B898F47" w:rsidP="00085491">
      <w:pPr>
        <w:pStyle w:val="ListParagraph"/>
        <w:tabs>
          <w:tab w:val="left" w:pos="540"/>
        </w:tabs>
        <w:ind w:left="360"/>
      </w:pPr>
      <w:r w:rsidRPr="0191E773">
        <w:t xml:space="preserve">For this SFP, the target groups include opportunity and disconnected young adults ages 18-28 facing significant employment barriers that increase the likelihood of lower earnings throughout adulthood including, but not limited to, </w:t>
      </w:r>
      <w:r w:rsidR="4D638D41" w:rsidRPr="0191E773">
        <w:t>b</w:t>
      </w:r>
      <w:r w:rsidRPr="0191E773">
        <w:t>eing Black or a person of color</w:t>
      </w:r>
      <w:r w:rsidR="77A52292" w:rsidRPr="0191E773">
        <w:t>,</w:t>
      </w:r>
      <w:r w:rsidRPr="0191E773">
        <w:t xml:space="preserve"> </w:t>
      </w:r>
      <w:r w:rsidR="5C2FB938" w:rsidRPr="0191E773">
        <w:t>b</w:t>
      </w:r>
      <w:r w:rsidRPr="0191E773">
        <w:t>eing female</w:t>
      </w:r>
      <w:r w:rsidR="58B542D9" w:rsidRPr="0191E773">
        <w:t>,</w:t>
      </w:r>
      <w:r w:rsidRPr="0191E773">
        <w:t xml:space="preserve"> </w:t>
      </w:r>
      <w:r w:rsidR="759BCACB" w:rsidRPr="0191E773">
        <w:t>h</w:t>
      </w:r>
      <w:r w:rsidRPr="0191E773">
        <w:t>olding a service sector job</w:t>
      </w:r>
      <w:r w:rsidR="396AB9C7" w:rsidRPr="0191E773">
        <w:t>, p</w:t>
      </w:r>
      <w:r w:rsidRPr="0191E773">
        <w:t>ersistent unemployment</w:t>
      </w:r>
      <w:r w:rsidR="07C92F77" w:rsidRPr="0191E773">
        <w:t>, b</w:t>
      </w:r>
      <w:r w:rsidRPr="0191E773">
        <w:t>eing a teen parent</w:t>
      </w:r>
      <w:r w:rsidR="415451DD" w:rsidRPr="0191E773">
        <w:t>, w</w:t>
      </w:r>
      <w:r w:rsidRPr="0191E773">
        <w:t>ork-limi</w:t>
      </w:r>
      <w:r w:rsidR="53B3CD76" w:rsidRPr="0191E773">
        <w:t>tin</w:t>
      </w:r>
      <w:r w:rsidRPr="0191E773">
        <w:t>g health condi</w:t>
      </w:r>
      <w:r w:rsidR="094AEA82" w:rsidRPr="0191E773">
        <w:t>tio</w:t>
      </w:r>
      <w:r w:rsidRPr="0191E773">
        <w:t>ns or having a disability</w:t>
      </w:r>
      <w:r w:rsidR="368441DD" w:rsidRPr="0191E773">
        <w:t>, h</w:t>
      </w:r>
      <w:r w:rsidRPr="0191E773">
        <w:t>istory of incarcera</w:t>
      </w:r>
      <w:r w:rsidR="79AD5FF0" w:rsidRPr="0191E773">
        <w:t>tio</w:t>
      </w:r>
      <w:r w:rsidRPr="0191E773">
        <w:t>n</w:t>
      </w:r>
      <w:r w:rsidR="061CFEB7" w:rsidRPr="0191E773">
        <w:t>, l</w:t>
      </w:r>
      <w:r w:rsidRPr="0191E773">
        <w:t>ow parental earnings and wealth</w:t>
      </w:r>
      <w:r w:rsidR="51798E22" w:rsidRPr="0191E773">
        <w:t>, and l</w:t>
      </w:r>
      <w:r w:rsidRPr="0191E773">
        <w:t>ack of a high school diploma or GED</w:t>
      </w:r>
      <w:r w:rsidR="183510CA" w:rsidRPr="0191E773">
        <w:t>.</w:t>
      </w:r>
    </w:p>
    <w:p w14:paraId="7C77CEC3" w14:textId="77777777" w:rsidR="00427051" w:rsidRPr="001671B7" w:rsidRDefault="00427051" w:rsidP="001671B7">
      <w:pPr>
        <w:tabs>
          <w:tab w:val="left" w:pos="540"/>
        </w:tabs>
        <w:rPr>
          <w:rFonts w:ascii="Calibri" w:eastAsia="Arial" w:hAnsi="Calibri" w:cs="Calibri"/>
          <w:color w:val="000000" w:themeColor="text1"/>
          <w:lang w:val="en"/>
        </w:rPr>
      </w:pPr>
    </w:p>
    <w:p w14:paraId="1A0AA43F" w14:textId="4399045C" w:rsidR="00427051" w:rsidRPr="00955BEF" w:rsidRDefault="001B5C24" w:rsidP="00955BEF">
      <w:pPr>
        <w:tabs>
          <w:tab w:val="left" w:pos="540"/>
        </w:tabs>
        <w:rPr>
          <w:rFonts w:ascii="Calibri" w:eastAsia="Arial" w:hAnsi="Calibri" w:cs="Calibri"/>
          <w:b/>
          <w:bCs/>
          <w:color w:val="000000" w:themeColor="text1"/>
          <w:lang w:val="en"/>
        </w:rPr>
      </w:pPr>
      <w:r>
        <w:rPr>
          <w:rFonts w:ascii="Calibri" w:eastAsia="Arial" w:hAnsi="Calibri" w:cs="Calibri"/>
          <w:color w:val="000000" w:themeColor="text1"/>
          <w:lang w:val="en"/>
        </w:rPr>
        <w:lastRenderedPageBreak/>
        <w:t>60</w:t>
      </w:r>
      <w:r w:rsidR="00C25C6F">
        <w:rPr>
          <w:rFonts w:ascii="Calibri" w:eastAsia="Arial" w:hAnsi="Calibri" w:cs="Calibri"/>
          <w:color w:val="000000" w:themeColor="text1"/>
          <w:lang w:val="en"/>
        </w:rPr>
        <w:t>.</w:t>
      </w:r>
      <w:r>
        <w:rPr>
          <w:rFonts w:ascii="Calibri" w:eastAsia="Arial" w:hAnsi="Calibri" w:cs="Calibri"/>
          <w:color w:val="000000" w:themeColor="text1"/>
          <w:lang w:val="en"/>
        </w:rPr>
        <w:t xml:space="preserve"> </w:t>
      </w:r>
      <w:r w:rsidR="00427051" w:rsidRPr="00955BEF">
        <w:rPr>
          <w:rFonts w:ascii="Calibri" w:eastAsia="Arial" w:hAnsi="Calibri" w:cs="Calibri"/>
          <w:b/>
          <w:bCs/>
          <w:color w:val="000000" w:themeColor="text1"/>
          <w:lang w:val="en"/>
        </w:rPr>
        <w:t>Can the project narrative be single-spaced?</w:t>
      </w:r>
    </w:p>
    <w:p w14:paraId="4C374791" w14:textId="77777777" w:rsidR="00427051" w:rsidRPr="001671B7" w:rsidRDefault="00427051" w:rsidP="001671B7">
      <w:pPr>
        <w:tabs>
          <w:tab w:val="left" w:pos="540"/>
        </w:tabs>
        <w:rPr>
          <w:rFonts w:ascii="Calibri" w:eastAsia="Arial" w:hAnsi="Calibri" w:cs="Calibri"/>
          <w:color w:val="000000" w:themeColor="text1"/>
          <w:lang w:val="en"/>
        </w:rPr>
      </w:pPr>
    </w:p>
    <w:p w14:paraId="3AB622E4" w14:textId="2931D174" w:rsidR="00427051" w:rsidRDefault="001B5C24" w:rsidP="00085491">
      <w:pPr>
        <w:pStyle w:val="ListParagraph"/>
        <w:tabs>
          <w:tab w:val="left" w:pos="540"/>
        </w:tabs>
        <w:ind w:left="360"/>
        <w:rPr>
          <w:rFonts w:ascii="Calibri" w:eastAsia="Arial" w:hAnsi="Calibri" w:cs="Calibri"/>
          <w:color w:val="000000" w:themeColor="text1"/>
        </w:rPr>
      </w:pPr>
      <w:r>
        <w:rPr>
          <w:rFonts w:ascii="Calibri" w:eastAsia="Arial" w:hAnsi="Calibri" w:cs="Calibri"/>
          <w:color w:val="000000" w:themeColor="text1"/>
        </w:rPr>
        <w:t xml:space="preserve">  </w:t>
      </w:r>
      <w:r w:rsidR="1366FA36" w:rsidRPr="0191E773">
        <w:rPr>
          <w:rFonts w:ascii="Calibri" w:eastAsia="Arial" w:hAnsi="Calibri" w:cs="Calibri"/>
          <w:color w:val="000000" w:themeColor="text1"/>
        </w:rPr>
        <w:t xml:space="preserve">Yes, the project narrative can be single-spaced. </w:t>
      </w:r>
      <w:r w:rsidR="00427051" w:rsidRPr="0191E773">
        <w:rPr>
          <w:rFonts w:ascii="Calibri" w:eastAsia="Arial" w:hAnsi="Calibri" w:cs="Calibri"/>
          <w:color w:val="000000" w:themeColor="text1"/>
        </w:rPr>
        <w:t xml:space="preserve"> </w:t>
      </w:r>
    </w:p>
    <w:p w14:paraId="7F3C8A27" w14:textId="7CB33F1C" w:rsidR="00427051" w:rsidRDefault="00427051" w:rsidP="001671B7">
      <w:pPr>
        <w:tabs>
          <w:tab w:val="left" w:pos="540"/>
        </w:tabs>
        <w:rPr>
          <w:rFonts w:ascii="Calibri" w:eastAsia="Arial" w:hAnsi="Calibri" w:cs="Calibri"/>
          <w:color w:val="000000" w:themeColor="text1"/>
          <w:lang w:val="en"/>
        </w:rPr>
      </w:pPr>
    </w:p>
    <w:p w14:paraId="48B63F8E" w14:textId="3D1AAE2F" w:rsidR="00427051" w:rsidRPr="00DB2E40" w:rsidRDefault="001B5C24" w:rsidP="00085491">
      <w:pPr>
        <w:tabs>
          <w:tab w:val="left" w:pos="540"/>
        </w:tabs>
        <w:ind w:left="360" w:hanging="360"/>
        <w:rPr>
          <w:rFonts w:ascii="Calibri" w:eastAsia="Arial" w:hAnsi="Calibri" w:cs="Calibri"/>
          <w:b/>
          <w:bCs/>
          <w:color w:val="000000" w:themeColor="text1"/>
          <w:lang w:val="en"/>
        </w:rPr>
      </w:pPr>
      <w:r>
        <w:rPr>
          <w:rFonts w:ascii="Calibri" w:eastAsia="Arial" w:hAnsi="Calibri" w:cs="Calibri"/>
          <w:color w:val="000000" w:themeColor="text1"/>
          <w:lang w:val="en"/>
        </w:rPr>
        <w:t>61</w:t>
      </w:r>
      <w:r w:rsidR="00C25C6F">
        <w:rPr>
          <w:rFonts w:ascii="Calibri" w:eastAsia="Arial" w:hAnsi="Calibri" w:cs="Calibri"/>
          <w:color w:val="000000" w:themeColor="text1"/>
          <w:lang w:val="en"/>
        </w:rPr>
        <w:t>.</w:t>
      </w:r>
      <w:r>
        <w:rPr>
          <w:rFonts w:ascii="Calibri" w:eastAsia="Arial" w:hAnsi="Calibri" w:cs="Calibri"/>
          <w:color w:val="000000" w:themeColor="text1"/>
          <w:lang w:val="en"/>
        </w:rPr>
        <w:t xml:space="preserve"> </w:t>
      </w:r>
      <w:r w:rsidR="00427051" w:rsidRPr="00DB2E40">
        <w:rPr>
          <w:rFonts w:ascii="Calibri" w:eastAsia="Arial" w:hAnsi="Calibri" w:cs="Calibri"/>
          <w:b/>
          <w:bCs/>
          <w:color w:val="000000" w:themeColor="text1"/>
          <w:lang w:val="en"/>
        </w:rPr>
        <w:t>To confirm, are partnerships a requirement of this grant? Is there a recommended number of partners?</w:t>
      </w:r>
    </w:p>
    <w:p w14:paraId="75319B49" w14:textId="77777777" w:rsidR="00427051" w:rsidRPr="001671B7" w:rsidRDefault="00427051" w:rsidP="001671B7">
      <w:pPr>
        <w:tabs>
          <w:tab w:val="left" w:pos="540"/>
        </w:tabs>
        <w:rPr>
          <w:rFonts w:ascii="Calibri" w:eastAsia="Arial" w:hAnsi="Calibri" w:cs="Calibri"/>
          <w:color w:val="000000" w:themeColor="text1"/>
          <w:lang w:val="en"/>
        </w:rPr>
      </w:pPr>
    </w:p>
    <w:p w14:paraId="7FE2BE58" w14:textId="657EEA1B" w:rsidR="78E4576B" w:rsidRDefault="78E4576B" w:rsidP="00085491">
      <w:pPr>
        <w:ind w:left="360"/>
        <w:rPr>
          <w:rFonts w:ascii="Calibri" w:eastAsia="Calibri" w:hAnsi="Calibri" w:cs="Calibri"/>
          <w:szCs w:val="24"/>
        </w:rPr>
      </w:pPr>
      <w:r w:rsidRPr="0191E773">
        <w:rPr>
          <w:rFonts w:ascii="Calibri" w:eastAsia="Calibri" w:hAnsi="Calibri" w:cs="Calibri"/>
          <w:szCs w:val="24"/>
        </w:rPr>
        <w:t>This funding does not require mandatory partnership; successful applicants are strongly encouraged to establish partnerships. The number of partners wi</w:t>
      </w:r>
      <w:r w:rsidR="4CF1BA62" w:rsidRPr="0191E773">
        <w:rPr>
          <w:rFonts w:ascii="Calibri" w:eastAsia="Calibri" w:hAnsi="Calibri" w:cs="Calibri"/>
          <w:szCs w:val="24"/>
        </w:rPr>
        <w:t xml:space="preserve">ll vary depending on the proposed project. </w:t>
      </w:r>
      <w:r w:rsidRPr="0191E773">
        <w:rPr>
          <w:rFonts w:ascii="Calibri" w:eastAsia="Calibri" w:hAnsi="Calibri" w:cs="Calibri"/>
          <w:szCs w:val="24"/>
        </w:rPr>
        <w:t xml:space="preserve"> </w:t>
      </w:r>
    </w:p>
    <w:p w14:paraId="2810AB45" w14:textId="3895F6A8" w:rsidR="78E4576B" w:rsidRDefault="78E4576B" w:rsidP="00085491">
      <w:pPr>
        <w:ind w:left="360"/>
        <w:rPr>
          <w:rFonts w:ascii="Calibri" w:eastAsia="Calibri" w:hAnsi="Calibri" w:cs="Calibri"/>
          <w:i/>
          <w:iCs/>
          <w:szCs w:val="24"/>
        </w:rPr>
      </w:pPr>
      <w:r w:rsidRPr="0191E773">
        <w:rPr>
          <w:rFonts w:ascii="Calibri" w:eastAsia="Calibri" w:hAnsi="Calibri" w:cs="Calibri"/>
          <w:i/>
          <w:iCs/>
          <w:szCs w:val="24"/>
        </w:rPr>
        <w:t>For additional information on a list of collaborative partnerships, see Section III, Collaboration and Strategic Partnerships.</w:t>
      </w:r>
    </w:p>
    <w:p w14:paraId="7FB04265" w14:textId="77777777" w:rsidR="00427051" w:rsidRPr="001671B7" w:rsidRDefault="00427051" w:rsidP="001671B7">
      <w:pPr>
        <w:tabs>
          <w:tab w:val="left" w:pos="540"/>
        </w:tabs>
        <w:rPr>
          <w:rFonts w:ascii="Calibri" w:eastAsia="Arial" w:hAnsi="Calibri" w:cs="Calibri"/>
          <w:color w:val="000000" w:themeColor="text1"/>
          <w:lang w:val="en"/>
        </w:rPr>
      </w:pPr>
    </w:p>
    <w:p w14:paraId="02B5639C" w14:textId="516F7CFC" w:rsidR="00427051" w:rsidRPr="00DB2E40" w:rsidRDefault="001B5C24" w:rsidP="00085491">
      <w:pPr>
        <w:tabs>
          <w:tab w:val="left" w:pos="540"/>
        </w:tabs>
        <w:ind w:left="360" w:hanging="360"/>
        <w:rPr>
          <w:rFonts w:ascii="Calibri" w:eastAsia="Arial" w:hAnsi="Calibri" w:cs="Calibri"/>
          <w:b/>
          <w:bCs/>
          <w:color w:val="000000" w:themeColor="text1"/>
        </w:rPr>
      </w:pPr>
      <w:r>
        <w:rPr>
          <w:rFonts w:ascii="Calibri" w:eastAsia="Arial" w:hAnsi="Calibri" w:cs="Calibri"/>
          <w:color w:val="000000" w:themeColor="text1"/>
        </w:rPr>
        <w:t>62</w:t>
      </w:r>
      <w:r w:rsidR="00C25C6F">
        <w:rPr>
          <w:rFonts w:ascii="Calibri" w:eastAsia="Arial" w:hAnsi="Calibri" w:cs="Calibri"/>
          <w:color w:val="000000" w:themeColor="text1"/>
        </w:rPr>
        <w:t>.</w:t>
      </w:r>
      <w:r>
        <w:rPr>
          <w:rFonts w:ascii="Calibri" w:eastAsia="Arial" w:hAnsi="Calibri" w:cs="Calibri"/>
          <w:color w:val="000000" w:themeColor="text1"/>
        </w:rPr>
        <w:t xml:space="preserve"> </w:t>
      </w:r>
      <w:r w:rsidR="00427051" w:rsidRPr="00DB2E40">
        <w:rPr>
          <w:rFonts w:ascii="Calibri" w:eastAsia="Arial" w:hAnsi="Calibri" w:cs="Calibri"/>
          <w:b/>
          <w:bCs/>
          <w:color w:val="000000" w:themeColor="text1"/>
        </w:rPr>
        <w:t>What would the budget summary look like for organizations that are applying together? Are</w:t>
      </w:r>
      <w:r w:rsidR="00427051" w:rsidRPr="00DB2E40">
        <w:rPr>
          <w:rFonts w:ascii="Calibri" w:eastAsia="Arial" w:hAnsi="Calibri" w:cs="Calibri"/>
          <w:color w:val="000000" w:themeColor="text1"/>
        </w:rPr>
        <w:t xml:space="preserve"> </w:t>
      </w:r>
      <w:r w:rsidR="00427051" w:rsidRPr="00DB2E40">
        <w:rPr>
          <w:rFonts w:ascii="Calibri" w:eastAsia="Arial" w:hAnsi="Calibri" w:cs="Calibri"/>
          <w:b/>
          <w:bCs/>
          <w:color w:val="000000" w:themeColor="text1"/>
        </w:rPr>
        <w:t>separate sheets required?</w:t>
      </w:r>
    </w:p>
    <w:p w14:paraId="6F3A4203" w14:textId="77777777" w:rsidR="00427051" w:rsidRPr="001671B7" w:rsidRDefault="00427051" w:rsidP="001671B7">
      <w:pPr>
        <w:tabs>
          <w:tab w:val="left" w:pos="540"/>
        </w:tabs>
        <w:rPr>
          <w:rFonts w:ascii="Calibri" w:eastAsia="Arial" w:hAnsi="Calibri" w:cs="Calibri"/>
          <w:color w:val="000000" w:themeColor="text1"/>
          <w:lang w:val="en"/>
        </w:rPr>
      </w:pPr>
    </w:p>
    <w:p w14:paraId="5EE12BC6" w14:textId="65F18ACC" w:rsidR="64771E58" w:rsidRDefault="64771E58" w:rsidP="00085491">
      <w:pPr>
        <w:ind w:left="360"/>
      </w:pPr>
      <w:r w:rsidRPr="0191E773">
        <w:rPr>
          <w:rFonts w:ascii="Calibri" w:eastAsia="Calibri" w:hAnsi="Calibri" w:cs="Calibri"/>
          <w:szCs w:val="24"/>
        </w:rPr>
        <w:t>Applicants are required to submit only one Exhibit F, F2, and G (if applicable) per submission.</w:t>
      </w:r>
    </w:p>
    <w:p w14:paraId="1E6D244C" w14:textId="18337AFD" w:rsidR="001671B7" w:rsidRDefault="64771E58" w:rsidP="00085491">
      <w:pPr>
        <w:ind w:left="360"/>
        <w:rPr>
          <w:rFonts w:ascii="Calibri" w:eastAsia="Calibri" w:hAnsi="Calibri" w:cs="Calibri"/>
          <w:i/>
          <w:iCs/>
          <w:szCs w:val="24"/>
        </w:rPr>
      </w:pPr>
      <w:r w:rsidRPr="0191E773">
        <w:rPr>
          <w:rFonts w:ascii="Calibri" w:eastAsia="Calibri" w:hAnsi="Calibri" w:cs="Calibri"/>
          <w:i/>
          <w:iCs/>
          <w:szCs w:val="24"/>
        </w:rPr>
        <w:t>For additional information on completing the budget exhibits, see Appendix A of the SFP, Proposal Package Instructions.</w:t>
      </w:r>
    </w:p>
    <w:p w14:paraId="080E61C8" w14:textId="77777777" w:rsidR="001671B7" w:rsidRPr="001671B7" w:rsidRDefault="001671B7" w:rsidP="001671B7">
      <w:pPr>
        <w:ind w:left="360"/>
        <w:rPr>
          <w:rFonts w:ascii="Calibri" w:eastAsia="Calibri" w:hAnsi="Calibri" w:cs="Calibri"/>
          <w:i/>
          <w:iCs/>
          <w:szCs w:val="24"/>
        </w:rPr>
      </w:pPr>
    </w:p>
    <w:p w14:paraId="7F476D3F" w14:textId="5919E4E8" w:rsidR="00427051" w:rsidRPr="00DB2E40" w:rsidRDefault="001B5C24" w:rsidP="00DB2E40">
      <w:pPr>
        <w:tabs>
          <w:tab w:val="left" w:pos="540"/>
        </w:tabs>
        <w:rPr>
          <w:rFonts w:ascii="Calibri" w:eastAsia="Arial" w:hAnsi="Calibri" w:cs="Calibri"/>
          <w:b/>
          <w:bCs/>
          <w:color w:val="000000" w:themeColor="text1"/>
          <w:lang w:val="en"/>
        </w:rPr>
      </w:pPr>
      <w:r>
        <w:rPr>
          <w:rFonts w:ascii="Calibri" w:eastAsia="Arial" w:hAnsi="Calibri" w:cs="Calibri"/>
          <w:color w:val="000000" w:themeColor="text1"/>
          <w:lang w:val="en"/>
        </w:rPr>
        <w:t>63</w:t>
      </w:r>
      <w:r w:rsidR="00C25C6F">
        <w:rPr>
          <w:rFonts w:ascii="Calibri" w:eastAsia="Arial" w:hAnsi="Calibri" w:cs="Calibri"/>
          <w:color w:val="000000" w:themeColor="text1"/>
          <w:lang w:val="en"/>
        </w:rPr>
        <w:t>.</w:t>
      </w:r>
      <w:r>
        <w:rPr>
          <w:rFonts w:ascii="Calibri" w:eastAsia="Arial" w:hAnsi="Calibri" w:cs="Calibri"/>
          <w:color w:val="000000" w:themeColor="text1"/>
          <w:lang w:val="en"/>
        </w:rPr>
        <w:t xml:space="preserve"> </w:t>
      </w:r>
      <w:r w:rsidR="00427051" w:rsidRPr="00DB2E40">
        <w:rPr>
          <w:rFonts w:ascii="Calibri" w:eastAsia="Arial" w:hAnsi="Calibri" w:cs="Calibri"/>
          <w:b/>
          <w:bCs/>
          <w:color w:val="000000" w:themeColor="text1"/>
          <w:lang w:val="en"/>
        </w:rPr>
        <w:t>Is the admin cost cap of 10% referring to indirect costs?</w:t>
      </w:r>
    </w:p>
    <w:p w14:paraId="531575CA" w14:textId="77777777" w:rsidR="00427051" w:rsidRPr="001671B7" w:rsidRDefault="00427051" w:rsidP="001671B7">
      <w:pPr>
        <w:tabs>
          <w:tab w:val="left" w:pos="540"/>
        </w:tabs>
        <w:rPr>
          <w:rFonts w:ascii="Calibri" w:eastAsia="Arial" w:hAnsi="Calibri" w:cs="Calibri"/>
          <w:color w:val="000000" w:themeColor="text1"/>
          <w:lang w:val="en"/>
        </w:rPr>
      </w:pPr>
    </w:p>
    <w:p w14:paraId="06D1D641" w14:textId="1E900954" w:rsidR="3CCC7232" w:rsidRDefault="3CCC7232" w:rsidP="00085491">
      <w:pPr>
        <w:ind w:left="360"/>
      </w:pPr>
      <w:r w:rsidRPr="0191E773">
        <w:rPr>
          <w:rFonts w:ascii="Calibri" w:eastAsia="Calibri" w:hAnsi="Calibri" w:cs="Calibri"/>
          <w:szCs w:val="24"/>
        </w:rPr>
        <w:t>Administrative and indirect costs are not the same. The 10 percent cap applies to all administrative costs, whether direct or indirect. The 10 percent cap does not apply to any portion of indirect costs that are programmatic costs.  An indirect cost rate of more than 10 percent can be charged as long as the dollar amount of the administrative portion of indirect costs plus any direct administrative costs remains under 10 percent. Please note that indirect cost rates are not calculated as a percentage of the total award but rather as a percentage of the base identified in your Negotiated Indirect Cost Rate Agreement (NICRA) or Cost Allocation Plan (CAP) or for those claiming the 10 percent de minimis rate, as a percentage of Modified Total Direct Costs (MTDC) as defined in 2 CFR 200.68.</w:t>
      </w:r>
    </w:p>
    <w:p w14:paraId="603D31D2" w14:textId="77777777" w:rsidR="00427051" w:rsidRPr="001671B7" w:rsidRDefault="00427051" w:rsidP="001671B7">
      <w:pPr>
        <w:tabs>
          <w:tab w:val="left" w:pos="540"/>
        </w:tabs>
        <w:rPr>
          <w:rFonts w:ascii="Calibri" w:eastAsia="Arial" w:hAnsi="Calibri" w:cs="Calibri"/>
          <w:color w:val="000000" w:themeColor="text1"/>
          <w:lang w:val="en"/>
        </w:rPr>
      </w:pPr>
    </w:p>
    <w:p w14:paraId="5ED13AE5" w14:textId="45975162" w:rsidR="00427051" w:rsidRPr="001671B7" w:rsidRDefault="001B5C24" w:rsidP="001671B7">
      <w:pPr>
        <w:tabs>
          <w:tab w:val="left" w:pos="540"/>
        </w:tabs>
        <w:rPr>
          <w:rFonts w:ascii="Calibri" w:eastAsia="Arial" w:hAnsi="Calibri" w:cs="Calibri"/>
          <w:b/>
          <w:bCs/>
          <w:color w:val="000000" w:themeColor="text1"/>
          <w:lang w:val="en"/>
        </w:rPr>
      </w:pPr>
      <w:r>
        <w:rPr>
          <w:rFonts w:ascii="Calibri" w:eastAsia="Arial" w:hAnsi="Calibri" w:cs="Calibri"/>
          <w:color w:val="000000" w:themeColor="text1"/>
          <w:lang w:val="en"/>
        </w:rPr>
        <w:t>64</w:t>
      </w:r>
      <w:r w:rsidR="00C25C6F">
        <w:rPr>
          <w:rFonts w:ascii="Calibri" w:eastAsia="Arial" w:hAnsi="Calibri" w:cs="Calibri"/>
          <w:color w:val="000000" w:themeColor="text1"/>
          <w:lang w:val="en"/>
        </w:rPr>
        <w:t>.</w:t>
      </w:r>
      <w:r>
        <w:rPr>
          <w:rFonts w:ascii="Calibri" w:eastAsia="Arial" w:hAnsi="Calibri" w:cs="Calibri"/>
          <w:color w:val="000000" w:themeColor="text1"/>
          <w:lang w:val="en"/>
        </w:rPr>
        <w:t xml:space="preserve"> </w:t>
      </w:r>
      <w:r w:rsidR="00427051" w:rsidRPr="001671B7">
        <w:rPr>
          <w:rFonts w:ascii="Calibri" w:eastAsia="Arial" w:hAnsi="Calibri" w:cs="Calibri"/>
          <w:b/>
          <w:bCs/>
          <w:color w:val="000000" w:themeColor="text1"/>
          <w:lang w:val="en"/>
        </w:rPr>
        <w:t>Is the full amount of the grant to be used in 1 year?</w:t>
      </w:r>
    </w:p>
    <w:p w14:paraId="69B73E12" w14:textId="77777777" w:rsidR="00427051" w:rsidRPr="001671B7" w:rsidRDefault="00427051" w:rsidP="001671B7">
      <w:pPr>
        <w:tabs>
          <w:tab w:val="left" w:pos="540"/>
        </w:tabs>
        <w:rPr>
          <w:rFonts w:ascii="Calibri" w:eastAsia="Arial" w:hAnsi="Calibri" w:cs="Calibri"/>
          <w:color w:val="000000" w:themeColor="text1"/>
          <w:lang w:val="en"/>
        </w:rPr>
      </w:pPr>
    </w:p>
    <w:p w14:paraId="5047BEAF" w14:textId="5809B8C7" w:rsidR="00427051" w:rsidRDefault="1F630F70" w:rsidP="00085491">
      <w:pPr>
        <w:pStyle w:val="ListParagraph"/>
        <w:tabs>
          <w:tab w:val="left" w:pos="540"/>
        </w:tabs>
        <w:ind w:left="360"/>
        <w:rPr>
          <w:rFonts w:ascii="Calibri" w:eastAsia="Arial" w:hAnsi="Calibri" w:cs="Calibri"/>
          <w:color w:val="000000" w:themeColor="text1"/>
        </w:rPr>
      </w:pPr>
      <w:r w:rsidRPr="0191E773">
        <w:rPr>
          <w:rFonts w:ascii="Calibri" w:eastAsia="Arial" w:hAnsi="Calibri" w:cs="Calibri"/>
          <w:color w:val="000000" w:themeColor="text1"/>
        </w:rPr>
        <w:t>The full amount of the grant is to be used during the grant performance period of 18-24 months.</w:t>
      </w:r>
      <w:r w:rsidR="7AE0FBB4" w:rsidRPr="0191E773">
        <w:rPr>
          <w:rFonts w:ascii="Calibri" w:eastAsia="Arial" w:hAnsi="Calibri" w:cs="Calibri"/>
          <w:color w:val="000000" w:themeColor="text1"/>
        </w:rPr>
        <w:t xml:space="preserve"> </w:t>
      </w:r>
      <w:r w:rsidR="7AE0FBB4" w:rsidRPr="0191E773">
        <w:rPr>
          <w:rFonts w:ascii="Calibri" w:eastAsia="Calibri" w:hAnsi="Calibri" w:cs="Calibri"/>
          <w:szCs w:val="24"/>
        </w:rPr>
        <w:t>Any funds not expended during the grant agreement period shall be returned to the state.</w:t>
      </w:r>
    </w:p>
    <w:p w14:paraId="04327F94" w14:textId="77777777" w:rsidR="00427051" w:rsidRPr="001671B7" w:rsidRDefault="00427051" w:rsidP="001671B7">
      <w:pPr>
        <w:tabs>
          <w:tab w:val="left" w:pos="540"/>
        </w:tabs>
        <w:rPr>
          <w:rFonts w:ascii="Calibri" w:eastAsia="Arial" w:hAnsi="Calibri" w:cs="Calibri"/>
          <w:color w:val="000000" w:themeColor="text1"/>
          <w:lang w:val="en"/>
        </w:rPr>
      </w:pPr>
    </w:p>
    <w:p w14:paraId="2F3E076F" w14:textId="3667C257" w:rsidR="00427051" w:rsidRPr="001671B7" w:rsidRDefault="001B5C24" w:rsidP="001671B7">
      <w:pPr>
        <w:tabs>
          <w:tab w:val="left" w:pos="540"/>
        </w:tabs>
        <w:rPr>
          <w:rFonts w:ascii="Calibri" w:eastAsia="Arial" w:hAnsi="Calibri" w:cs="Calibri"/>
          <w:b/>
          <w:bCs/>
          <w:color w:val="000000" w:themeColor="text1"/>
          <w:lang w:val="en"/>
        </w:rPr>
      </w:pPr>
      <w:r>
        <w:rPr>
          <w:rFonts w:ascii="Calibri" w:eastAsia="Arial" w:hAnsi="Calibri" w:cs="Calibri"/>
          <w:color w:val="000000" w:themeColor="text1"/>
          <w:lang w:val="en"/>
        </w:rPr>
        <w:t>65</w:t>
      </w:r>
      <w:r w:rsidR="00C25C6F">
        <w:rPr>
          <w:rFonts w:ascii="Calibri" w:eastAsia="Arial" w:hAnsi="Calibri" w:cs="Calibri"/>
          <w:color w:val="000000" w:themeColor="text1"/>
          <w:lang w:val="en"/>
        </w:rPr>
        <w:t>.</w:t>
      </w:r>
      <w:r>
        <w:rPr>
          <w:rFonts w:ascii="Calibri" w:eastAsia="Arial" w:hAnsi="Calibri" w:cs="Calibri"/>
          <w:color w:val="000000" w:themeColor="text1"/>
          <w:lang w:val="en"/>
        </w:rPr>
        <w:t xml:space="preserve"> </w:t>
      </w:r>
      <w:r w:rsidR="00427051" w:rsidRPr="001671B7">
        <w:rPr>
          <w:rFonts w:ascii="Calibri" w:eastAsia="Arial" w:hAnsi="Calibri" w:cs="Calibri"/>
          <w:b/>
          <w:bCs/>
          <w:color w:val="000000" w:themeColor="text1"/>
          <w:lang w:val="en"/>
        </w:rPr>
        <w:t>Would an allocation for phone service go in Exhibit G?</w:t>
      </w:r>
    </w:p>
    <w:p w14:paraId="76D8AB36" w14:textId="77777777" w:rsidR="00427051" w:rsidRPr="001671B7" w:rsidRDefault="00427051" w:rsidP="001671B7">
      <w:pPr>
        <w:tabs>
          <w:tab w:val="left" w:pos="540"/>
        </w:tabs>
        <w:rPr>
          <w:rFonts w:ascii="Calibri" w:eastAsia="Arial" w:hAnsi="Calibri" w:cs="Calibri"/>
          <w:color w:val="000000" w:themeColor="text1"/>
          <w:lang w:val="en"/>
        </w:rPr>
      </w:pPr>
    </w:p>
    <w:p w14:paraId="6AA355D1" w14:textId="052F4BED" w:rsidR="00427051" w:rsidRPr="00256DB0" w:rsidRDefault="00256DB0" w:rsidP="00085491">
      <w:pPr>
        <w:tabs>
          <w:tab w:val="left" w:pos="540"/>
        </w:tabs>
        <w:ind w:left="360"/>
        <w:rPr>
          <w:rFonts w:ascii="Calibri" w:eastAsia="Arial" w:hAnsi="Calibri" w:cs="Calibri"/>
          <w:color w:val="000000" w:themeColor="text1"/>
          <w:lang w:val="en"/>
        </w:rPr>
      </w:pPr>
      <w:r>
        <w:rPr>
          <w:rFonts w:ascii="Calibri" w:eastAsia="Arial" w:hAnsi="Calibri" w:cs="Calibri"/>
          <w:color w:val="000000" w:themeColor="text1"/>
          <w:lang w:val="en"/>
        </w:rPr>
        <w:t>I</w:t>
      </w:r>
      <w:r w:rsidRPr="00256DB0">
        <w:rPr>
          <w:rFonts w:ascii="Calibri" w:eastAsia="Arial" w:hAnsi="Calibri" w:cs="Calibri"/>
          <w:color w:val="000000" w:themeColor="text1"/>
          <w:lang w:val="en"/>
        </w:rPr>
        <w:t xml:space="preserve">f the allocation is for buying phones that cost over $5,000., yes. If it’s to pay for a monthly communications bill, no. </w:t>
      </w:r>
    </w:p>
    <w:p w14:paraId="58593C0B" w14:textId="77777777" w:rsidR="00427051" w:rsidRPr="001671B7" w:rsidRDefault="00427051" w:rsidP="001671B7">
      <w:pPr>
        <w:tabs>
          <w:tab w:val="left" w:pos="540"/>
        </w:tabs>
        <w:rPr>
          <w:rFonts w:ascii="Calibri" w:eastAsia="Arial" w:hAnsi="Calibri" w:cs="Calibri"/>
          <w:color w:val="000000" w:themeColor="text1"/>
          <w:lang w:val="en"/>
        </w:rPr>
      </w:pPr>
    </w:p>
    <w:p w14:paraId="45F7F7A1" w14:textId="5CB211F5" w:rsidR="00427051" w:rsidRPr="001671B7" w:rsidRDefault="001B5C24" w:rsidP="001671B7">
      <w:pPr>
        <w:tabs>
          <w:tab w:val="left" w:pos="540"/>
        </w:tabs>
        <w:rPr>
          <w:rFonts w:ascii="Calibri" w:eastAsia="Arial" w:hAnsi="Calibri" w:cs="Calibri"/>
          <w:b/>
          <w:bCs/>
          <w:color w:val="000000" w:themeColor="text1"/>
          <w:lang w:val="en"/>
        </w:rPr>
      </w:pPr>
      <w:r>
        <w:rPr>
          <w:rFonts w:ascii="Calibri" w:eastAsia="Arial" w:hAnsi="Calibri" w:cs="Calibri"/>
          <w:color w:val="000000" w:themeColor="text1"/>
          <w:lang w:val="en"/>
        </w:rPr>
        <w:t>66</w:t>
      </w:r>
      <w:r w:rsidR="00C25C6F">
        <w:rPr>
          <w:rFonts w:ascii="Calibri" w:eastAsia="Arial" w:hAnsi="Calibri" w:cs="Calibri"/>
          <w:color w:val="000000" w:themeColor="text1"/>
          <w:lang w:val="en"/>
        </w:rPr>
        <w:t>.</w:t>
      </w:r>
      <w:r>
        <w:rPr>
          <w:rFonts w:ascii="Calibri" w:eastAsia="Arial" w:hAnsi="Calibri" w:cs="Calibri"/>
          <w:color w:val="000000" w:themeColor="text1"/>
          <w:lang w:val="en"/>
        </w:rPr>
        <w:t xml:space="preserve"> </w:t>
      </w:r>
      <w:r w:rsidR="00427051" w:rsidRPr="001671B7">
        <w:rPr>
          <w:rFonts w:ascii="Calibri" w:eastAsia="Arial" w:hAnsi="Calibri" w:cs="Calibri"/>
          <w:b/>
          <w:bCs/>
          <w:color w:val="000000" w:themeColor="text1"/>
          <w:lang w:val="en"/>
        </w:rPr>
        <w:t>Does sub-recipient include fiscal sponsor?</w:t>
      </w:r>
    </w:p>
    <w:p w14:paraId="0E6DE2A0" w14:textId="77777777" w:rsidR="00427051" w:rsidRPr="001671B7" w:rsidRDefault="00427051" w:rsidP="001671B7">
      <w:pPr>
        <w:tabs>
          <w:tab w:val="left" w:pos="540"/>
        </w:tabs>
        <w:rPr>
          <w:rFonts w:ascii="Calibri" w:eastAsia="Arial" w:hAnsi="Calibri" w:cs="Calibri"/>
          <w:color w:val="000000" w:themeColor="text1"/>
          <w:lang w:val="en"/>
        </w:rPr>
      </w:pPr>
    </w:p>
    <w:p w14:paraId="425169F0" w14:textId="3FD2436B" w:rsidR="00427051" w:rsidRPr="00197D53" w:rsidRDefault="00DE3EC3" w:rsidP="00085491">
      <w:pPr>
        <w:pStyle w:val="ListParagraph"/>
        <w:tabs>
          <w:tab w:val="left" w:pos="540"/>
        </w:tabs>
        <w:ind w:left="360"/>
        <w:rPr>
          <w:rFonts w:ascii="Calibri" w:eastAsia="Arial" w:hAnsi="Calibri" w:cs="Calibri"/>
        </w:rPr>
      </w:pPr>
      <w:r w:rsidRPr="00197D53">
        <w:rPr>
          <w:rFonts w:ascii="Calibri" w:eastAsia="Arial" w:hAnsi="Calibri" w:cs="Calibri"/>
        </w:rPr>
        <w:t xml:space="preserve">A Subrecipient means an entity that receives a subaward from a pass-through entity to carry out part of a </w:t>
      </w:r>
      <w:r w:rsidR="00353EC7" w:rsidRPr="00197D53">
        <w:rPr>
          <w:rFonts w:ascii="Calibri" w:eastAsia="Arial" w:hAnsi="Calibri" w:cs="Calibri"/>
        </w:rPr>
        <w:t>federal</w:t>
      </w:r>
      <w:r w:rsidRPr="00197D53">
        <w:rPr>
          <w:rFonts w:ascii="Calibri" w:eastAsia="Arial" w:hAnsi="Calibri" w:cs="Calibri"/>
        </w:rPr>
        <w:t xml:space="preserve"> award. The term subrecipient does not include a beneficiary or participant.</w:t>
      </w:r>
    </w:p>
    <w:p w14:paraId="75799318" w14:textId="77777777" w:rsidR="00DE3EC3" w:rsidRPr="001671B7" w:rsidRDefault="00DE3EC3" w:rsidP="001671B7">
      <w:pPr>
        <w:tabs>
          <w:tab w:val="left" w:pos="540"/>
        </w:tabs>
        <w:rPr>
          <w:rFonts w:ascii="Calibri" w:eastAsia="Arial" w:hAnsi="Calibri" w:cs="Calibri"/>
          <w:color w:val="000000" w:themeColor="text1"/>
          <w:lang w:val="en"/>
        </w:rPr>
      </w:pPr>
    </w:p>
    <w:p w14:paraId="1B70399C" w14:textId="714AC69B" w:rsidR="00427051" w:rsidRPr="001671B7" w:rsidRDefault="001B5C24" w:rsidP="001671B7">
      <w:pPr>
        <w:tabs>
          <w:tab w:val="left" w:pos="540"/>
        </w:tabs>
        <w:rPr>
          <w:rFonts w:ascii="Calibri" w:eastAsia="Arial" w:hAnsi="Calibri" w:cs="Calibri"/>
          <w:b/>
          <w:bCs/>
          <w:color w:val="000000" w:themeColor="text1"/>
        </w:rPr>
      </w:pPr>
      <w:r>
        <w:rPr>
          <w:rFonts w:ascii="Calibri" w:eastAsia="Arial" w:hAnsi="Calibri" w:cs="Calibri"/>
          <w:color w:val="000000" w:themeColor="text1"/>
        </w:rPr>
        <w:t>67</w:t>
      </w:r>
      <w:r w:rsidR="00C25C6F">
        <w:rPr>
          <w:rFonts w:ascii="Calibri" w:eastAsia="Arial" w:hAnsi="Calibri" w:cs="Calibri"/>
          <w:color w:val="000000" w:themeColor="text1"/>
        </w:rPr>
        <w:t>.</w:t>
      </w:r>
      <w:r>
        <w:rPr>
          <w:rFonts w:ascii="Calibri" w:eastAsia="Arial" w:hAnsi="Calibri" w:cs="Calibri"/>
          <w:color w:val="000000" w:themeColor="text1"/>
        </w:rPr>
        <w:t xml:space="preserve"> </w:t>
      </w:r>
      <w:r w:rsidR="00427051" w:rsidRPr="001671B7">
        <w:rPr>
          <w:rFonts w:ascii="Calibri" w:eastAsia="Arial" w:hAnsi="Calibri" w:cs="Calibri"/>
          <w:b/>
          <w:bCs/>
          <w:color w:val="000000" w:themeColor="text1"/>
        </w:rPr>
        <w:t>Can letters of support also be submitted?</w:t>
      </w:r>
    </w:p>
    <w:p w14:paraId="784329E8" w14:textId="77777777" w:rsidR="00427051" w:rsidRPr="001671B7" w:rsidRDefault="00427051" w:rsidP="001671B7">
      <w:pPr>
        <w:tabs>
          <w:tab w:val="left" w:pos="540"/>
        </w:tabs>
        <w:rPr>
          <w:rFonts w:ascii="Calibri" w:eastAsia="Arial" w:hAnsi="Calibri" w:cs="Calibri"/>
          <w:color w:val="000000" w:themeColor="text1"/>
          <w:lang w:val="en"/>
        </w:rPr>
      </w:pPr>
    </w:p>
    <w:p w14:paraId="194EF538" w14:textId="2BD83089" w:rsidR="00427051" w:rsidRPr="00197D53" w:rsidRDefault="001B5C24" w:rsidP="00085491">
      <w:pPr>
        <w:pStyle w:val="ListParagraph"/>
        <w:tabs>
          <w:tab w:val="left" w:pos="540"/>
        </w:tabs>
        <w:ind w:left="360" w:hanging="180"/>
        <w:rPr>
          <w:rFonts w:ascii="Calibri" w:eastAsia="Arial" w:hAnsi="Calibri" w:cs="Calibri"/>
          <w:color w:val="000000" w:themeColor="text1"/>
          <w:lang w:val="en"/>
        </w:rPr>
      </w:pPr>
      <w:r>
        <w:rPr>
          <w:rFonts w:ascii="Calibri" w:eastAsia="Arial" w:hAnsi="Calibri" w:cs="Calibri"/>
          <w:color w:val="000000" w:themeColor="text1"/>
        </w:rPr>
        <w:t xml:space="preserve">   </w:t>
      </w:r>
      <w:r w:rsidR="68B7DDD2" w:rsidRPr="0191E773">
        <w:rPr>
          <w:rFonts w:ascii="Calibri" w:eastAsia="Arial" w:hAnsi="Calibri" w:cs="Calibri"/>
          <w:color w:val="000000" w:themeColor="text1"/>
        </w:rPr>
        <w:t>Letters of support a</w:t>
      </w:r>
      <w:r w:rsidR="68B7DDD2" w:rsidRPr="0191E773">
        <w:rPr>
          <w:rFonts w:ascii="Calibri" w:eastAsia="Arial" w:hAnsi="Calibri" w:cs="Calibri"/>
          <w:color w:val="000000" w:themeColor="text1"/>
          <w:lang w:val="en"/>
        </w:rPr>
        <w:t>re welcome to be submitted as non</w:t>
      </w:r>
      <w:r w:rsidR="00197D53">
        <w:rPr>
          <w:rFonts w:ascii="Calibri" w:eastAsia="Arial" w:hAnsi="Calibri" w:cs="Calibri"/>
          <w:color w:val="000000" w:themeColor="text1"/>
          <w:lang w:val="en"/>
        </w:rPr>
        <w:t>-</w:t>
      </w:r>
      <w:r w:rsidR="68B7DDD2" w:rsidRPr="0191E773">
        <w:rPr>
          <w:rFonts w:ascii="Calibri" w:eastAsia="Arial" w:hAnsi="Calibri" w:cs="Calibri"/>
          <w:color w:val="000000" w:themeColor="text1"/>
          <w:lang w:val="en"/>
        </w:rPr>
        <w:t>required additional documents. However, a letter of support cannot take the place of commitment or partnership letters whe</w:t>
      </w:r>
      <w:r w:rsidR="36CFFAE9" w:rsidRPr="0191E773">
        <w:rPr>
          <w:rFonts w:ascii="Calibri" w:eastAsia="Arial" w:hAnsi="Calibri" w:cs="Calibri"/>
          <w:color w:val="000000" w:themeColor="text1"/>
          <w:lang w:val="en"/>
        </w:rPr>
        <w:t>re</w:t>
      </w:r>
      <w:r w:rsidR="68B7DDD2" w:rsidRPr="0191E773">
        <w:rPr>
          <w:rFonts w:ascii="Calibri" w:eastAsia="Arial" w:hAnsi="Calibri" w:cs="Calibri"/>
          <w:color w:val="000000" w:themeColor="text1"/>
          <w:lang w:val="en"/>
        </w:rPr>
        <w:t xml:space="preserve"> required.</w:t>
      </w:r>
    </w:p>
    <w:p w14:paraId="1CA40406" w14:textId="77777777" w:rsidR="00427051" w:rsidRDefault="00427051" w:rsidP="004277B6">
      <w:pPr>
        <w:tabs>
          <w:tab w:val="left" w:pos="540"/>
        </w:tabs>
        <w:rPr>
          <w:rFonts w:ascii="Calibri" w:eastAsia="Arial" w:hAnsi="Calibri" w:cs="Calibri"/>
          <w:color w:val="000000" w:themeColor="text1"/>
          <w:lang w:val="en"/>
        </w:rPr>
      </w:pPr>
    </w:p>
    <w:p w14:paraId="48E1C4EA" w14:textId="1759F64E" w:rsidR="00427051" w:rsidRPr="001671B7" w:rsidRDefault="001B5C24" w:rsidP="001671B7">
      <w:pPr>
        <w:tabs>
          <w:tab w:val="left" w:pos="540"/>
        </w:tabs>
        <w:rPr>
          <w:rFonts w:ascii="Calibri" w:eastAsia="Arial" w:hAnsi="Calibri" w:cs="Calibri"/>
          <w:b/>
          <w:bCs/>
          <w:color w:val="000000" w:themeColor="text1"/>
        </w:rPr>
      </w:pPr>
      <w:r>
        <w:rPr>
          <w:rFonts w:ascii="Calibri" w:eastAsia="Arial" w:hAnsi="Calibri" w:cs="Calibri"/>
          <w:color w:val="000000" w:themeColor="text1"/>
        </w:rPr>
        <w:t>68</w:t>
      </w:r>
      <w:r w:rsidR="00C25C6F">
        <w:rPr>
          <w:rFonts w:ascii="Calibri" w:eastAsia="Arial" w:hAnsi="Calibri" w:cs="Calibri"/>
          <w:color w:val="000000" w:themeColor="text1"/>
        </w:rPr>
        <w:t>.</w:t>
      </w:r>
      <w:r>
        <w:rPr>
          <w:rFonts w:ascii="Calibri" w:eastAsia="Arial" w:hAnsi="Calibri" w:cs="Calibri"/>
          <w:color w:val="000000" w:themeColor="text1"/>
        </w:rPr>
        <w:t xml:space="preserve"> </w:t>
      </w:r>
      <w:r w:rsidR="00427051" w:rsidRPr="001671B7">
        <w:rPr>
          <w:rFonts w:ascii="Calibri" w:eastAsia="Arial" w:hAnsi="Calibri" w:cs="Calibri"/>
          <w:b/>
          <w:bCs/>
          <w:color w:val="000000" w:themeColor="text1"/>
        </w:rPr>
        <w:t>Is there a maximum page length to the project work plan?</w:t>
      </w:r>
    </w:p>
    <w:p w14:paraId="5B4920C1" w14:textId="77777777" w:rsidR="00427051" w:rsidRDefault="00427051" w:rsidP="004277B6">
      <w:pPr>
        <w:tabs>
          <w:tab w:val="left" w:pos="540"/>
        </w:tabs>
        <w:rPr>
          <w:rFonts w:ascii="Calibri" w:eastAsia="Arial" w:hAnsi="Calibri" w:cs="Calibri"/>
          <w:color w:val="000000" w:themeColor="text1"/>
          <w:lang w:val="en"/>
        </w:rPr>
      </w:pPr>
    </w:p>
    <w:p w14:paraId="3720B477" w14:textId="2F265822" w:rsidR="00427051" w:rsidRDefault="00085491" w:rsidP="00085491">
      <w:pPr>
        <w:pStyle w:val="ListParagraph"/>
        <w:tabs>
          <w:tab w:val="left" w:pos="540"/>
        </w:tabs>
        <w:ind w:left="360" w:hanging="180"/>
      </w:pPr>
      <w:r>
        <w:t xml:space="preserve">   </w:t>
      </w:r>
      <w:r w:rsidR="69E58D11" w:rsidRPr="0191E773">
        <w:t xml:space="preserve">No, there is no maximum page length for the project work plan. </w:t>
      </w:r>
      <w:r w:rsidR="5DE4CF5D" w:rsidRPr="0191E773">
        <w:t>The Cover/Signature Page, Executive Summary, required exhibits, mandatory partnership agreement letters, match commitment letters, and optional letters of support are not included in the 15-page limit</w:t>
      </w:r>
      <w:r w:rsidR="73ED65C9" w:rsidRPr="0191E773">
        <w:t xml:space="preserve"> of the</w:t>
      </w:r>
      <w:r w:rsidR="5DE4CF5D" w:rsidRPr="0191E773">
        <w:t xml:space="preserve"> Project Narrative (Exhibit A).</w:t>
      </w:r>
    </w:p>
    <w:p w14:paraId="7C54AEEC" w14:textId="77777777" w:rsidR="00427051" w:rsidRDefault="00427051" w:rsidP="001671B7">
      <w:pPr>
        <w:tabs>
          <w:tab w:val="left" w:pos="540"/>
        </w:tabs>
        <w:rPr>
          <w:rFonts w:ascii="Calibri" w:eastAsia="Arial" w:hAnsi="Calibri" w:cs="Calibri"/>
          <w:color w:val="000000" w:themeColor="text1"/>
          <w:lang w:val="en"/>
        </w:rPr>
      </w:pPr>
    </w:p>
    <w:p w14:paraId="1C80A703" w14:textId="23E187BC" w:rsidR="00427051" w:rsidRPr="001671B7" w:rsidRDefault="001B5C24" w:rsidP="001671B7">
      <w:pPr>
        <w:tabs>
          <w:tab w:val="left" w:pos="540"/>
        </w:tabs>
        <w:rPr>
          <w:rFonts w:ascii="Calibri" w:eastAsia="Arial" w:hAnsi="Calibri" w:cs="Calibri"/>
          <w:b/>
          <w:bCs/>
          <w:color w:val="000000" w:themeColor="text1"/>
          <w:lang w:val="en"/>
        </w:rPr>
      </w:pPr>
      <w:r>
        <w:rPr>
          <w:rFonts w:ascii="Calibri" w:eastAsia="Arial" w:hAnsi="Calibri" w:cs="Calibri"/>
          <w:color w:val="000000" w:themeColor="text1"/>
          <w:lang w:val="en"/>
        </w:rPr>
        <w:t xml:space="preserve">69 </w:t>
      </w:r>
      <w:r w:rsidR="00427051" w:rsidRPr="001671B7">
        <w:rPr>
          <w:rFonts w:ascii="Calibri" w:eastAsia="Arial" w:hAnsi="Calibri" w:cs="Calibri"/>
          <w:b/>
          <w:bCs/>
          <w:color w:val="000000" w:themeColor="text1"/>
          <w:lang w:val="en"/>
        </w:rPr>
        <w:t xml:space="preserve">What is the start date of the Project Work Plan Q1? </w:t>
      </w:r>
    </w:p>
    <w:p w14:paraId="16187054" w14:textId="77777777" w:rsidR="00427051" w:rsidRDefault="00427051" w:rsidP="001671B7">
      <w:pPr>
        <w:tabs>
          <w:tab w:val="left" w:pos="540"/>
        </w:tabs>
        <w:rPr>
          <w:rFonts w:ascii="Calibri" w:eastAsia="Arial" w:hAnsi="Calibri" w:cs="Calibri"/>
          <w:color w:val="000000" w:themeColor="text1"/>
          <w:lang w:val="en"/>
        </w:rPr>
      </w:pPr>
    </w:p>
    <w:p w14:paraId="56103D8D" w14:textId="6F80A781" w:rsidR="3BB66DD2" w:rsidRDefault="001B5C24" w:rsidP="00085491">
      <w:pPr>
        <w:tabs>
          <w:tab w:val="left" w:pos="540"/>
        </w:tabs>
        <w:spacing w:line="259" w:lineRule="auto"/>
        <w:ind w:left="360" w:hanging="180"/>
      </w:pPr>
      <w:r>
        <w:rPr>
          <w:rFonts w:ascii="Calibri" w:eastAsia="Arial" w:hAnsi="Calibri" w:cs="Calibri"/>
          <w:color w:val="000000" w:themeColor="text1"/>
        </w:rPr>
        <w:t xml:space="preserve">   </w:t>
      </w:r>
      <w:r w:rsidR="3BB66DD2" w:rsidRPr="0191E773">
        <w:rPr>
          <w:rFonts w:ascii="Calibri" w:eastAsia="Arial" w:hAnsi="Calibri" w:cs="Calibri"/>
          <w:color w:val="000000" w:themeColor="text1"/>
        </w:rPr>
        <w:t>The EDD anticipates p</w:t>
      </w:r>
      <w:r w:rsidR="3BB66DD2" w:rsidRPr="0191E773">
        <w:rPr>
          <w:rFonts w:ascii="Calibri" w:eastAsia="Arial" w:hAnsi="Calibri" w:cs="Calibri"/>
          <w:color w:val="000000" w:themeColor="text1"/>
          <w:lang w:val="en"/>
        </w:rPr>
        <w:t xml:space="preserve">rojects to begin January 2025. </w:t>
      </w:r>
    </w:p>
    <w:p w14:paraId="243D474C" w14:textId="77777777" w:rsidR="00427051" w:rsidRDefault="00427051" w:rsidP="001671B7">
      <w:pPr>
        <w:tabs>
          <w:tab w:val="left" w:pos="540"/>
        </w:tabs>
        <w:rPr>
          <w:rFonts w:ascii="Calibri" w:eastAsia="Arial" w:hAnsi="Calibri" w:cs="Calibri"/>
          <w:color w:val="000000" w:themeColor="text1"/>
          <w:lang w:val="en"/>
        </w:rPr>
      </w:pPr>
    </w:p>
    <w:p w14:paraId="30F31577" w14:textId="106BEC6E" w:rsidR="00427051" w:rsidRPr="001671B7" w:rsidRDefault="001B5C24" w:rsidP="001671B7">
      <w:pPr>
        <w:tabs>
          <w:tab w:val="left" w:pos="540"/>
        </w:tabs>
        <w:rPr>
          <w:rFonts w:ascii="Calibri" w:eastAsia="Arial" w:hAnsi="Calibri" w:cs="Calibri"/>
          <w:b/>
          <w:bCs/>
          <w:color w:val="000000" w:themeColor="text1"/>
          <w:lang w:val="en"/>
        </w:rPr>
      </w:pPr>
      <w:r>
        <w:rPr>
          <w:rFonts w:ascii="Calibri" w:eastAsia="Arial" w:hAnsi="Calibri" w:cs="Calibri"/>
          <w:color w:val="000000" w:themeColor="text1"/>
          <w:lang w:val="en"/>
        </w:rPr>
        <w:t>70</w:t>
      </w:r>
      <w:r w:rsidR="00C25C6F">
        <w:rPr>
          <w:rFonts w:ascii="Calibri" w:eastAsia="Arial" w:hAnsi="Calibri" w:cs="Calibri"/>
          <w:color w:val="000000" w:themeColor="text1"/>
          <w:lang w:val="en"/>
        </w:rPr>
        <w:t>.</w:t>
      </w:r>
      <w:r>
        <w:rPr>
          <w:rFonts w:ascii="Calibri" w:eastAsia="Arial" w:hAnsi="Calibri" w:cs="Calibri"/>
          <w:color w:val="000000" w:themeColor="text1"/>
          <w:lang w:val="en"/>
        </w:rPr>
        <w:t xml:space="preserve"> </w:t>
      </w:r>
      <w:r w:rsidR="00427051" w:rsidRPr="001671B7">
        <w:rPr>
          <w:rFonts w:ascii="Calibri" w:eastAsia="Arial" w:hAnsi="Calibri" w:cs="Calibri"/>
          <w:b/>
          <w:bCs/>
          <w:color w:val="000000" w:themeColor="text1"/>
          <w:lang w:val="en"/>
        </w:rPr>
        <w:t>Is a subrecipient the same as a stipend recipient?</w:t>
      </w:r>
    </w:p>
    <w:p w14:paraId="1B123E13" w14:textId="77777777" w:rsidR="00427051" w:rsidRPr="001671B7" w:rsidRDefault="00427051" w:rsidP="001671B7">
      <w:pPr>
        <w:tabs>
          <w:tab w:val="left" w:pos="540"/>
        </w:tabs>
        <w:rPr>
          <w:rFonts w:ascii="Calibri" w:eastAsia="Arial" w:hAnsi="Calibri" w:cs="Calibri"/>
          <w:color w:val="000000" w:themeColor="text1"/>
          <w:lang w:val="en"/>
        </w:rPr>
      </w:pPr>
    </w:p>
    <w:p w14:paraId="3DD7D46A" w14:textId="20015F18" w:rsidR="00427051" w:rsidRDefault="00085491" w:rsidP="00085491">
      <w:pPr>
        <w:pStyle w:val="ListParagraph"/>
        <w:tabs>
          <w:tab w:val="left" w:pos="540"/>
        </w:tabs>
        <w:ind w:left="360" w:hanging="180"/>
        <w:rPr>
          <w:rFonts w:ascii="Calibri" w:eastAsia="Arial" w:hAnsi="Calibri" w:cs="Calibri"/>
          <w:color w:val="000000" w:themeColor="text1"/>
          <w:lang w:val="en"/>
        </w:rPr>
      </w:pPr>
      <w:r>
        <w:rPr>
          <w:rFonts w:ascii="Calibri" w:eastAsia="Arial" w:hAnsi="Calibri" w:cs="Calibri"/>
          <w:color w:val="000000" w:themeColor="text1"/>
        </w:rPr>
        <w:t xml:space="preserve">   </w:t>
      </w:r>
      <w:r w:rsidR="0ACA29B1" w:rsidRPr="0191E773">
        <w:rPr>
          <w:rFonts w:ascii="Calibri" w:eastAsia="Arial" w:hAnsi="Calibri" w:cs="Calibri"/>
          <w:color w:val="000000" w:themeColor="text1"/>
        </w:rPr>
        <w:t>Subrecipie</w:t>
      </w:r>
      <w:r w:rsidR="0ACA29B1" w:rsidRPr="0191E773">
        <w:rPr>
          <w:rFonts w:ascii="Calibri" w:eastAsia="Arial" w:hAnsi="Calibri" w:cs="Calibri"/>
          <w:color w:val="000000" w:themeColor="text1"/>
          <w:lang w:val="en"/>
        </w:rPr>
        <w:t>nt refers to a</w:t>
      </w:r>
      <w:r w:rsidR="2C220B67" w:rsidRPr="0191E773">
        <w:rPr>
          <w:rFonts w:ascii="Calibri" w:eastAsia="Arial" w:hAnsi="Calibri" w:cs="Calibri"/>
          <w:color w:val="000000" w:themeColor="text1"/>
          <w:lang w:val="en"/>
        </w:rPr>
        <w:t>n</w:t>
      </w:r>
      <w:r w:rsidR="0ACA29B1" w:rsidRPr="0191E773">
        <w:rPr>
          <w:rFonts w:ascii="Calibri" w:eastAsia="Arial" w:hAnsi="Calibri" w:cs="Calibri"/>
          <w:color w:val="000000" w:themeColor="text1"/>
          <w:lang w:val="en"/>
        </w:rPr>
        <w:t xml:space="preserve"> organization that is receiving funds from the awardee to provide services during the program performance period. Stipends refer to funds that participants rec</w:t>
      </w:r>
      <w:r w:rsidR="2097A955" w:rsidRPr="0191E773">
        <w:rPr>
          <w:rFonts w:ascii="Calibri" w:eastAsia="Arial" w:hAnsi="Calibri" w:cs="Calibri"/>
          <w:color w:val="000000" w:themeColor="text1"/>
          <w:lang w:val="en"/>
        </w:rPr>
        <w:t>ei</w:t>
      </w:r>
      <w:r w:rsidR="0ACA29B1" w:rsidRPr="0191E773">
        <w:rPr>
          <w:rFonts w:ascii="Calibri" w:eastAsia="Arial" w:hAnsi="Calibri" w:cs="Calibri"/>
          <w:color w:val="000000" w:themeColor="text1"/>
          <w:lang w:val="en"/>
        </w:rPr>
        <w:t xml:space="preserve">ve in order to </w:t>
      </w:r>
      <w:r w:rsidR="3DC4EC28" w:rsidRPr="0191E773">
        <w:rPr>
          <w:rFonts w:ascii="Calibri" w:eastAsia="Arial" w:hAnsi="Calibri" w:cs="Calibri"/>
          <w:color w:val="000000" w:themeColor="text1"/>
          <w:lang w:val="en"/>
        </w:rPr>
        <w:t xml:space="preserve">incentivize </w:t>
      </w:r>
      <w:r w:rsidR="611C16D8" w:rsidRPr="0191E773">
        <w:rPr>
          <w:rFonts w:ascii="Calibri" w:eastAsia="Arial" w:hAnsi="Calibri" w:cs="Calibri"/>
          <w:color w:val="000000" w:themeColor="text1"/>
          <w:lang w:val="en"/>
        </w:rPr>
        <w:t>participation and completion of</w:t>
      </w:r>
      <w:r w:rsidR="3DC4EC28" w:rsidRPr="0191E773">
        <w:rPr>
          <w:rFonts w:ascii="Calibri" w:eastAsia="Arial" w:hAnsi="Calibri" w:cs="Calibri"/>
          <w:color w:val="000000" w:themeColor="text1"/>
          <w:lang w:val="en"/>
        </w:rPr>
        <w:t xml:space="preserve"> the program.</w:t>
      </w:r>
    </w:p>
    <w:p w14:paraId="15A14482" w14:textId="43590332" w:rsidR="00427051" w:rsidRDefault="00427051" w:rsidP="001671B7">
      <w:pPr>
        <w:tabs>
          <w:tab w:val="left" w:pos="540"/>
        </w:tabs>
        <w:rPr>
          <w:rFonts w:ascii="Calibri" w:eastAsia="Arial" w:hAnsi="Calibri" w:cs="Calibri"/>
          <w:color w:val="000000" w:themeColor="text1"/>
          <w:lang w:val="en"/>
        </w:rPr>
      </w:pPr>
    </w:p>
    <w:p w14:paraId="3A553CF8" w14:textId="427B54AB" w:rsidR="00427051" w:rsidRPr="001671B7" w:rsidRDefault="001B5C24" w:rsidP="00085491">
      <w:pPr>
        <w:tabs>
          <w:tab w:val="left" w:pos="540"/>
        </w:tabs>
        <w:ind w:left="360" w:hanging="360"/>
        <w:rPr>
          <w:rFonts w:ascii="Calibri" w:eastAsia="Arial" w:hAnsi="Calibri" w:cs="Calibri"/>
          <w:b/>
          <w:bCs/>
          <w:color w:val="000000" w:themeColor="text1"/>
          <w:lang w:val="en"/>
        </w:rPr>
      </w:pPr>
      <w:r>
        <w:rPr>
          <w:rFonts w:ascii="Calibri" w:eastAsia="Arial" w:hAnsi="Calibri" w:cs="Calibri"/>
          <w:color w:val="000000" w:themeColor="text1"/>
          <w:lang w:val="en"/>
        </w:rPr>
        <w:t>71</w:t>
      </w:r>
      <w:r w:rsidR="00C25C6F">
        <w:rPr>
          <w:rFonts w:ascii="Calibri" w:eastAsia="Arial" w:hAnsi="Calibri" w:cs="Calibri"/>
          <w:color w:val="000000" w:themeColor="text1"/>
          <w:lang w:val="en"/>
        </w:rPr>
        <w:t>.</w:t>
      </w:r>
      <w:r>
        <w:rPr>
          <w:rFonts w:ascii="Calibri" w:eastAsia="Arial" w:hAnsi="Calibri" w:cs="Calibri"/>
          <w:color w:val="000000" w:themeColor="text1"/>
          <w:lang w:val="en"/>
        </w:rPr>
        <w:t xml:space="preserve"> </w:t>
      </w:r>
      <w:r w:rsidR="00427051" w:rsidRPr="001671B7">
        <w:rPr>
          <w:rFonts w:ascii="Calibri" w:eastAsia="Arial" w:hAnsi="Calibri" w:cs="Calibri"/>
          <w:b/>
          <w:bCs/>
          <w:color w:val="000000" w:themeColor="text1"/>
          <w:lang w:val="en"/>
        </w:rPr>
        <w:t>Under what category do applicants list public agencies that are not workforce partners or employers?</w:t>
      </w:r>
    </w:p>
    <w:p w14:paraId="3CBA5242" w14:textId="77777777" w:rsidR="00427051" w:rsidRPr="001671B7" w:rsidRDefault="00427051" w:rsidP="001671B7">
      <w:pPr>
        <w:tabs>
          <w:tab w:val="left" w:pos="540"/>
        </w:tabs>
        <w:rPr>
          <w:rFonts w:ascii="Calibri" w:eastAsia="Arial" w:hAnsi="Calibri" w:cs="Calibri"/>
          <w:color w:val="000000" w:themeColor="text1"/>
          <w:lang w:val="en"/>
        </w:rPr>
      </w:pPr>
    </w:p>
    <w:p w14:paraId="3FB257F8" w14:textId="7CF062C4" w:rsidR="00427051" w:rsidRDefault="001B5C24" w:rsidP="00085491">
      <w:pPr>
        <w:pStyle w:val="ListParagraph"/>
        <w:tabs>
          <w:tab w:val="left" w:pos="540"/>
        </w:tabs>
        <w:ind w:left="360" w:hanging="180"/>
        <w:rPr>
          <w:rFonts w:ascii="Calibri" w:eastAsia="Arial" w:hAnsi="Calibri" w:cs="Calibri"/>
          <w:color w:val="000000" w:themeColor="text1"/>
          <w:lang w:val="en"/>
        </w:rPr>
      </w:pPr>
      <w:r>
        <w:rPr>
          <w:rFonts w:ascii="Calibri" w:eastAsia="Arial" w:hAnsi="Calibri" w:cs="Calibri"/>
          <w:color w:val="000000" w:themeColor="text1"/>
          <w:lang w:val="en"/>
        </w:rPr>
        <w:t xml:space="preserve">   </w:t>
      </w:r>
      <w:r w:rsidR="00197D53" w:rsidRPr="00197D53">
        <w:rPr>
          <w:rFonts w:ascii="Calibri" w:eastAsia="Arial" w:hAnsi="Calibri" w:cs="Calibri"/>
          <w:color w:val="000000" w:themeColor="text1"/>
          <w:lang w:val="en"/>
        </w:rPr>
        <w:t xml:space="preserve">List the partner </w:t>
      </w:r>
      <w:r w:rsidR="00197D53">
        <w:rPr>
          <w:rFonts w:ascii="Calibri" w:eastAsia="Arial" w:hAnsi="Calibri" w:cs="Calibri"/>
          <w:color w:val="000000" w:themeColor="text1"/>
          <w:lang w:val="en"/>
        </w:rPr>
        <w:t>u</w:t>
      </w:r>
      <w:r w:rsidR="00197D53" w:rsidRPr="00197D53">
        <w:rPr>
          <w:rFonts w:ascii="Calibri" w:eastAsia="Arial" w:hAnsi="Calibri" w:cs="Calibri"/>
          <w:color w:val="000000" w:themeColor="text1"/>
          <w:lang w:val="en"/>
        </w:rPr>
        <w:t>n</w:t>
      </w:r>
      <w:r w:rsidR="00197D53">
        <w:rPr>
          <w:rFonts w:ascii="Calibri" w:eastAsia="Arial" w:hAnsi="Calibri" w:cs="Calibri"/>
          <w:color w:val="000000" w:themeColor="text1"/>
          <w:lang w:val="en"/>
        </w:rPr>
        <w:t>der</w:t>
      </w:r>
      <w:r w:rsidR="00197D53" w:rsidRPr="00197D53">
        <w:rPr>
          <w:rFonts w:ascii="Calibri" w:eastAsia="Arial" w:hAnsi="Calibri" w:cs="Calibri"/>
          <w:color w:val="000000" w:themeColor="text1"/>
          <w:lang w:val="en"/>
        </w:rPr>
        <w:t xml:space="preserve"> the appropriate organization heading.</w:t>
      </w:r>
    </w:p>
    <w:p w14:paraId="2C733528" w14:textId="77777777" w:rsidR="00197D53" w:rsidRPr="001671B7" w:rsidRDefault="00197D53" w:rsidP="001671B7">
      <w:pPr>
        <w:tabs>
          <w:tab w:val="left" w:pos="540"/>
        </w:tabs>
        <w:rPr>
          <w:rFonts w:ascii="Calibri" w:eastAsia="Arial" w:hAnsi="Calibri" w:cs="Calibri"/>
          <w:color w:val="000000" w:themeColor="text1"/>
          <w:lang w:val="en"/>
        </w:rPr>
      </w:pPr>
    </w:p>
    <w:p w14:paraId="74F3B53C" w14:textId="219DEC34" w:rsidR="00427051" w:rsidRPr="001671B7" w:rsidRDefault="001B5C24" w:rsidP="001671B7">
      <w:pPr>
        <w:tabs>
          <w:tab w:val="left" w:pos="540"/>
        </w:tabs>
        <w:rPr>
          <w:rFonts w:ascii="Calibri" w:eastAsia="Arial" w:hAnsi="Calibri" w:cs="Calibri"/>
          <w:b/>
          <w:bCs/>
          <w:color w:val="000000" w:themeColor="text1"/>
        </w:rPr>
      </w:pPr>
      <w:r>
        <w:rPr>
          <w:rFonts w:ascii="Calibri" w:eastAsia="Arial" w:hAnsi="Calibri" w:cs="Calibri"/>
          <w:color w:val="000000" w:themeColor="text1"/>
        </w:rPr>
        <w:t>72</w:t>
      </w:r>
      <w:r w:rsidR="00C25C6F">
        <w:rPr>
          <w:rFonts w:ascii="Calibri" w:eastAsia="Arial" w:hAnsi="Calibri" w:cs="Calibri"/>
          <w:color w:val="000000" w:themeColor="text1"/>
        </w:rPr>
        <w:t>.</w:t>
      </w:r>
      <w:r>
        <w:rPr>
          <w:rFonts w:ascii="Calibri" w:eastAsia="Arial" w:hAnsi="Calibri" w:cs="Calibri"/>
          <w:color w:val="000000" w:themeColor="text1"/>
        </w:rPr>
        <w:t xml:space="preserve"> </w:t>
      </w:r>
      <w:r w:rsidR="00427051" w:rsidRPr="001671B7">
        <w:rPr>
          <w:rFonts w:ascii="Calibri" w:eastAsia="Arial" w:hAnsi="Calibri" w:cs="Calibri"/>
          <w:b/>
          <w:bCs/>
          <w:color w:val="000000" w:themeColor="text1"/>
        </w:rPr>
        <w:t xml:space="preserve">Are partners required to contribute cash or in-kind contributions? </w:t>
      </w:r>
    </w:p>
    <w:p w14:paraId="30FF27A6" w14:textId="77777777" w:rsidR="00427051" w:rsidRPr="001671B7" w:rsidRDefault="00427051" w:rsidP="001671B7">
      <w:pPr>
        <w:tabs>
          <w:tab w:val="left" w:pos="540"/>
        </w:tabs>
        <w:rPr>
          <w:rFonts w:ascii="Calibri" w:eastAsia="Arial" w:hAnsi="Calibri" w:cs="Calibri"/>
          <w:color w:val="000000" w:themeColor="text1"/>
          <w:lang w:val="en"/>
        </w:rPr>
      </w:pPr>
    </w:p>
    <w:p w14:paraId="010DDEEE" w14:textId="2DDDDA0C" w:rsidR="00427051" w:rsidRDefault="001B5C24" w:rsidP="00085491">
      <w:pPr>
        <w:pStyle w:val="ListParagraph"/>
        <w:tabs>
          <w:tab w:val="left" w:pos="540"/>
        </w:tabs>
        <w:ind w:left="360" w:hanging="180"/>
        <w:rPr>
          <w:rFonts w:ascii="Calibri" w:eastAsia="Arial" w:hAnsi="Calibri" w:cs="Calibri"/>
          <w:color w:val="000000" w:themeColor="text1"/>
          <w:lang w:val="en"/>
        </w:rPr>
      </w:pPr>
      <w:r>
        <w:rPr>
          <w:rFonts w:ascii="Calibri" w:eastAsia="Arial" w:hAnsi="Calibri" w:cs="Calibri"/>
          <w:color w:val="000000" w:themeColor="text1"/>
        </w:rPr>
        <w:t xml:space="preserve">   </w:t>
      </w:r>
      <w:r w:rsidR="4F68CCBF" w:rsidRPr="0191E773">
        <w:rPr>
          <w:rFonts w:ascii="Calibri" w:eastAsia="Arial" w:hAnsi="Calibri" w:cs="Calibri"/>
          <w:color w:val="000000" w:themeColor="text1"/>
        </w:rPr>
        <w:t xml:space="preserve">The partners </w:t>
      </w:r>
      <w:r w:rsidR="4F68CCBF" w:rsidRPr="0191E773">
        <w:rPr>
          <w:rFonts w:ascii="Calibri" w:eastAsia="Arial" w:hAnsi="Calibri" w:cs="Calibri"/>
          <w:color w:val="000000" w:themeColor="text1"/>
          <w:lang w:val="en"/>
        </w:rPr>
        <w:t>are not required</w:t>
      </w:r>
      <w:r w:rsidR="77BB9BD7" w:rsidRPr="0191E773">
        <w:rPr>
          <w:rFonts w:ascii="Calibri" w:eastAsia="Arial" w:hAnsi="Calibri" w:cs="Calibri"/>
          <w:color w:val="000000" w:themeColor="text1"/>
          <w:lang w:val="en"/>
        </w:rPr>
        <w:t xml:space="preserve"> by the EDD</w:t>
      </w:r>
      <w:r w:rsidR="4F68CCBF" w:rsidRPr="0191E773">
        <w:rPr>
          <w:rFonts w:ascii="Calibri" w:eastAsia="Arial" w:hAnsi="Calibri" w:cs="Calibri"/>
          <w:color w:val="000000" w:themeColor="text1"/>
          <w:lang w:val="en"/>
        </w:rPr>
        <w:t xml:space="preserve"> to provide cash or in-kind contributions to participate in the</w:t>
      </w:r>
      <w:r w:rsidR="25C0471D" w:rsidRPr="0191E773">
        <w:rPr>
          <w:rFonts w:ascii="Calibri" w:eastAsia="Arial" w:hAnsi="Calibri" w:cs="Calibri"/>
          <w:color w:val="000000" w:themeColor="text1"/>
          <w:lang w:val="en"/>
        </w:rPr>
        <w:t xml:space="preserve"> applicant’s</w:t>
      </w:r>
      <w:r w:rsidR="4F68CCBF" w:rsidRPr="0191E773">
        <w:rPr>
          <w:rFonts w:ascii="Calibri" w:eastAsia="Arial" w:hAnsi="Calibri" w:cs="Calibri"/>
          <w:color w:val="000000" w:themeColor="text1"/>
          <w:lang w:val="en"/>
        </w:rPr>
        <w:t xml:space="preserve"> program. Organizations </w:t>
      </w:r>
      <w:r w:rsidR="17694D47" w:rsidRPr="0191E773">
        <w:rPr>
          <w:rFonts w:ascii="Calibri" w:eastAsia="Arial" w:hAnsi="Calibri" w:cs="Calibri"/>
          <w:color w:val="000000" w:themeColor="text1"/>
          <w:lang w:val="en"/>
        </w:rPr>
        <w:t>may</w:t>
      </w:r>
      <w:r w:rsidR="4F68CCBF" w:rsidRPr="0191E773">
        <w:rPr>
          <w:rFonts w:ascii="Calibri" w:eastAsia="Arial" w:hAnsi="Calibri" w:cs="Calibri"/>
          <w:color w:val="000000" w:themeColor="text1"/>
          <w:lang w:val="en"/>
        </w:rPr>
        <w:t xml:space="preserve"> rec</w:t>
      </w:r>
      <w:r w:rsidR="280F72A5" w:rsidRPr="0191E773">
        <w:rPr>
          <w:rFonts w:ascii="Calibri" w:eastAsia="Arial" w:hAnsi="Calibri" w:cs="Calibri"/>
          <w:color w:val="000000" w:themeColor="text1"/>
          <w:lang w:val="en"/>
        </w:rPr>
        <w:t>ei</w:t>
      </w:r>
      <w:r w:rsidR="4F68CCBF" w:rsidRPr="0191E773">
        <w:rPr>
          <w:rFonts w:ascii="Calibri" w:eastAsia="Arial" w:hAnsi="Calibri" w:cs="Calibri"/>
          <w:color w:val="000000" w:themeColor="text1"/>
          <w:lang w:val="en"/>
        </w:rPr>
        <w:t>ve contributions</w:t>
      </w:r>
      <w:r w:rsidR="5292ED35" w:rsidRPr="0191E773">
        <w:rPr>
          <w:rFonts w:ascii="Calibri" w:eastAsia="Arial" w:hAnsi="Calibri" w:cs="Calibri"/>
          <w:color w:val="000000" w:themeColor="text1"/>
          <w:lang w:val="en"/>
        </w:rPr>
        <w:t xml:space="preserve"> </w:t>
      </w:r>
      <w:r w:rsidR="4F68CCBF" w:rsidRPr="0191E773">
        <w:rPr>
          <w:rFonts w:ascii="Calibri" w:eastAsia="Arial" w:hAnsi="Calibri" w:cs="Calibri"/>
          <w:color w:val="000000" w:themeColor="text1"/>
          <w:lang w:val="en"/>
        </w:rPr>
        <w:t>outside of the partner</w:t>
      </w:r>
      <w:r w:rsidR="00DAE7C5" w:rsidRPr="0191E773">
        <w:rPr>
          <w:rFonts w:ascii="Calibri" w:eastAsia="Arial" w:hAnsi="Calibri" w:cs="Calibri"/>
          <w:color w:val="000000" w:themeColor="text1"/>
          <w:lang w:val="en"/>
        </w:rPr>
        <w:t xml:space="preserve">ed organizations </w:t>
      </w:r>
      <w:r w:rsidR="30D36515" w:rsidRPr="0191E773">
        <w:rPr>
          <w:rFonts w:ascii="Calibri" w:eastAsia="Arial" w:hAnsi="Calibri" w:cs="Calibri"/>
          <w:color w:val="000000" w:themeColor="text1"/>
          <w:lang w:val="en"/>
        </w:rPr>
        <w:t>as applicable</w:t>
      </w:r>
      <w:r w:rsidR="17F8A5FB" w:rsidRPr="0191E773">
        <w:rPr>
          <w:rFonts w:ascii="Calibri" w:eastAsia="Arial" w:hAnsi="Calibri" w:cs="Calibri"/>
          <w:color w:val="000000" w:themeColor="text1"/>
          <w:lang w:val="en"/>
        </w:rPr>
        <w:t>.</w:t>
      </w:r>
    </w:p>
    <w:p w14:paraId="40C12ECD" w14:textId="77777777" w:rsidR="00427051" w:rsidRPr="001671B7" w:rsidRDefault="00427051" w:rsidP="001671B7">
      <w:pPr>
        <w:tabs>
          <w:tab w:val="left" w:pos="540"/>
        </w:tabs>
        <w:rPr>
          <w:rFonts w:ascii="Calibri" w:eastAsia="Arial" w:hAnsi="Calibri" w:cs="Calibri"/>
          <w:color w:val="000000" w:themeColor="text1"/>
          <w:lang w:val="en"/>
        </w:rPr>
      </w:pPr>
    </w:p>
    <w:p w14:paraId="2C1376F4" w14:textId="2BE8EB77" w:rsidR="00427051" w:rsidRPr="001671B7" w:rsidRDefault="001B5C24" w:rsidP="00085491">
      <w:pPr>
        <w:tabs>
          <w:tab w:val="left" w:pos="540"/>
        </w:tabs>
        <w:ind w:left="360" w:hanging="360"/>
        <w:rPr>
          <w:rFonts w:ascii="Calibri" w:eastAsia="Arial" w:hAnsi="Calibri" w:cs="Calibri"/>
          <w:b/>
          <w:bCs/>
          <w:color w:val="000000" w:themeColor="text1"/>
          <w:lang w:val="en"/>
        </w:rPr>
      </w:pPr>
      <w:r>
        <w:rPr>
          <w:rFonts w:ascii="Calibri" w:eastAsia="Arial" w:hAnsi="Calibri" w:cs="Calibri"/>
          <w:color w:val="000000" w:themeColor="text1"/>
          <w:lang w:val="en"/>
        </w:rPr>
        <w:t>73</w:t>
      </w:r>
      <w:r w:rsidR="00C25C6F">
        <w:rPr>
          <w:rFonts w:ascii="Calibri" w:eastAsia="Arial" w:hAnsi="Calibri" w:cs="Calibri"/>
          <w:color w:val="000000" w:themeColor="text1"/>
          <w:lang w:val="en"/>
        </w:rPr>
        <w:t>.</w:t>
      </w:r>
      <w:r>
        <w:rPr>
          <w:rFonts w:ascii="Calibri" w:eastAsia="Arial" w:hAnsi="Calibri" w:cs="Calibri"/>
          <w:color w:val="000000" w:themeColor="text1"/>
          <w:lang w:val="en"/>
        </w:rPr>
        <w:t xml:space="preserve"> </w:t>
      </w:r>
      <w:r w:rsidR="004277B6" w:rsidRPr="001671B7">
        <w:rPr>
          <w:rFonts w:ascii="Calibri" w:eastAsia="Arial" w:hAnsi="Calibri" w:cs="Calibri"/>
          <w:b/>
          <w:bCs/>
          <w:color w:val="000000" w:themeColor="text1"/>
          <w:lang w:val="en"/>
        </w:rPr>
        <w:t>How should the “Responsible Partners” column for activities be completed by internal staff? Should the internal staff responsible be listed, or should the column be left blank?</w:t>
      </w:r>
    </w:p>
    <w:p w14:paraId="39998A6C" w14:textId="77777777" w:rsidR="004277B6" w:rsidRPr="001671B7" w:rsidRDefault="004277B6" w:rsidP="001671B7">
      <w:pPr>
        <w:tabs>
          <w:tab w:val="left" w:pos="540"/>
        </w:tabs>
        <w:rPr>
          <w:rFonts w:ascii="Calibri" w:eastAsia="Arial" w:hAnsi="Calibri" w:cs="Calibri"/>
          <w:color w:val="000000" w:themeColor="text1"/>
          <w:lang w:val="en"/>
        </w:rPr>
      </w:pPr>
    </w:p>
    <w:p w14:paraId="2DAB4A7C" w14:textId="0DF913E5" w:rsidR="004277B6" w:rsidRDefault="001B5C24" w:rsidP="00085491">
      <w:pPr>
        <w:pStyle w:val="ListParagraph"/>
        <w:tabs>
          <w:tab w:val="left" w:pos="540"/>
        </w:tabs>
        <w:ind w:left="360" w:hanging="180"/>
        <w:rPr>
          <w:rFonts w:ascii="Calibri" w:eastAsia="Arial" w:hAnsi="Calibri" w:cs="Calibri"/>
          <w:color w:val="000000" w:themeColor="text1"/>
          <w:lang w:val="en"/>
        </w:rPr>
      </w:pPr>
      <w:r>
        <w:rPr>
          <w:rFonts w:ascii="Calibri" w:eastAsia="Arial" w:hAnsi="Calibri" w:cs="Calibri"/>
          <w:color w:val="000000" w:themeColor="text1"/>
          <w:lang w:val="en"/>
        </w:rPr>
        <w:t xml:space="preserve">    </w:t>
      </w:r>
      <w:r w:rsidR="00380F4F" w:rsidRPr="00380F4F">
        <w:rPr>
          <w:rFonts w:ascii="Calibri" w:eastAsia="Arial" w:hAnsi="Calibri" w:cs="Calibri"/>
          <w:color w:val="000000" w:themeColor="text1"/>
          <w:lang w:val="en"/>
        </w:rPr>
        <w:t xml:space="preserve">They wouldn’t be considered a partner, </w:t>
      </w:r>
      <w:r w:rsidR="00380F4F">
        <w:rPr>
          <w:rFonts w:ascii="Calibri" w:eastAsia="Arial" w:hAnsi="Calibri" w:cs="Calibri"/>
          <w:color w:val="000000" w:themeColor="text1"/>
          <w:lang w:val="en"/>
        </w:rPr>
        <w:t xml:space="preserve">but </w:t>
      </w:r>
      <w:r w:rsidR="00380F4F" w:rsidRPr="00380F4F">
        <w:rPr>
          <w:rFonts w:ascii="Calibri" w:eastAsia="Arial" w:hAnsi="Calibri" w:cs="Calibri"/>
          <w:color w:val="000000" w:themeColor="text1"/>
          <w:lang w:val="en"/>
        </w:rPr>
        <w:t>rather a staff member.</w:t>
      </w:r>
    </w:p>
    <w:p w14:paraId="1C9CAC87" w14:textId="77777777" w:rsidR="00380F4F" w:rsidRPr="001671B7" w:rsidRDefault="00380F4F" w:rsidP="001671B7">
      <w:pPr>
        <w:tabs>
          <w:tab w:val="left" w:pos="540"/>
        </w:tabs>
        <w:rPr>
          <w:rFonts w:ascii="Calibri" w:eastAsia="Arial" w:hAnsi="Calibri" w:cs="Calibri"/>
          <w:color w:val="000000" w:themeColor="text1"/>
          <w:lang w:val="en"/>
        </w:rPr>
      </w:pPr>
    </w:p>
    <w:p w14:paraId="25385B38" w14:textId="5E422DEE" w:rsidR="004277B6" w:rsidRPr="001671B7" w:rsidRDefault="001B5C24" w:rsidP="001671B7">
      <w:pPr>
        <w:tabs>
          <w:tab w:val="left" w:pos="540"/>
        </w:tabs>
        <w:rPr>
          <w:rFonts w:ascii="Calibri" w:eastAsia="Arial" w:hAnsi="Calibri" w:cs="Calibri"/>
          <w:b/>
          <w:bCs/>
          <w:color w:val="000000" w:themeColor="text1"/>
          <w:lang w:val="en"/>
        </w:rPr>
      </w:pPr>
      <w:r>
        <w:rPr>
          <w:rFonts w:ascii="Calibri" w:eastAsia="Arial" w:hAnsi="Calibri" w:cs="Calibri"/>
          <w:color w:val="000000" w:themeColor="text1"/>
          <w:lang w:val="en"/>
        </w:rPr>
        <w:t>74</w:t>
      </w:r>
      <w:r w:rsidR="00C25C6F">
        <w:rPr>
          <w:rFonts w:ascii="Calibri" w:eastAsia="Arial" w:hAnsi="Calibri" w:cs="Calibri"/>
          <w:color w:val="000000" w:themeColor="text1"/>
          <w:lang w:val="en"/>
        </w:rPr>
        <w:t>.</w:t>
      </w:r>
      <w:r>
        <w:rPr>
          <w:rFonts w:ascii="Calibri" w:eastAsia="Arial" w:hAnsi="Calibri" w:cs="Calibri"/>
          <w:color w:val="000000" w:themeColor="text1"/>
          <w:lang w:val="en"/>
        </w:rPr>
        <w:t xml:space="preserve"> </w:t>
      </w:r>
      <w:r w:rsidR="004277B6" w:rsidRPr="001671B7">
        <w:rPr>
          <w:rFonts w:ascii="Calibri" w:eastAsia="Arial" w:hAnsi="Calibri" w:cs="Calibri"/>
          <w:b/>
          <w:bCs/>
          <w:color w:val="000000" w:themeColor="text1"/>
          <w:lang w:val="en"/>
        </w:rPr>
        <w:t>What is the difference between a commitment and a partnership agreement letter?</w:t>
      </w:r>
    </w:p>
    <w:p w14:paraId="66404542" w14:textId="77777777" w:rsidR="004277B6" w:rsidRPr="001671B7" w:rsidRDefault="004277B6" w:rsidP="001671B7">
      <w:pPr>
        <w:tabs>
          <w:tab w:val="left" w:pos="540"/>
        </w:tabs>
        <w:rPr>
          <w:rFonts w:ascii="Calibri" w:eastAsia="Arial" w:hAnsi="Calibri" w:cs="Calibri"/>
          <w:color w:val="000000" w:themeColor="text1"/>
          <w:lang w:val="en"/>
        </w:rPr>
      </w:pPr>
    </w:p>
    <w:p w14:paraId="0E505B23" w14:textId="6CA953AE" w:rsidR="004277B6" w:rsidRDefault="60DF8174" w:rsidP="00085491">
      <w:pPr>
        <w:pStyle w:val="ListParagraph"/>
        <w:tabs>
          <w:tab w:val="left" w:pos="540"/>
        </w:tabs>
        <w:ind w:left="360"/>
        <w:rPr>
          <w:rFonts w:ascii="Calibri" w:eastAsia="Arial" w:hAnsi="Calibri" w:cs="Calibri"/>
          <w:color w:val="000000" w:themeColor="text1"/>
          <w:lang w:val="en"/>
        </w:rPr>
      </w:pPr>
      <w:r w:rsidRPr="0191E773">
        <w:rPr>
          <w:rFonts w:ascii="Calibri" w:eastAsia="Arial" w:hAnsi="Calibri" w:cs="Calibri"/>
          <w:color w:val="000000" w:themeColor="text1"/>
        </w:rPr>
        <w:t>A commi</w:t>
      </w:r>
      <w:r w:rsidRPr="0191E773">
        <w:rPr>
          <w:rFonts w:ascii="Calibri" w:eastAsia="Arial" w:hAnsi="Calibri" w:cs="Calibri"/>
          <w:color w:val="000000" w:themeColor="text1"/>
          <w:lang w:val="en"/>
        </w:rPr>
        <w:t xml:space="preserve">tment letter is required when an applicant </w:t>
      </w:r>
      <w:r w:rsidR="2EA57DEE" w:rsidRPr="0191E773">
        <w:rPr>
          <w:rFonts w:ascii="Calibri" w:eastAsia="Arial" w:hAnsi="Calibri" w:cs="Calibri"/>
          <w:color w:val="000000" w:themeColor="text1"/>
          <w:lang w:val="en"/>
        </w:rPr>
        <w:t>c</w:t>
      </w:r>
      <w:r w:rsidRPr="0191E773">
        <w:rPr>
          <w:rFonts w:ascii="Calibri" w:eastAsia="Arial" w:hAnsi="Calibri" w:cs="Calibri"/>
          <w:color w:val="000000" w:themeColor="text1"/>
          <w:lang w:val="en"/>
        </w:rPr>
        <w:t>ites a financial or in-kind contribution that will make up the leveraged funds requirement. A partnership agreement letter is required when an applicant details the services an outside organization will be providing for the applicant</w:t>
      </w:r>
      <w:r w:rsidR="3180758F" w:rsidRPr="0191E773">
        <w:rPr>
          <w:rFonts w:ascii="Calibri" w:eastAsia="Arial" w:hAnsi="Calibri" w:cs="Calibri"/>
          <w:color w:val="000000" w:themeColor="text1"/>
          <w:lang w:val="en"/>
        </w:rPr>
        <w:t>’</w:t>
      </w:r>
      <w:r w:rsidRPr="0191E773">
        <w:rPr>
          <w:rFonts w:ascii="Calibri" w:eastAsia="Arial" w:hAnsi="Calibri" w:cs="Calibri"/>
          <w:color w:val="000000" w:themeColor="text1"/>
          <w:lang w:val="en"/>
        </w:rPr>
        <w:t xml:space="preserve">s </w:t>
      </w:r>
      <w:r w:rsidR="381C92AF" w:rsidRPr="0191E773">
        <w:rPr>
          <w:rFonts w:ascii="Calibri" w:eastAsia="Arial" w:hAnsi="Calibri" w:cs="Calibri"/>
          <w:color w:val="000000" w:themeColor="text1"/>
          <w:lang w:val="en"/>
        </w:rPr>
        <w:t>program.</w:t>
      </w:r>
      <w:r w:rsidR="39550CC3" w:rsidRPr="0191E773">
        <w:rPr>
          <w:rFonts w:ascii="Calibri" w:eastAsia="Arial" w:hAnsi="Calibri" w:cs="Calibri"/>
          <w:color w:val="000000" w:themeColor="text1"/>
          <w:lang w:val="en"/>
        </w:rPr>
        <w:t xml:space="preserve"> If </w:t>
      </w:r>
      <w:r w:rsidR="39550CC3" w:rsidRPr="0191E773">
        <w:rPr>
          <w:rFonts w:ascii="Calibri" w:eastAsia="Arial" w:hAnsi="Calibri" w:cs="Calibri"/>
          <w:color w:val="000000" w:themeColor="text1"/>
          <w:lang w:val="en"/>
        </w:rPr>
        <w:lastRenderedPageBreak/>
        <w:t>an organization is providing both funding and services to the applicant</w:t>
      </w:r>
      <w:r w:rsidR="5663B415" w:rsidRPr="0191E773">
        <w:rPr>
          <w:rFonts w:ascii="Calibri" w:eastAsia="Arial" w:hAnsi="Calibri" w:cs="Calibri"/>
          <w:color w:val="000000" w:themeColor="text1"/>
          <w:lang w:val="en"/>
        </w:rPr>
        <w:t>,</w:t>
      </w:r>
      <w:r w:rsidR="39550CC3" w:rsidRPr="0191E773">
        <w:rPr>
          <w:rFonts w:ascii="Calibri" w:eastAsia="Arial" w:hAnsi="Calibri" w:cs="Calibri"/>
          <w:color w:val="000000" w:themeColor="text1"/>
          <w:lang w:val="en"/>
        </w:rPr>
        <w:t xml:space="preserve"> then both letters are required.</w:t>
      </w:r>
    </w:p>
    <w:p w14:paraId="0836325B" w14:textId="77777777" w:rsidR="004277B6" w:rsidRPr="001671B7" w:rsidRDefault="004277B6" w:rsidP="001671B7">
      <w:pPr>
        <w:tabs>
          <w:tab w:val="left" w:pos="540"/>
        </w:tabs>
        <w:rPr>
          <w:rFonts w:ascii="Calibri" w:eastAsia="Arial" w:hAnsi="Calibri" w:cs="Calibri"/>
          <w:color w:val="000000" w:themeColor="text1"/>
          <w:lang w:val="en"/>
        </w:rPr>
      </w:pPr>
    </w:p>
    <w:p w14:paraId="05E8A840" w14:textId="27AACB33" w:rsidR="004277B6" w:rsidRPr="001671B7" w:rsidRDefault="001B5C24" w:rsidP="001671B7">
      <w:pPr>
        <w:tabs>
          <w:tab w:val="left" w:pos="540"/>
        </w:tabs>
        <w:rPr>
          <w:rFonts w:ascii="Calibri" w:eastAsia="Arial" w:hAnsi="Calibri" w:cs="Calibri"/>
          <w:b/>
          <w:bCs/>
          <w:color w:val="000000" w:themeColor="text1"/>
          <w:lang w:val="en"/>
        </w:rPr>
      </w:pPr>
      <w:r>
        <w:rPr>
          <w:rFonts w:ascii="Calibri" w:eastAsia="Arial" w:hAnsi="Calibri" w:cs="Calibri"/>
          <w:color w:val="000000" w:themeColor="text1"/>
          <w:lang w:val="en"/>
        </w:rPr>
        <w:t>75</w:t>
      </w:r>
      <w:r w:rsidR="00C25C6F">
        <w:rPr>
          <w:rFonts w:ascii="Calibri" w:eastAsia="Arial" w:hAnsi="Calibri" w:cs="Calibri"/>
          <w:color w:val="000000" w:themeColor="text1"/>
          <w:lang w:val="en"/>
        </w:rPr>
        <w:t>.</w:t>
      </w:r>
      <w:r>
        <w:rPr>
          <w:rFonts w:ascii="Calibri" w:eastAsia="Arial" w:hAnsi="Calibri" w:cs="Calibri"/>
          <w:color w:val="000000" w:themeColor="text1"/>
          <w:lang w:val="en"/>
        </w:rPr>
        <w:t xml:space="preserve"> </w:t>
      </w:r>
      <w:r w:rsidR="004277B6" w:rsidRPr="001671B7">
        <w:rPr>
          <w:rFonts w:ascii="Calibri" w:eastAsia="Arial" w:hAnsi="Calibri" w:cs="Calibri"/>
          <w:b/>
          <w:bCs/>
          <w:color w:val="000000" w:themeColor="text1"/>
          <w:lang w:val="en"/>
        </w:rPr>
        <w:t>Is it a requirement to have at least one partner for each partner type?</w:t>
      </w:r>
    </w:p>
    <w:p w14:paraId="6F5A24B0" w14:textId="77777777" w:rsidR="004277B6" w:rsidRPr="001671B7" w:rsidRDefault="004277B6" w:rsidP="001671B7">
      <w:pPr>
        <w:tabs>
          <w:tab w:val="left" w:pos="540"/>
        </w:tabs>
        <w:rPr>
          <w:rFonts w:ascii="Calibri" w:eastAsia="Arial" w:hAnsi="Calibri" w:cs="Calibri"/>
          <w:color w:val="000000" w:themeColor="text1"/>
          <w:lang w:val="en"/>
        </w:rPr>
      </w:pPr>
    </w:p>
    <w:p w14:paraId="3A2FAE21" w14:textId="593973FF" w:rsidR="004277B6" w:rsidRPr="00DC424D" w:rsidRDefault="001B5C24" w:rsidP="00085491">
      <w:pPr>
        <w:pStyle w:val="ListParagraph"/>
        <w:tabs>
          <w:tab w:val="left" w:pos="540"/>
        </w:tabs>
        <w:spacing w:line="259" w:lineRule="auto"/>
        <w:ind w:left="540" w:hanging="360"/>
      </w:pPr>
      <w:r>
        <w:rPr>
          <w:rFonts w:ascii="Calibri" w:eastAsia="Arial" w:hAnsi="Calibri" w:cs="Calibri"/>
          <w:color w:val="000000" w:themeColor="text1"/>
        </w:rPr>
        <w:t xml:space="preserve">   </w:t>
      </w:r>
      <w:r w:rsidR="421EE2E5" w:rsidRPr="0191E773">
        <w:rPr>
          <w:rFonts w:ascii="Calibri" w:eastAsia="Arial" w:hAnsi="Calibri" w:cs="Calibri"/>
          <w:color w:val="000000" w:themeColor="text1"/>
        </w:rPr>
        <w:t xml:space="preserve">No, this is not a requirement. </w:t>
      </w:r>
    </w:p>
    <w:p w14:paraId="18BC81FC" w14:textId="24D51599" w:rsidR="004277B6" w:rsidRDefault="004277B6" w:rsidP="001671B7">
      <w:pPr>
        <w:tabs>
          <w:tab w:val="left" w:pos="540"/>
        </w:tabs>
        <w:rPr>
          <w:rFonts w:ascii="Calibri" w:eastAsia="Arial" w:hAnsi="Calibri" w:cs="Calibri"/>
          <w:color w:val="000000" w:themeColor="text1"/>
          <w:lang w:val="en"/>
        </w:rPr>
      </w:pPr>
    </w:p>
    <w:p w14:paraId="7352F1B9" w14:textId="6C522D8F" w:rsidR="004277B6" w:rsidRPr="001671B7" w:rsidRDefault="001B5C24" w:rsidP="001671B7">
      <w:pPr>
        <w:tabs>
          <w:tab w:val="left" w:pos="540"/>
        </w:tabs>
        <w:rPr>
          <w:rFonts w:ascii="Calibri" w:eastAsia="Arial" w:hAnsi="Calibri" w:cs="Calibri"/>
          <w:b/>
          <w:bCs/>
          <w:color w:val="000000" w:themeColor="text1"/>
          <w:lang w:val="en"/>
        </w:rPr>
      </w:pPr>
      <w:r>
        <w:rPr>
          <w:rFonts w:ascii="Calibri" w:eastAsia="Arial" w:hAnsi="Calibri" w:cs="Calibri"/>
          <w:color w:val="000000" w:themeColor="text1"/>
          <w:lang w:val="en"/>
        </w:rPr>
        <w:t>76</w:t>
      </w:r>
      <w:r w:rsidR="00C25C6F">
        <w:rPr>
          <w:rFonts w:ascii="Calibri" w:eastAsia="Arial" w:hAnsi="Calibri" w:cs="Calibri"/>
          <w:color w:val="000000" w:themeColor="text1"/>
          <w:lang w:val="en"/>
        </w:rPr>
        <w:t>.</w:t>
      </w:r>
      <w:r>
        <w:rPr>
          <w:rFonts w:ascii="Calibri" w:eastAsia="Arial" w:hAnsi="Calibri" w:cs="Calibri"/>
          <w:color w:val="000000" w:themeColor="text1"/>
          <w:lang w:val="en"/>
        </w:rPr>
        <w:t xml:space="preserve"> </w:t>
      </w:r>
      <w:r w:rsidR="004277B6" w:rsidRPr="001671B7">
        <w:rPr>
          <w:rFonts w:ascii="Calibri" w:eastAsia="Arial" w:hAnsi="Calibri" w:cs="Calibri"/>
          <w:b/>
          <w:bCs/>
          <w:color w:val="000000" w:themeColor="text1"/>
          <w:lang w:val="en"/>
        </w:rPr>
        <w:t>Will there be a round 3 next year?</w:t>
      </w:r>
    </w:p>
    <w:p w14:paraId="7FA91699" w14:textId="77777777" w:rsidR="004277B6" w:rsidRPr="001671B7" w:rsidRDefault="004277B6" w:rsidP="001671B7">
      <w:pPr>
        <w:tabs>
          <w:tab w:val="left" w:pos="540"/>
        </w:tabs>
        <w:rPr>
          <w:rFonts w:ascii="Calibri" w:eastAsia="Arial" w:hAnsi="Calibri" w:cs="Calibri"/>
          <w:color w:val="000000" w:themeColor="text1"/>
          <w:lang w:val="en"/>
        </w:rPr>
      </w:pPr>
    </w:p>
    <w:p w14:paraId="06B6EBFF" w14:textId="1DFDDFAE" w:rsidR="7CB24653" w:rsidRDefault="001B5C24" w:rsidP="00085491">
      <w:pPr>
        <w:pStyle w:val="ListParagraph"/>
        <w:tabs>
          <w:tab w:val="left" w:pos="540"/>
        </w:tabs>
        <w:spacing w:line="259" w:lineRule="auto"/>
        <w:ind w:left="360" w:hanging="180"/>
      </w:pPr>
      <w:r>
        <w:rPr>
          <w:rFonts w:ascii="Calibri" w:eastAsia="Arial" w:hAnsi="Calibri" w:cs="Calibri"/>
          <w:color w:val="000000" w:themeColor="text1"/>
        </w:rPr>
        <w:t xml:space="preserve">   </w:t>
      </w:r>
      <w:r w:rsidR="7CB24653" w:rsidRPr="0191E773">
        <w:rPr>
          <w:rFonts w:ascii="Calibri" w:eastAsia="Arial" w:hAnsi="Calibri" w:cs="Calibri"/>
          <w:color w:val="000000" w:themeColor="text1"/>
        </w:rPr>
        <w:t xml:space="preserve">At this time, the EDD is not able to confirm whether any additional rounds of OYACPP funding will be available. Please continue to monitor the EDD website for future funding opportunities. </w:t>
      </w:r>
    </w:p>
    <w:p w14:paraId="51CB991B" w14:textId="77777777" w:rsidR="004277B6" w:rsidRDefault="004277B6" w:rsidP="004277B6">
      <w:pPr>
        <w:pStyle w:val="ListParagraph"/>
        <w:tabs>
          <w:tab w:val="left" w:pos="540"/>
        </w:tabs>
        <w:ind w:left="360"/>
        <w:rPr>
          <w:rFonts w:ascii="Calibri" w:eastAsia="Arial" w:hAnsi="Calibri" w:cs="Calibri"/>
          <w:color w:val="000000" w:themeColor="text1"/>
          <w:lang w:val="en"/>
        </w:rPr>
      </w:pPr>
    </w:p>
    <w:p w14:paraId="44CCED40" w14:textId="71C34C47" w:rsidR="004277B6" w:rsidRPr="001671B7" w:rsidRDefault="001B5C24" w:rsidP="00085491">
      <w:pPr>
        <w:tabs>
          <w:tab w:val="left" w:pos="540"/>
        </w:tabs>
        <w:ind w:left="360" w:hanging="360"/>
        <w:rPr>
          <w:rFonts w:ascii="Calibri" w:eastAsia="Arial" w:hAnsi="Calibri" w:cs="Calibri"/>
          <w:b/>
          <w:bCs/>
          <w:color w:val="000000" w:themeColor="text1"/>
        </w:rPr>
      </w:pPr>
      <w:r>
        <w:rPr>
          <w:rFonts w:ascii="Calibri" w:eastAsia="Arial" w:hAnsi="Calibri" w:cs="Calibri"/>
          <w:color w:val="000000" w:themeColor="text1"/>
        </w:rPr>
        <w:t>77</w:t>
      </w:r>
      <w:r w:rsidR="00C25C6F">
        <w:rPr>
          <w:rFonts w:ascii="Calibri" w:eastAsia="Arial" w:hAnsi="Calibri" w:cs="Calibri"/>
          <w:color w:val="000000" w:themeColor="text1"/>
        </w:rPr>
        <w:t>.</w:t>
      </w:r>
      <w:r>
        <w:rPr>
          <w:rFonts w:ascii="Calibri" w:eastAsia="Arial" w:hAnsi="Calibri" w:cs="Calibri"/>
          <w:color w:val="000000" w:themeColor="text1"/>
        </w:rPr>
        <w:t xml:space="preserve"> </w:t>
      </w:r>
      <w:r w:rsidR="004277B6" w:rsidRPr="001671B7">
        <w:rPr>
          <w:rFonts w:ascii="Calibri" w:eastAsia="Arial" w:hAnsi="Calibri" w:cs="Calibri"/>
          <w:b/>
          <w:bCs/>
          <w:color w:val="000000" w:themeColor="text1"/>
        </w:rPr>
        <w:t>Must commitment letters show that the funding is specifically allocated to the proposed project or might an award letter for general operations suffice?</w:t>
      </w:r>
    </w:p>
    <w:p w14:paraId="3F6B7025" w14:textId="77777777" w:rsidR="004277B6" w:rsidRDefault="004277B6" w:rsidP="004277B6">
      <w:pPr>
        <w:pStyle w:val="ListParagraph"/>
        <w:tabs>
          <w:tab w:val="left" w:pos="540"/>
        </w:tabs>
        <w:ind w:left="360"/>
        <w:rPr>
          <w:rFonts w:ascii="Calibri" w:eastAsia="Arial" w:hAnsi="Calibri" w:cs="Calibri"/>
          <w:color w:val="000000" w:themeColor="text1"/>
          <w:lang w:val="en"/>
        </w:rPr>
      </w:pPr>
    </w:p>
    <w:p w14:paraId="7F566ED1" w14:textId="41184D16" w:rsidR="2E056F2D" w:rsidRDefault="2E056F2D" w:rsidP="00085491">
      <w:pPr>
        <w:pStyle w:val="ListParagraph"/>
        <w:tabs>
          <w:tab w:val="left" w:pos="540"/>
        </w:tabs>
        <w:spacing w:line="259" w:lineRule="auto"/>
        <w:ind w:left="360"/>
        <w:rPr>
          <w:rFonts w:ascii="Calibri" w:eastAsia="Arial" w:hAnsi="Calibri" w:cs="Calibri"/>
          <w:color w:val="000000" w:themeColor="text1"/>
        </w:rPr>
      </w:pPr>
      <w:r w:rsidRPr="0191E773">
        <w:rPr>
          <w:rFonts w:ascii="Calibri" w:eastAsia="Arial" w:hAnsi="Calibri" w:cs="Calibri"/>
          <w:color w:val="000000" w:themeColor="text1"/>
        </w:rPr>
        <w:t xml:space="preserve">Commitment letters must detail the specific </w:t>
      </w:r>
      <w:r w:rsidR="63A2FBA2" w:rsidRPr="0191E773">
        <w:rPr>
          <w:rFonts w:ascii="Calibri" w:eastAsia="Arial" w:hAnsi="Calibri" w:cs="Calibri"/>
          <w:color w:val="000000" w:themeColor="text1"/>
        </w:rPr>
        <w:t xml:space="preserve">dollar </w:t>
      </w:r>
      <w:r w:rsidRPr="0191E773">
        <w:rPr>
          <w:rFonts w:ascii="Calibri" w:eastAsia="Arial" w:hAnsi="Calibri" w:cs="Calibri"/>
          <w:color w:val="000000" w:themeColor="text1"/>
        </w:rPr>
        <w:t>amount that will be pledged to the program and must match the amount</w:t>
      </w:r>
      <w:r w:rsidR="59403D56" w:rsidRPr="0191E773">
        <w:rPr>
          <w:rFonts w:ascii="Calibri" w:eastAsia="Arial" w:hAnsi="Calibri" w:cs="Calibri"/>
          <w:color w:val="000000" w:themeColor="text1"/>
        </w:rPr>
        <w:t>s</w:t>
      </w:r>
      <w:r w:rsidRPr="0191E773">
        <w:rPr>
          <w:rFonts w:ascii="Calibri" w:eastAsia="Arial" w:hAnsi="Calibri" w:cs="Calibri"/>
          <w:color w:val="000000" w:themeColor="text1"/>
        </w:rPr>
        <w:t xml:space="preserve"> listed on the cover page and budget documents</w:t>
      </w:r>
      <w:r w:rsidR="3B71B98F" w:rsidRPr="0191E773">
        <w:rPr>
          <w:rFonts w:ascii="Calibri" w:eastAsia="Arial" w:hAnsi="Calibri" w:cs="Calibri"/>
          <w:color w:val="000000" w:themeColor="text1"/>
        </w:rPr>
        <w:t xml:space="preserve"> to be accepted</w:t>
      </w:r>
      <w:r w:rsidRPr="0191E773">
        <w:rPr>
          <w:rFonts w:ascii="Calibri" w:eastAsia="Arial" w:hAnsi="Calibri" w:cs="Calibri"/>
          <w:color w:val="000000" w:themeColor="text1"/>
        </w:rPr>
        <w:t>.</w:t>
      </w:r>
      <w:r w:rsidR="02B22F78" w:rsidRPr="0191E773">
        <w:rPr>
          <w:rFonts w:ascii="Calibri" w:eastAsia="Arial" w:hAnsi="Calibri" w:cs="Calibri"/>
          <w:color w:val="000000" w:themeColor="text1"/>
        </w:rPr>
        <w:t xml:space="preserve"> The funds must be allocated for the program and not for general operations.</w:t>
      </w:r>
    </w:p>
    <w:p w14:paraId="67E66D51" w14:textId="77777777" w:rsidR="004277B6" w:rsidRDefault="004277B6" w:rsidP="004277B6">
      <w:pPr>
        <w:pStyle w:val="ListParagraph"/>
        <w:tabs>
          <w:tab w:val="left" w:pos="540"/>
        </w:tabs>
        <w:ind w:left="360"/>
        <w:rPr>
          <w:rFonts w:ascii="Calibri" w:eastAsia="Arial" w:hAnsi="Calibri" w:cs="Calibri"/>
          <w:color w:val="000000" w:themeColor="text1"/>
          <w:lang w:val="en"/>
        </w:rPr>
      </w:pPr>
    </w:p>
    <w:p w14:paraId="656117FF" w14:textId="64462340" w:rsidR="004277B6" w:rsidRPr="001671B7" w:rsidRDefault="001B5C24" w:rsidP="00353EC7">
      <w:pPr>
        <w:tabs>
          <w:tab w:val="left" w:pos="540"/>
        </w:tabs>
        <w:ind w:left="360" w:hanging="360"/>
        <w:rPr>
          <w:rFonts w:ascii="Calibri" w:eastAsia="Arial" w:hAnsi="Calibri" w:cs="Calibri"/>
          <w:b/>
          <w:bCs/>
          <w:color w:val="000000" w:themeColor="text1"/>
        </w:rPr>
      </w:pPr>
      <w:r>
        <w:rPr>
          <w:rFonts w:ascii="Calibri" w:eastAsia="Arial" w:hAnsi="Calibri" w:cs="Calibri"/>
          <w:color w:val="000000" w:themeColor="text1"/>
        </w:rPr>
        <w:t>78</w:t>
      </w:r>
      <w:r w:rsidR="00C25C6F">
        <w:rPr>
          <w:rFonts w:ascii="Calibri" w:eastAsia="Arial" w:hAnsi="Calibri" w:cs="Calibri"/>
          <w:color w:val="000000" w:themeColor="text1"/>
        </w:rPr>
        <w:t>.</w:t>
      </w:r>
      <w:r>
        <w:rPr>
          <w:rFonts w:ascii="Calibri" w:eastAsia="Arial" w:hAnsi="Calibri" w:cs="Calibri"/>
          <w:color w:val="000000" w:themeColor="text1"/>
        </w:rPr>
        <w:t xml:space="preserve"> </w:t>
      </w:r>
      <w:r w:rsidR="004277B6" w:rsidRPr="001671B7">
        <w:rPr>
          <w:rFonts w:ascii="Calibri" w:eastAsia="Arial" w:hAnsi="Calibri" w:cs="Calibri"/>
          <w:b/>
          <w:bCs/>
          <w:color w:val="000000" w:themeColor="text1"/>
        </w:rPr>
        <w:t>For performance goal #3 “Number enrolled scheduled for completion of credentials” – is that the number of services provided (i.e. Occupational Skills Training) that leads to a credential? Please clearly define the intended services as done with the WBL on page 2 of Exhibit K.</w:t>
      </w:r>
    </w:p>
    <w:p w14:paraId="521653D8" w14:textId="77777777" w:rsidR="004277B6" w:rsidRDefault="004277B6" w:rsidP="004277B6">
      <w:pPr>
        <w:pStyle w:val="ListParagraph"/>
        <w:tabs>
          <w:tab w:val="left" w:pos="540"/>
        </w:tabs>
        <w:ind w:left="360"/>
        <w:rPr>
          <w:rFonts w:ascii="Calibri" w:eastAsia="Arial" w:hAnsi="Calibri" w:cs="Calibri"/>
          <w:color w:val="000000" w:themeColor="text1"/>
          <w:lang w:val="en"/>
        </w:rPr>
      </w:pPr>
    </w:p>
    <w:p w14:paraId="0FB20833" w14:textId="0BCF28D9" w:rsidR="004277B6" w:rsidRDefault="00DC424D" w:rsidP="00353EC7">
      <w:pPr>
        <w:pStyle w:val="ListParagraph"/>
        <w:tabs>
          <w:tab w:val="left" w:pos="540"/>
        </w:tabs>
        <w:ind w:left="360"/>
        <w:rPr>
          <w:rFonts w:ascii="Calibri" w:eastAsia="Arial" w:hAnsi="Calibri" w:cs="Calibri"/>
          <w:color w:val="000000" w:themeColor="text1"/>
          <w:lang w:val="en"/>
        </w:rPr>
      </w:pPr>
      <w:r w:rsidRPr="00DC424D">
        <w:rPr>
          <w:rFonts w:ascii="Calibri" w:eastAsia="Arial" w:hAnsi="Calibri" w:cs="Calibri"/>
          <w:color w:val="000000" w:themeColor="text1"/>
          <w:lang w:val="en"/>
        </w:rPr>
        <w:t>When completing Exhibit K in the Total Participants box for “Number enrolled scheduled for completion of credentials” this should include all participants who have been enrolled in a training service.</w:t>
      </w:r>
    </w:p>
    <w:p w14:paraId="21A6313A" w14:textId="20160667" w:rsidR="00DC424D" w:rsidRDefault="00DC424D" w:rsidP="00353EC7">
      <w:pPr>
        <w:pStyle w:val="ListParagraph"/>
        <w:tabs>
          <w:tab w:val="left" w:pos="540"/>
        </w:tabs>
        <w:ind w:left="360"/>
        <w:rPr>
          <w:rFonts w:ascii="Calibri" w:eastAsia="Arial" w:hAnsi="Calibri" w:cs="Calibri"/>
          <w:color w:val="000000" w:themeColor="text1"/>
          <w:lang w:val="en"/>
        </w:rPr>
      </w:pPr>
      <w:r w:rsidRPr="0191E773">
        <w:rPr>
          <w:i/>
          <w:iCs/>
        </w:rPr>
        <w:t>For additional information please reference</w:t>
      </w:r>
      <w:r>
        <w:rPr>
          <w:i/>
          <w:iCs/>
        </w:rPr>
        <w:t xml:space="preserve"> </w:t>
      </w:r>
      <w:r w:rsidR="00A45C96" w:rsidRPr="00A45C96">
        <w:t>(</w:t>
      </w:r>
      <w:hyperlink r:id="rId23" w:history="1">
        <w:r w:rsidRPr="00A45C96">
          <w:rPr>
            <w:rStyle w:val="Hyperlink"/>
            <w:u w:val="none"/>
          </w:rPr>
          <w:t>WSD23-03</w:t>
        </w:r>
      </w:hyperlink>
      <w:r w:rsidR="00A45C96" w:rsidRPr="00A45C96">
        <w:rPr>
          <w:rStyle w:val="Hyperlink"/>
          <w:color w:val="auto"/>
        </w:rPr>
        <w:t>)</w:t>
      </w:r>
      <w:r>
        <w:rPr>
          <w:i/>
          <w:iCs/>
        </w:rPr>
        <w:t>, Performance Guidance.</w:t>
      </w:r>
    </w:p>
    <w:p w14:paraId="4E59A7F7" w14:textId="77777777" w:rsidR="004277B6" w:rsidRDefault="004277B6" w:rsidP="004277B6">
      <w:pPr>
        <w:pStyle w:val="ListParagraph"/>
        <w:tabs>
          <w:tab w:val="left" w:pos="540"/>
        </w:tabs>
        <w:ind w:left="360"/>
        <w:rPr>
          <w:rFonts w:ascii="Calibri" w:eastAsia="Arial" w:hAnsi="Calibri" w:cs="Calibri"/>
          <w:color w:val="000000" w:themeColor="text1"/>
          <w:lang w:val="en"/>
        </w:rPr>
      </w:pPr>
    </w:p>
    <w:p w14:paraId="2BC974E8" w14:textId="69790F20" w:rsidR="004277B6" w:rsidRPr="001671B7" w:rsidRDefault="001B5C24" w:rsidP="00353EC7">
      <w:pPr>
        <w:tabs>
          <w:tab w:val="left" w:pos="540"/>
        </w:tabs>
        <w:ind w:left="360" w:hanging="360"/>
        <w:rPr>
          <w:rFonts w:ascii="Calibri" w:eastAsia="Arial" w:hAnsi="Calibri" w:cs="Calibri"/>
          <w:b/>
          <w:bCs/>
          <w:color w:val="000000" w:themeColor="text1"/>
        </w:rPr>
      </w:pPr>
      <w:r>
        <w:rPr>
          <w:rFonts w:ascii="Calibri" w:eastAsia="Arial" w:hAnsi="Calibri" w:cs="Calibri"/>
          <w:color w:val="000000" w:themeColor="text1"/>
        </w:rPr>
        <w:t>79</w:t>
      </w:r>
      <w:r w:rsidR="00C25C6F">
        <w:rPr>
          <w:rFonts w:ascii="Calibri" w:eastAsia="Arial" w:hAnsi="Calibri" w:cs="Calibri"/>
          <w:color w:val="000000" w:themeColor="text1"/>
        </w:rPr>
        <w:t>.</w:t>
      </w:r>
      <w:r>
        <w:rPr>
          <w:rFonts w:ascii="Calibri" w:eastAsia="Arial" w:hAnsi="Calibri" w:cs="Calibri"/>
          <w:color w:val="000000" w:themeColor="text1"/>
        </w:rPr>
        <w:t xml:space="preserve"> </w:t>
      </w:r>
      <w:r w:rsidR="004277B6" w:rsidRPr="001671B7">
        <w:rPr>
          <w:rFonts w:ascii="Calibri" w:eastAsia="Arial" w:hAnsi="Calibri" w:cs="Calibri"/>
          <w:b/>
          <w:bCs/>
          <w:color w:val="000000" w:themeColor="text1"/>
        </w:rPr>
        <w:t>How is an in-kind match measured? Will there be a time and effort form required during quarterly</w:t>
      </w:r>
      <w:r w:rsidR="004277B6" w:rsidRPr="001671B7">
        <w:rPr>
          <w:rFonts w:ascii="Calibri" w:eastAsia="Arial" w:hAnsi="Calibri" w:cs="Calibri"/>
          <w:color w:val="000000" w:themeColor="text1"/>
        </w:rPr>
        <w:t xml:space="preserve"> </w:t>
      </w:r>
      <w:r w:rsidR="004277B6" w:rsidRPr="001671B7">
        <w:rPr>
          <w:rFonts w:ascii="Calibri" w:eastAsia="Arial" w:hAnsi="Calibri" w:cs="Calibri"/>
          <w:b/>
          <w:bCs/>
          <w:color w:val="000000" w:themeColor="text1"/>
        </w:rPr>
        <w:t xml:space="preserve">reporting? </w:t>
      </w:r>
    </w:p>
    <w:p w14:paraId="0416D2D0" w14:textId="77777777" w:rsidR="004277B6" w:rsidRDefault="004277B6" w:rsidP="004277B6">
      <w:pPr>
        <w:pStyle w:val="ListParagraph"/>
        <w:tabs>
          <w:tab w:val="left" w:pos="540"/>
        </w:tabs>
        <w:ind w:left="360"/>
        <w:rPr>
          <w:rFonts w:ascii="Calibri" w:eastAsia="Arial" w:hAnsi="Calibri" w:cs="Calibri"/>
          <w:color w:val="000000" w:themeColor="text1"/>
          <w:lang w:val="en"/>
        </w:rPr>
      </w:pPr>
    </w:p>
    <w:p w14:paraId="66EF7AF3" w14:textId="0B803CE3" w:rsidR="0D81AF35" w:rsidRDefault="0D81AF35" w:rsidP="00085491">
      <w:pPr>
        <w:pStyle w:val="ListParagraph"/>
        <w:tabs>
          <w:tab w:val="left" w:pos="540"/>
        </w:tabs>
        <w:ind w:left="360"/>
      </w:pPr>
      <w:r w:rsidRPr="0191E773">
        <w:t xml:space="preserve">“In-kind contribution” is a contribution of non-cash resources explicitly used for project activities. This type of contribution includes, but is not limited to, donated personnel or staff, services, and use of equipment or space. </w:t>
      </w:r>
    </w:p>
    <w:p w14:paraId="39B2AF6F" w14:textId="0A6E7AE7" w:rsidR="007B1634" w:rsidRDefault="007B1634" w:rsidP="00085491">
      <w:pPr>
        <w:pStyle w:val="ListParagraph"/>
        <w:tabs>
          <w:tab w:val="left" w:pos="540"/>
        </w:tabs>
        <w:ind w:left="360"/>
      </w:pPr>
      <w:r>
        <w:t xml:space="preserve">No, organizations are not required to submit a time and effort tracker/excel form. </w:t>
      </w:r>
      <w:r w:rsidRPr="007B1634">
        <w:t>However</w:t>
      </w:r>
      <w:r>
        <w:t>, a</w:t>
      </w:r>
      <w:r w:rsidRPr="007B1634">
        <w:t>ll recipients are responsible for ensuring all expenditure reports are accurate and submitted on time. Subrecipients are required to submit monthly and quarterly expenditure reports on a cumulative basis following the accrual basis of accounting in CalJOB</w:t>
      </w:r>
      <w:r>
        <w:t>S</w:t>
      </w:r>
      <w:r w:rsidRPr="007B1634">
        <w:t xml:space="preserve"> which includes a line item for in</w:t>
      </w:r>
      <w:r>
        <w:t>-</w:t>
      </w:r>
      <w:r w:rsidRPr="007B1634">
        <w:t>kind match.</w:t>
      </w:r>
    </w:p>
    <w:p w14:paraId="544664F0" w14:textId="7374E3A9" w:rsidR="0D81AF35" w:rsidRDefault="0D81AF35" w:rsidP="00085491">
      <w:pPr>
        <w:pStyle w:val="ListParagraph"/>
        <w:tabs>
          <w:tab w:val="left" w:pos="540"/>
        </w:tabs>
        <w:spacing w:line="259" w:lineRule="auto"/>
        <w:ind w:left="360"/>
        <w:rPr>
          <w:rFonts w:ascii="Calibri" w:eastAsia="Arial" w:hAnsi="Calibri" w:cs="Calibri"/>
          <w:i/>
          <w:iCs/>
          <w:color w:val="000000" w:themeColor="text1"/>
          <w:lang w:val="en"/>
        </w:rPr>
      </w:pPr>
      <w:r w:rsidRPr="0191E773">
        <w:rPr>
          <w:rFonts w:ascii="Calibri" w:eastAsia="Arial" w:hAnsi="Calibri" w:cs="Calibri"/>
          <w:i/>
          <w:iCs/>
          <w:color w:val="000000" w:themeColor="text1"/>
        </w:rPr>
        <w:t>For additional information, please reference page 43 of the SFP.</w:t>
      </w:r>
    </w:p>
    <w:p w14:paraId="62E11DB9" w14:textId="77777777" w:rsidR="004277B6" w:rsidRDefault="004277B6" w:rsidP="004277B6">
      <w:pPr>
        <w:pStyle w:val="ListParagraph"/>
        <w:tabs>
          <w:tab w:val="left" w:pos="540"/>
        </w:tabs>
        <w:ind w:left="360"/>
        <w:rPr>
          <w:rFonts w:ascii="Calibri" w:eastAsia="Arial" w:hAnsi="Calibri" w:cs="Calibri"/>
          <w:color w:val="000000" w:themeColor="text1"/>
          <w:lang w:val="en"/>
        </w:rPr>
      </w:pPr>
    </w:p>
    <w:p w14:paraId="7B4A560A" w14:textId="71D73E2C" w:rsidR="004277B6" w:rsidRPr="001671B7" w:rsidRDefault="001B5C24" w:rsidP="001671B7">
      <w:pPr>
        <w:tabs>
          <w:tab w:val="left" w:pos="540"/>
        </w:tabs>
        <w:rPr>
          <w:rFonts w:ascii="Calibri" w:eastAsia="Arial" w:hAnsi="Calibri" w:cs="Calibri"/>
          <w:b/>
          <w:bCs/>
          <w:color w:val="000000" w:themeColor="text1"/>
          <w:lang w:val="en"/>
        </w:rPr>
      </w:pPr>
      <w:r>
        <w:rPr>
          <w:rFonts w:ascii="Calibri" w:eastAsia="Arial" w:hAnsi="Calibri" w:cs="Calibri"/>
          <w:color w:val="000000" w:themeColor="text1"/>
          <w:lang w:val="en"/>
        </w:rPr>
        <w:t>80</w:t>
      </w:r>
      <w:r w:rsidR="00C25C6F">
        <w:rPr>
          <w:rFonts w:ascii="Calibri" w:eastAsia="Arial" w:hAnsi="Calibri" w:cs="Calibri"/>
          <w:color w:val="000000" w:themeColor="text1"/>
          <w:lang w:val="en"/>
        </w:rPr>
        <w:t>.</w:t>
      </w:r>
      <w:r>
        <w:rPr>
          <w:rFonts w:ascii="Calibri" w:eastAsia="Arial" w:hAnsi="Calibri" w:cs="Calibri"/>
          <w:color w:val="000000" w:themeColor="text1"/>
          <w:lang w:val="en"/>
        </w:rPr>
        <w:t xml:space="preserve"> </w:t>
      </w:r>
      <w:r w:rsidR="004277B6" w:rsidRPr="001671B7">
        <w:rPr>
          <w:rFonts w:ascii="Calibri" w:eastAsia="Arial" w:hAnsi="Calibri" w:cs="Calibri"/>
          <w:b/>
          <w:bCs/>
          <w:color w:val="000000" w:themeColor="text1"/>
          <w:lang w:val="en"/>
        </w:rPr>
        <w:t>What is the award duration once an organization receives the award?</w:t>
      </w:r>
    </w:p>
    <w:p w14:paraId="3DBC4BE2" w14:textId="77777777" w:rsidR="004277B6" w:rsidRDefault="004277B6" w:rsidP="004277B6">
      <w:pPr>
        <w:pStyle w:val="ListParagraph"/>
        <w:tabs>
          <w:tab w:val="left" w:pos="540"/>
        </w:tabs>
        <w:ind w:left="360"/>
        <w:rPr>
          <w:rFonts w:ascii="Calibri" w:eastAsia="Arial" w:hAnsi="Calibri" w:cs="Calibri"/>
          <w:color w:val="000000" w:themeColor="text1"/>
          <w:lang w:val="en"/>
        </w:rPr>
      </w:pPr>
    </w:p>
    <w:p w14:paraId="5B9A8C72" w14:textId="5EDA0374" w:rsidR="004277B6" w:rsidRDefault="001B5C24" w:rsidP="00353EC7">
      <w:pPr>
        <w:pStyle w:val="ListParagraph"/>
        <w:tabs>
          <w:tab w:val="left" w:pos="540"/>
        </w:tabs>
        <w:ind w:left="180"/>
      </w:pPr>
      <w:r>
        <w:rPr>
          <w:rFonts w:ascii="Calibri" w:eastAsia="Calibri" w:hAnsi="Calibri" w:cs="Calibri"/>
          <w:szCs w:val="24"/>
        </w:rPr>
        <w:t xml:space="preserve">   </w:t>
      </w:r>
      <w:r w:rsidR="4F1D2E71" w:rsidRPr="0191E773">
        <w:rPr>
          <w:rFonts w:ascii="Calibri" w:eastAsia="Calibri" w:hAnsi="Calibri" w:cs="Calibri"/>
          <w:szCs w:val="24"/>
        </w:rPr>
        <w:t>The period of performance is 18 to 24 months.</w:t>
      </w:r>
    </w:p>
    <w:p w14:paraId="22D88AF3" w14:textId="77777777" w:rsidR="004277B6" w:rsidRDefault="004277B6" w:rsidP="004277B6">
      <w:pPr>
        <w:pStyle w:val="ListParagraph"/>
        <w:tabs>
          <w:tab w:val="left" w:pos="540"/>
        </w:tabs>
        <w:ind w:left="360"/>
        <w:rPr>
          <w:rFonts w:ascii="Calibri" w:eastAsia="Arial" w:hAnsi="Calibri" w:cs="Calibri"/>
          <w:color w:val="000000" w:themeColor="text1"/>
          <w:lang w:val="en"/>
        </w:rPr>
      </w:pPr>
    </w:p>
    <w:p w14:paraId="42BE6479" w14:textId="36D3AE6C" w:rsidR="004277B6" w:rsidRPr="001671B7" w:rsidRDefault="001B5C24" w:rsidP="001671B7">
      <w:pPr>
        <w:tabs>
          <w:tab w:val="left" w:pos="540"/>
        </w:tabs>
        <w:rPr>
          <w:rFonts w:ascii="Calibri" w:eastAsia="Arial" w:hAnsi="Calibri" w:cs="Calibri"/>
          <w:b/>
          <w:bCs/>
          <w:color w:val="000000" w:themeColor="text1"/>
          <w:lang w:val="en"/>
        </w:rPr>
      </w:pPr>
      <w:r>
        <w:rPr>
          <w:rFonts w:ascii="Calibri" w:eastAsia="Arial" w:hAnsi="Calibri" w:cs="Calibri"/>
          <w:color w:val="000000" w:themeColor="text1"/>
          <w:lang w:val="en"/>
        </w:rPr>
        <w:t>81</w:t>
      </w:r>
      <w:r w:rsidR="00C25C6F">
        <w:rPr>
          <w:rFonts w:ascii="Calibri" w:eastAsia="Arial" w:hAnsi="Calibri" w:cs="Calibri"/>
          <w:color w:val="000000" w:themeColor="text1"/>
          <w:lang w:val="en"/>
        </w:rPr>
        <w:t>.</w:t>
      </w:r>
      <w:r>
        <w:rPr>
          <w:rFonts w:ascii="Calibri" w:eastAsia="Arial" w:hAnsi="Calibri" w:cs="Calibri"/>
          <w:color w:val="000000" w:themeColor="text1"/>
          <w:lang w:val="en"/>
        </w:rPr>
        <w:t xml:space="preserve"> </w:t>
      </w:r>
      <w:r w:rsidR="004277B6" w:rsidRPr="001671B7">
        <w:rPr>
          <w:rFonts w:ascii="Calibri" w:eastAsia="Arial" w:hAnsi="Calibri" w:cs="Calibri"/>
          <w:b/>
          <w:bCs/>
          <w:color w:val="000000" w:themeColor="text1"/>
          <w:lang w:val="en"/>
        </w:rPr>
        <w:t>What do applicants do if their documents are too large to email?</w:t>
      </w:r>
    </w:p>
    <w:p w14:paraId="20F336BA" w14:textId="1E3C33E1" w:rsidR="004277B6" w:rsidRDefault="004277B6" w:rsidP="0191E773">
      <w:pPr>
        <w:tabs>
          <w:tab w:val="left" w:pos="540"/>
        </w:tabs>
        <w:ind w:left="360"/>
        <w:rPr>
          <w:rFonts w:ascii="Calibri" w:eastAsia="Arial" w:hAnsi="Calibri" w:cs="Calibri"/>
          <w:color w:val="000000" w:themeColor="text1"/>
          <w:lang w:val="en"/>
        </w:rPr>
      </w:pPr>
    </w:p>
    <w:p w14:paraId="6FD859A4" w14:textId="4D79BF6E" w:rsidR="041C6286" w:rsidRDefault="00353EC7" w:rsidP="00353EC7">
      <w:pPr>
        <w:pStyle w:val="ListParagraph"/>
        <w:tabs>
          <w:tab w:val="left" w:pos="540"/>
        </w:tabs>
        <w:ind w:left="360" w:hanging="90"/>
        <w:rPr>
          <w:rFonts w:ascii="Calibri" w:eastAsia="Arial" w:hAnsi="Calibri" w:cs="Calibri"/>
          <w:color w:val="000000" w:themeColor="text1"/>
          <w:lang w:val="en"/>
        </w:rPr>
      </w:pPr>
      <w:r>
        <w:rPr>
          <w:rFonts w:ascii="Calibri" w:eastAsia="Arial" w:hAnsi="Calibri" w:cs="Calibri"/>
          <w:color w:val="000000" w:themeColor="text1"/>
        </w:rPr>
        <w:t xml:space="preserve">  </w:t>
      </w:r>
      <w:r w:rsidR="041C6286" w:rsidRPr="0191E773">
        <w:rPr>
          <w:rFonts w:ascii="Calibri" w:eastAsia="Arial" w:hAnsi="Calibri" w:cs="Calibri"/>
          <w:color w:val="000000" w:themeColor="text1"/>
        </w:rPr>
        <w:t xml:space="preserve">Applicants are encouraged </w:t>
      </w:r>
      <w:r w:rsidR="041C6286" w:rsidRPr="0191E773">
        <w:rPr>
          <w:rFonts w:ascii="Calibri" w:eastAsia="Arial" w:hAnsi="Calibri" w:cs="Calibri"/>
          <w:color w:val="000000" w:themeColor="text1"/>
          <w:lang w:val="en"/>
        </w:rPr>
        <w:t xml:space="preserve">to create a </w:t>
      </w:r>
      <w:r w:rsidR="74144F76" w:rsidRPr="0191E773">
        <w:rPr>
          <w:rFonts w:ascii="Calibri" w:eastAsia="Arial" w:hAnsi="Calibri" w:cs="Calibri"/>
          <w:color w:val="000000" w:themeColor="text1"/>
          <w:lang w:val="en"/>
        </w:rPr>
        <w:t>compressed or “</w:t>
      </w:r>
      <w:r w:rsidR="041C6286" w:rsidRPr="0191E773">
        <w:rPr>
          <w:rFonts w:ascii="Calibri" w:eastAsia="Arial" w:hAnsi="Calibri" w:cs="Calibri"/>
          <w:color w:val="000000" w:themeColor="text1"/>
          <w:lang w:val="en"/>
        </w:rPr>
        <w:t>ZIP</w:t>
      </w:r>
      <w:r w:rsidR="561BD248" w:rsidRPr="0191E773">
        <w:rPr>
          <w:rFonts w:ascii="Calibri" w:eastAsia="Arial" w:hAnsi="Calibri" w:cs="Calibri"/>
          <w:color w:val="000000" w:themeColor="text1"/>
          <w:lang w:val="en"/>
        </w:rPr>
        <w:t>”</w:t>
      </w:r>
      <w:r w:rsidR="041C6286" w:rsidRPr="0191E773">
        <w:rPr>
          <w:rFonts w:ascii="Calibri" w:eastAsia="Arial" w:hAnsi="Calibri" w:cs="Calibri"/>
          <w:color w:val="000000" w:themeColor="text1"/>
          <w:lang w:val="en"/>
        </w:rPr>
        <w:t xml:space="preserve"> file of all the necessary application requirements</w:t>
      </w:r>
      <w:r w:rsidR="485528C2" w:rsidRPr="0191E773">
        <w:rPr>
          <w:rFonts w:ascii="Calibri" w:eastAsia="Arial" w:hAnsi="Calibri" w:cs="Calibri"/>
          <w:color w:val="000000" w:themeColor="text1"/>
          <w:lang w:val="en"/>
        </w:rPr>
        <w:t xml:space="preserve"> so that larger documents can be emailed</w:t>
      </w:r>
      <w:r w:rsidR="041C6286" w:rsidRPr="0191E773">
        <w:rPr>
          <w:rFonts w:ascii="Calibri" w:eastAsia="Arial" w:hAnsi="Calibri" w:cs="Calibri"/>
          <w:color w:val="000000" w:themeColor="text1"/>
          <w:lang w:val="en"/>
        </w:rPr>
        <w:t xml:space="preserve">. </w:t>
      </w:r>
      <w:r w:rsidR="73D4DAA3" w:rsidRPr="0191E773">
        <w:rPr>
          <w:rFonts w:ascii="Calibri" w:eastAsia="Arial" w:hAnsi="Calibri" w:cs="Calibri"/>
          <w:color w:val="000000" w:themeColor="text1"/>
          <w:lang w:val="en"/>
        </w:rPr>
        <w:t xml:space="preserve">For instructions on how to create a ZIP file, search for your operating system (Windows, MAC OS, Linux </w:t>
      </w:r>
      <w:r w:rsidRPr="0191E773">
        <w:rPr>
          <w:rFonts w:ascii="Calibri" w:eastAsia="Arial" w:hAnsi="Calibri" w:cs="Calibri"/>
          <w:color w:val="000000" w:themeColor="text1"/>
          <w:lang w:val="en"/>
        </w:rPr>
        <w:t>etc.</w:t>
      </w:r>
      <w:r w:rsidR="73D4DAA3" w:rsidRPr="0191E773">
        <w:rPr>
          <w:rFonts w:ascii="Calibri" w:eastAsia="Arial" w:hAnsi="Calibri" w:cs="Calibri"/>
          <w:color w:val="000000" w:themeColor="text1"/>
          <w:lang w:val="en"/>
        </w:rPr>
        <w:t>)</w:t>
      </w:r>
      <w:r w:rsidR="263259AA" w:rsidRPr="0191E773">
        <w:rPr>
          <w:rFonts w:ascii="Calibri" w:eastAsia="Arial" w:hAnsi="Calibri" w:cs="Calibri"/>
          <w:color w:val="000000" w:themeColor="text1"/>
          <w:lang w:val="en"/>
        </w:rPr>
        <w:t xml:space="preserve"> specific instructions online. </w:t>
      </w:r>
    </w:p>
    <w:p w14:paraId="6A2F4918" w14:textId="3AAA9746" w:rsidR="004277B6" w:rsidRDefault="004277B6" w:rsidP="0191E773">
      <w:pPr>
        <w:tabs>
          <w:tab w:val="left" w:pos="540"/>
        </w:tabs>
        <w:ind w:left="360"/>
        <w:rPr>
          <w:rFonts w:ascii="Calibri" w:eastAsia="Arial" w:hAnsi="Calibri" w:cs="Calibri"/>
          <w:color w:val="000000" w:themeColor="text1"/>
          <w:lang w:val="en"/>
        </w:rPr>
      </w:pPr>
    </w:p>
    <w:p w14:paraId="21772A54" w14:textId="33A75E26" w:rsidR="004277B6" w:rsidRPr="001671B7" w:rsidRDefault="001B5C24" w:rsidP="001671B7">
      <w:pPr>
        <w:tabs>
          <w:tab w:val="left" w:pos="450"/>
        </w:tabs>
        <w:rPr>
          <w:rFonts w:ascii="Calibri" w:eastAsia="Arial" w:hAnsi="Calibri" w:cs="Calibri"/>
          <w:b/>
          <w:bCs/>
          <w:color w:val="000000" w:themeColor="text1"/>
          <w:lang w:val="en"/>
        </w:rPr>
      </w:pPr>
      <w:r>
        <w:rPr>
          <w:rFonts w:ascii="Calibri" w:eastAsia="Arial" w:hAnsi="Calibri" w:cs="Calibri"/>
          <w:color w:val="000000" w:themeColor="text1"/>
          <w:lang w:val="en"/>
        </w:rPr>
        <w:t>82</w:t>
      </w:r>
      <w:r w:rsidR="00C25C6F">
        <w:rPr>
          <w:rFonts w:ascii="Calibri" w:eastAsia="Arial" w:hAnsi="Calibri" w:cs="Calibri"/>
          <w:color w:val="000000" w:themeColor="text1"/>
          <w:lang w:val="en"/>
        </w:rPr>
        <w:t>.</w:t>
      </w:r>
      <w:r>
        <w:rPr>
          <w:rFonts w:ascii="Calibri" w:eastAsia="Arial" w:hAnsi="Calibri" w:cs="Calibri"/>
          <w:color w:val="000000" w:themeColor="text1"/>
          <w:lang w:val="en"/>
        </w:rPr>
        <w:t xml:space="preserve"> </w:t>
      </w:r>
      <w:r w:rsidR="004277B6" w:rsidRPr="001671B7">
        <w:rPr>
          <w:rFonts w:ascii="Calibri" w:eastAsia="Arial" w:hAnsi="Calibri" w:cs="Calibri"/>
          <w:b/>
          <w:bCs/>
          <w:color w:val="000000" w:themeColor="text1"/>
          <w:lang w:val="en"/>
        </w:rPr>
        <w:t xml:space="preserve">What </w:t>
      </w:r>
      <w:r w:rsidR="00A65390" w:rsidRPr="001671B7">
        <w:rPr>
          <w:rFonts w:ascii="Calibri" w:eastAsia="Arial" w:hAnsi="Calibri" w:cs="Calibri"/>
          <w:b/>
          <w:bCs/>
          <w:color w:val="000000" w:themeColor="text1"/>
          <w:lang w:val="en"/>
        </w:rPr>
        <w:t>should be included in the subject line of the email transmitting the proposal?</w:t>
      </w:r>
    </w:p>
    <w:p w14:paraId="5E2F9D89" w14:textId="77777777" w:rsidR="00A65390" w:rsidRDefault="00A65390" w:rsidP="00A65390">
      <w:pPr>
        <w:pStyle w:val="ListParagraph"/>
        <w:tabs>
          <w:tab w:val="left" w:pos="450"/>
        </w:tabs>
        <w:ind w:left="360"/>
        <w:rPr>
          <w:rFonts w:ascii="Calibri" w:eastAsia="Arial" w:hAnsi="Calibri" w:cs="Calibri"/>
          <w:color w:val="000000" w:themeColor="text1"/>
          <w:lang w:val="en"/>
        </w:rPr>
      </w:pPr>
    </w:p>
    <w:p w14:paraId="5FFE86B5" w14:textId="7292D7D5" w:rsidR="1B62FB65" w:rsidRDefault="001B5C24" w:rsidP="00353EC7">
      <w:pPr>
        <w:pStyle w:val="ListParagraph"/>
        <w:tabs>
          <w:tab w:val="left" w:pos="450"/>
        </w:tabs>
        <w:ind w:left="360" w:hanging="90"/>
      </w:pPr>
      <w:r>
        <w:t xml:space="preserve"> </w:t>
      </w:r>
      <w:r w:rsidR="1B62FB65" w:rsidRPr="0191E773">
        <w:t>The subject line of the application submission email should include: [Applicant’s Three Digit Initialism] OYACPP PY 24-25 Proposal. Example: “Subject: ABC OYACPP PY 24-25 Proposal”</w:t>
      </w:r>
    </w:p>
    <w:p w14:paraId="52FE633E" w14:textId="77777777" w:rsidR="00A65390" w:rsidRDefault="00A65390" w:rsidP="00A65390">
      <w:pPr>
        <w:pStyle w:val="ListParagraph"/>
        <w:tabs>
          <w:tab w:val="left" w:pos="450"/>
        </w:tabs>
        <w:ind w:left="360"/>
        <w:rPr>
          <w:rFonts w:ascii="Calibri" w:eastAsia="Arial" w:hAnsi="Calibri" w:cs="Calibri"/>
          <w:color w:val="000000" w:themeColor="text1"/>
          <w:lang w:val="en"/>
        </w:rPr>
      </w:pPr>
    </w:p>
    <w:p w14:paraId="5ED6418F" w14:textId="0F07C0D9" w:rsidR="00A65390" w:rsidRPr="001671B7" w:rsidRDefault="001B5C24" w:rsidP="00353EC7">
      <w:pPr>
        <w:tabs>
          <w:tab w:val="left" w:pos="450"/>
        </w:tabs>
        <w:ind w:left="360" w:hanging="360"/>
        <w:rPr>
          <w:rFonts w:ascii="Calibri" w:eastAsia="Arial" w:hAnsi="Calibri" w:cs="Calibri"/>
          <w:b/>
          <w:bCs/>
          <w:color w:val="000000" w:themeColor="text1"/>
        </w:rPr>
      </w:pPr>
      <w:r>
        <w:rPr>
          <w:rFonts w:ascii="Calibri" w:eastAsia="Arial" w:hAnsi="Calibri" w:cs="Calibri"/>
          <w:color w:val="000000" w:themeColor="text1"/>
        </w:rPr>
        <w:t xml:space="preserve">83 </w:t>
      </w:r>
      <w:r w:rsidR="00A65390" w:rsidRPr="001671B7">
        <w:rPr>
          <w:rFonts w:ascii="Calibri" w:eastAsia="Arial" w:hAnsi="Calibri" w:cs="Calibri"/>
          <w:b/>
          <w:bCs/>
          <w:color w:val="000000" w:themeColor="text1"/>
        </w:rPr>
        <w:t>For performance goal #4 “Total Participants Exited,” is this the number of participants that are planned to be exited prior to the grant end date? Are the performance goals #5-8 then based on the planned exiters and not the total enrollment goal?</w:t>
      </w:r>
    </w:p>
    <w:p w14:paraId="5275F49D" w14:textId="77777777" w:rsidR="00A65390" w:rsidRDefault="00A65390" w:rsidP="00A65390">
      <w:pPr>
        <w:pStyle w:val="ListParagraph"/>
        <w:tabs>
          <w:tab w:val="left" w:pos="450"/>
          <w:tab w:val="left" w:pos="540"/>
        </w:tabs>
        <w:ind w:left="360"/>
        <w:rPr>
          <w:rFonts w:ascii="Calibri" w:eastAsia="Arial" w:hAnsi="Calibri" w:cs="Calibri"/>
          <w:color w:val="000000" w:themeColor="text1"/>
          <w:lang w:val="en"/>
        </w:rPr>
      </w:pPr>
    </w:p>
    <w:p w14:paraId="0AEEFB6E" w14:textId="2B4D774C" w:rsidR="00A65390" w:rsidRDefault="001B5C24" w:rsidP="00353EC7">
      <w:pPr>
        <w:pStyle w:val="ListParagraph"/>
        <w:tabs>
          <w:tab w:val="left" w:pos="450"/>
          <w:tab w:val="left" w:pos="540"/>
        </w:tabs>
        <w:ind w:left="360" w:hanging="90"/>
        <w:rPr>
          <w:rFonts w:ascii="Calibri" w:eastAsia="Arial" w:hAnsi="Calibri" w:cs="Calibri"/>
          <w:color w:val="000000" w:themeColor="text1"/>
          <w:lang w:val="en"/>
        </w:rPr>
      </w:pPr>
      <w:r>
        <w:rPr>
          <w:rFonts w:ascii="Calibri" w:eastAsia="Arial" w:hAnsi="Calibri" w:cs="Calibri"/>
          <w:color w:val="000000" w:themeColor="text1"/>
          <w:lang w:val="en"/>
        </w:rPr>
        <w:t xml:space="preserve">  </w:t>
      </w:r>
      <w:r w:rsidR="00C406A4" w:rsidRPr="00C406A4">
        <w:rPr>
          <w:rFonts w:ascii="Calibri" w:eastAsia="Arial" w:hAnsi="Calibri" w:cs="Calibri"/>
          <w:color w:val="000000" w:themeColor="text1"/>
          <w:lang w:val="en"/>
        </w:rPr>
        <w:t>Refer to EDD</w:t>
      </w:r>
      <w:r w:rsidR="00C406A4">
        <w:rPr>
          <w:rFonts w:ascii="Calibri" w:eastAsia="Arial" w:hAnsi="Calibri" w:cs="Calibri"/>
          <w:color w:val="000000" w:themeColor="text1"/>
          <w:lang w:val="en"/>
        </w:rPr>
        <w:t>’s Workforce Services</w:t>
      </w:r>
      <w:r w:rsidR="00C406A4" w:rsidRPr="00C406A4">
        <w:rPr>
          <w:rFonts w:ascii="Calibri" w:eastAsia="Arial" w:hAnsi="Calibri" w:cs="Calibri"/>
          <w:color w:val="000000" w:themeColor="text1"/>
          <w:lang w:val="en"/>
        </w:rPr>
        <w:t xml:space="preserve"> Directive Performance Guidance </w:t>
      </w:r>
      <w:r w:rsidR="00C406A4" w:rsidRPr="00A45C96">
        <w:rPr>
          <w:rFonts w:ascii="Calibri" w:eastAsia="Arial" w:hAnsi="Calibri" w:cs="Calibri"/>
          <w:color w:val="000000" w:themeColor="text1"/>
          <w:lang w:val="en"/>
        </w:rPr>
        <w:t>(</w:t>
      </w:r>
      <w:hyperlink r:id="rId24" w:history="1">
        <w:r w:rsidR="00C406A4" w:rsidRPr="00A45C96">
          <w:rPr>
            <w:rStyle w:val="Hyperlink"/>
            <w:u w:val="none"/>
          </w:rPr>
          <w:t>WSD23-03</w:t>
        </w:r>
      </w:hyperlink>
      <w:r w:rsidR="00C406A4" w:rsidRPr="00A45C96">
        <w:rPr>
          <w:rFonts w:ascii="Calibri" w:eastAsia="Arial" w:hAnsi="Calibri" w:cs="Calibri"/>
          <w:color w:val="000000" w:themeColor="text1"/>
          <w:lang w:val="en"/>
        </w:rPr>
        <w:t>)</w:t>
      </w:r>
      <w:r w:rsidR="00C406A4" w:rsidRPr="00C406A4">
        <w:rPr>
          <w:rFonts w:ascii="Calibri" w:eastAsia="Arial" w:hAnsi="Calibri" w:cs="Calibri"/>
          <w:color w:val="000000" w:themeColor="text1"/>
          <w:lang w:val="en"/>
        </w:rPr>
        <w:t>. The directive will provide definitions related to participant and exit.</w:t>
      </w:r>
    </w:p>
    <w:p w14:paraId="3E693199" w14:textId="77777777" w:rsidR="00C406A4" w:rsidRDefault="00C406A4" w:rsidP="00A65390">
      <w:pPr>
        <w:pStyle w:val="ListParagraph"/>
        <w:tabs>
          <w:tab w:val="left" w:pos="450"/>
          <w:tab w:val="left" w:pos="540"/>
        </w:tabs>
        <w:ind w:left="360"/>
        <w:rPr>
          <w:rFonts w:ascii="Calibri" w:eastAsia="Arial" w:hAnsi="Calibri" w:cs="Calibri"/>
          <w:color w:val="000000" w:themeColor="text1"/>
          <w:lang w:val="en"/>
        </w:rPr>
      </w:pPr>
    </w:p>
    <w:p w14:paraId="6C1A8A20" w14:textId="6757F037" w:rsidR="00A65390" w:rsidRPr="001671B7" w:rsidRDefault="001B5C24" w:rsidP="001671B7">
      <w:pPr>
        <w:tabs>
          <w:tab w:val="left" w:pos="450"/>
          <w:tab w:val="left" w:pos="540"/>
        </w:tabs>
        <w:rPr>
          <w:rFonts w:ascii="Calibri" w:eastAsia="Arial" w:hAnsi="Calibri" w:cs="Calibri"/>
          <w:b/>
          <w:bCs/>
          <w:color w:val="000000" w:themeColor="text1"/>
        </w:rPr>
      </w:pPr>
      <w:r>
        <w:rPr>
          <w:rFonts w:ascii="Calibri" w:eastAsia="Arial" w:hAnsi="Calibri" w:cs="Calibri"/>
          <w:color w:val="000000" w:themeColor="text1"/>
        </w:rPr>
        <w:t>84</w:t>
      </w:r>
      <w:r w:rsidR="00C25C6F">
        <w:rPr>
          <w:rFonts w:ascii="Calibri" w:eastAsia="Arial" w:hAnsi="Calibri" w:cs="Calibri"/>
          <w:color w:val="000000" w:themeColor="text1"/>
        </w:rPr>
        <w:t>.</w:t>
      </w:r>
      <w:r>
        <w:rPr>
          <w:rFonts w:ascii="Calibri" w:eastAsia="Arial" w:hAnsi="Calibri" w:cs="Calibri"/>
          <w:color w:val="000000" w:themeColor="text1"/>
        </w:rPr>
        <w:t xml:space="preserve"> </w:t>
      </w:r>
      <w:r w:rsidR="00A65390" w:rsidRPr="001671B7">
        <w:rPr>
          <w:rFonts w:ascii="Calibri" w:eastAsia="Arial" w:hAnsi="Calibri" w:cs="Calibri"/>
          <w:b/>
          <w:bCs/>
          <w:color w:val="000000" w:themeColor="text1"/>
        </w:rPr>
        <w:t>Do applicants have to have 20% of the funds requested? Or is it taken out of the grant funds?</w:t>
      </w:r>
    </w:p>
    <w:p w14:paraId="4639D9F5" w14:textId="77777777" w:rsidR="00A65390" w:rsidRDefault="00A65390" w:rsidP="00A65390">
      <w:pPr>
        <w:pStyle w:val="ListParagraph"/>
        <w:tabs>
          <w:tab w:val="left" w:pos="450"/>
          <w:tab w:val="left" w:pos="540"/>
        </w:tabs>
        <w:ind w:left="360"/>
        <w:rPr>
          <w:rFonts w:ascii="Calibri" w:eastAsia="Arial" w:hAnsi="Calibri" w:cs="Calibri"/>
          <w:color w:val="000000" w:themeColor="text1"/>
          <w:lang w:val="en"/>
        </w:rPr>
      </w:pPr>
    </w:p>
    <w:p w14:paraId="18EC6D19" w14:textId="67EFC6D4" w:rsidR="00A65390" w:rsidRDefault="001B5C24" w:rsidP="00353EC7">
      <w:pPr>
        <w:pStyle w:val="ListParagraph"/>
        <w:tabs>
          <w:tab w:val="left" w:pos="450"/>
          <w:tab w:val="left" w:pos="540"/>
        </w:tabs>
        <w:ind w:left="360" w:hanging="90"/>
      </w:pPr>
      <w:r>
        <w:t xml:space="preserve">  </w:t>
      </w:r>
      <w:r w:rsidR="165D721D" w:rsidRPr="0191E773">
        <w:t>Applicants must demonstrate the ability to leverage at least 20 percent of their budget with funds or services from other sources. Leveraged resources can come from a variety of sources.</w:t>
      </w:r>
    </w:p>
    <w:p w14:paraId="1B641CD6" w14:textId="77777777" w:rsidR="00A65390" w:rsidRDefault="00A65390" w:rsidP="00A65390">
      <w:pPr>
        <w:pStyle w:val="ListParagraph"/>
        <w:tabs>
          <w:tab w:val="left" w:pos="450"/>
          <w:tab w:val="left" w:pos="540"/>
        </w:tabs>
        <w:ind w:left="360"/>
        <w:rPr>
          <w:rFonts w:ascii="Calibri" w:eastAsia="Arial" w:hAnsi="Calibri" w:cs="Calibri"/>
          <w:color w:val="000000" w:themeColor="text1"/>
          <w:lang w:val="en"/>
        </w:rPr>
      </w:pPr>
    </w:p>
    <w:p w14:paraId="14B2600F" w14:textId="083B55D1" w:rsidR="00A65390" w:rsidRPr="001671B7" w:rsidRDefault="001B5C24" w:rsidP="001671B7">
      <w:pPr>
        <w:tabs>
          <w:tab w:val="left" w:pos="450"/>
          <w:tab w:val="left" w:pos="540"/>
        </w:tabs>
        <w:rPr>
          <w:rFonts w:ascii="Calibri" w:eastAsia="Arial" w:hAnsi="Calibri" w:cs="Calibri"/>
          <w:b/>
          <w:bCs/>
          <w:color w:val="000000" w:themeColor="text1"/>
          <w:lang w:val="en"/>
        </w:rPr>
      </w:pPr>
      <w:r>
        <w:rPr>
          <w:rFonts w:ascii="Calibri" w:eastAsia="Arial" w:hAnsi="Calibri" w:cs="Calibri"/>
          <w:color w:val="000000" w:themeColor="text1"/>
          <w:lang w:val="en"/>
        </w:rPr>
        <w:t>85</w:t>
      </w:r>
      <w:r w:rsidR="00C25C6F">
        <w:rPr>
          <w:rFonts w:ascii="Calibri" w:eastAsia="Arial" w:hAnsi="Calibri" w:cs="Calibri"/>
          <w:color w:val="000000" w:themeColor="text1"/>
          <w:lang w:val="en"/>
        </w:rPr>
        <w:t>.</w:t>
      </w:r>
      <w:r>
        <w:rPr>
          <w:rFonts w:ascii="Calibri" w:eastAsia="Arial" w:hAnsi="Calibri" w:cs="Calibri"/>
          <w:color w:val="000000" w:themeColor="text1"/>
          <w:lang w:val="en"/>
        </w:rPr>
        <w:t xml:space="preserve"> </w:t>
      </w:r>
      <w:r w:rsidR="00A65390" w:rsidRPr="001671B7">
        <w:rPr>
          <w:rFonts w:ascii="Calibri" w:eastAsia="Arial" w:hAnsi="Calibri" w:cs="Calibri"/>
          <w:b/>
          <w:bCs/>
          <w:color w:val="000000" w:themeColor="text1"/>
          <w:lang w:val="en"/>
        </w:rPr>
        <w:t>Is a California County Office of Education eligible to apply?</w:t>
      </w:r>
    </w:p>
    <w:p w14:paraId="737D421F" w14:textId="77777777" w:rsidR="00A65390" w:rsidRDefault="00A65390" w:rsidP="00A65390">
      <w:pPr>
        <w:pStyle w:val="ListParagraph"/>
        <w:tabs>
          <w:tab w:val="left" w:pos="450"/>
          <w:tab w:val="left" w:pos="540"/>
        </w:tabs>
        <w:ind w:left="360"/>
        <w:rPr>
          <w:rFonts w:ascii="Calibri" w:eastAsia="Arial" w:hAnsi="Calibri" w:cs="Calibri"/>
          <w:color w:val="000000" w:themeColor="text1"/>
          <w:lang w:val="en"/>
        </w:rPr>
      </w:pPr>
    </w:p>
    <w:p w14:paraId="57E49E2C" w14:textId="771EBE82" w:rsidR="00A65390" w:rsidRDefault="00353EC7" w:rsidP="00353EC7">
      <w:pPr>
        <w:pStyle w:val="ListParagraph"/>
        <w:tabs>
          <w:tab w:val="left" w:pos="450"/>
          <w:tab w:val="left" w:pos="540"/>
        </w:tabs>
        <w:ind w:left="360" w:hanging="90"/>
        <w:rPr>
          <w:rFonts w:ascii="Calibri" w:eastAsia="Arial" w:hAnsi="Calibri" w:cs="Calibri"/>
          <w:color w:val="000000" w:themeColor="text1"/>
          <w:lang w:val="en"/>
        </w:rPr>
      </w:pPr>
      <w:r>
        <w:rPr>
          <w:rFonts w:ascii="Calibri" w:eastAsia="Arial" w:hAnsi="Calibri" w:cs="Calibri"/>
          <w:color w:val="000000" w:themeColor="text1"/>
          <w:lang w:val="en"/>
        </w:rPr>
        <w:t xml:space="preserve">  </w:t>
      </w:r>
      <w:r w:rsidR="0059314D" w:rsidRPr="0059314D">
        <w:rPr>
          <w:rFonts w:ascii="Calibri" w:eastAsia="Arial" w:hAnsi="Calibri" w:cs="Calibri"/>
          <w:color w:val="000000" w:themeColor="text1"/>
          <w:lang w:val="en"/>
        </w:rPr>
        <w:t>Organizations that can apply for th</w:t>
      </w:r>
      <w:r w:rsidR="0059314D">
        <w:rPr>
          <w:rFonts w:ascii="Calibri" w:eastAsia="Arial" w:hAnsi="Calibri" w:cs="Calibri"/>
          <w:color w:val="000000" w:themeColor="text1"/>
          <w:lang w:val="en"/>
        </w:rPr>
        <w:t>is</w:t>
      </w:r>
      <w:r w:rsidR="0059314D" w:rsidRPr="0059314D">
        <w:rPr>
          <w:rFonts w:ascii="Calibri" w:eastAsia="Arial" w:hAnsi="Calibri" w:cs="Calibri"/>
          <w:color w:val="000000" w:themeColor="text1"/>
          <w:lang w:val="en"/>
        </w:rPr>
        <w:t xml:space="preserve"> grant opportunity are </w:t>
      </w:r>
      <w:r w:rsidR="0059314D">
        <w:rPr>
          <w:rFonts w:ascii="Calibri" w:eastAsia="Arial" w:hAnsi="Calibri" w:cs="Calibri"/>
          <w:color w:val="000000" w:themeColor="text1"/>
          <w:lang w:val="en"/>
        </w:rPr>
        <w:t>n</w:t>
      </w:r>
      <w:r w:rsidR="0059314D" w:rsidRPr="0059314D">
        <w:rPr>
          <w:rFonts w:ascii="Calibri" w:eastAsia="Arial" w:hAnsi="Calibri" w:cs="Calibri"/>
          <w:color w:val="000000" w:themeColor="text1"/>
          <w:lang w:val="en"/>
        </w:rPr>
        <w:t xml:space="preserve">on-profit organizations, labor unions, public agencies (local governments), tribal governments, community colleges, local workforce boards, and education and training providers. Applicants, including collaborations among partners, must have demonstrated expertise in assisting OYA and in workforce development programs. For-profit businesses and individuals are not eligible for this grant opportunity. </w:t>
      </w:r>
      <w:r w:rsidR="0059314D" w:rsidRPr="0059314D">
        <w:rPr>
          <w:rFonts w:ascii="Calibri" w:eastAsia="Arial" w:hAnsi="Calibri" w:cs="Calibri"/>
          <w:i/>
          <w:iCs/>
          <w:color w:val="000000" w:themeColor="text1"/>
          <w:lang w:val="en"/>
        </w:rPr>
        <w:t>Refer to section I. Overview</w:t>
      </w:r>
      <w:r w:rsidR="0059314D">
        <w:rPr>
          <w:rFonts w:ascii="Calibri" w:eastAsia="Arial" w:hAnsi="Calibri" w:cs="Calibri"/>
          <w:i/>
          <w:iCs/>
          <w:color w:val="000000" w:themeColor="text1"/>
          <w:lang w:val="en"/>
        </w:rPr>
        <w:t>,</w:t>
      </w:r>
      <w:r w:rsidR="0059314D" w:rsidRPr="0059314D">
        <w:rPr>
          <w:rFonts w:ascii="Calibri" w:eastAsia="Arial" w:hAnsi="Calibri" w:cs="Calibri"/>
          <w:i/>
          <w:iCs/>
          <w:color w:val="000000" w:themeColor="text1"/>
          <w:lang w:val="en"/>
        </w:rPr>
        <w:t xml:space="preserve"> of the SFP.</w:t>
      </w:r>
    </w:p>
    <w:p w14:paraId="4EB0C09C" w14:textId="77777777" w:rsidR="0059314D" w:rsidRDefault="0059314D" w:rsidP="00A65390">
      <w:pPr>
        <w:pStyle w:val="ListParagraph"/>
        <w:tabs>
          <w:tab w:val="left" w:pos="450"/>
          <w:tab w:val="left" w:pos="540"/>
        </w:tabs>
        <w:ind w:left="360"/>
        <w:rPr>
          <w:rFonts w:ascii="Calibri" w:eastAsia="Arial" w:hAnsi="Calibri" w:cs="Calibri"/>
          <w:color w:val="000000" w:themeColor="text1"/>
          <w:lang w:val="en"/>
        </w:rPr>
      </w:pPr>
    </w:p>
    <w:p w14:paraId="20B55FD9" w14:textId="4B6DB860" w:rsidR="00A65390" w:rsidRPr="001671B7" w:rsidRDefault="001B5C24" w:rsidP="001671B7">
      <w:pPr>
        <w:tabs>
          <w:tab w:val="left" w:pos="450"/>
          <w:tab w:val="left" w:pos="540"/>
        </w:tabs>
        <w:rPr>
          <w:rFonts w:ascii="Calibri" w:eastAsia="Arial" w:hAnsi="Calibri" w:cs="Calibri"/>
          <w:b/>
          <w:bCs/>
          <w:color w:val="000000" w:themeColor="text1"/>
          <w:szCs w:val="24"/>
        </w:rPr>
      </w:pPr>
      <w:r>
        <w:rPr>
          <w:rFonts w:ascii="Calibri" w:eastAsia="Arial" w:hAnsi="Calibri" w:cs="Calibri"/>
          <w:color w:val="000000" w:themeColor="text1"/>
        </w:rPr>
        <w:t>86</w:t>
      </w:r>
      <w:r w:rsidR="00C25C6F">
        <w:rPr>
          <w:rFonts w:ascii="Calibri" w:eastAsia="Arial" w:hAnsi="Calibri" w:cs="Calibri"/>
          <w:color w:val="000000" w:themeColor="text1"/>
        </w:rPr>
        <w:t>.</w:t>
      </w:r>
      <w:r>
        <w:rPr>
          <w:rFonts w:ascii="Calibri" w:eastAsia="Arial" w:hAnsi="Calibri" w:cs="Calibri"/>
          <w:color w:val="000000" w:themeColor="text1"/>
        </w:rPr>
        <w:t xml:space="preserve"> </w:t>
      </w:r>
      <w:r w:rsidR="00A65390" w:rsidRPr="001671B7">
        <w:rPr>
          <w:rFonts w:ascii="Calibri" w:eastAsia="Arial" w:hAnsi="Calibri" w:cs="Calibri"/>
          <w:b/>
          <w:bCs/>
          <w:color w:val="000000" w:themeColor="text1"/>
        </w:rPr>
        <w:t>What does reimbursement through CalJOBS mean?</w:t>
      </w:r>
    </w:p>
    <w:p w14:paraId="3AC65088" w14:textId="77777777" w:rsidR="00A65390" w:rsidRDefault="00A65390" w:rsidP="00A65390">
      <w:pPr>
        <w:pStyle w:val="ListParagraph"/>
        <w:tabs>
          <w:tab w:val="left" w:pos="450"/>
          <w:tab w:val="left" w:pos="540"/>
        </w:tabs>
        <w:ind w:left="360"/>
        <w:rPr>
          <w:rFonts w:ascii="Calibri" w:eastAsia="Arial" w:hAnsi="Calibri" w:cs="Calibri"/>
          <w:color w:val="000000" w:themeColor="text1"/>
          <w:lang w:val="en"/>
        </w:rPr>
      </w:pPr>
    </w:p>
    <w:p w14:paraId="19BF946D" w14:textId="4B470727" w:rsidR="5DB6FAAD" w:rsidRDefault="5DB6FAAD" w:rsidP="00353EC7">
      <w:pPr>
        <w:pStyle w:val="ListParagraph"/>
        <w:tabs>
          <w:tab w:val="left" w:pos="450"/>
          <w:tab w:val="left" w:pos="540"/>
        </w:tabs>
        <w:spacing w:line="259" w:lineRule="auto"/>
        <w:ind w:left="360"/>
        <w:rPr>
          <w:color w:val="202122"/>
          <w:szCs w:val="24"/>
        </w:rPr>
      </w:pPr>
      <w:r w:rsidRPr="0191E773">
        <w:rPr>
          <w:rFonts w:ascii="Calibri" w:eastAsia="Arial" w:hAnsi="Calibri" w:cs="Calibri"/>
          <w:color w:val="000000" w:themeColor="text1"/>
          <w:lang w:val="en"/>
        </w:rPr>
        <w:t xml:space="preserve">Grantees must submit expenditures in </w:t>
      </w:r>
      <w:r w:rsidRPr="0191E773">
        <w:rPr>
          <w:rFonts w:ascii="Calibri" w:eastAsia="Arial" w:hAnsi="Calibri" w:cs="Calibri"/>
          <w:color w:val="000000" w:themeColor="text1"/>
        </w:rPr>
        <w:t>CalJOBS</w:t>
      </w:r>
      <w:r w:rsidR="5A5AF422" w:rsidRPr="0191E773">
        <w:rPr>
          <w:color w:val="202122"/>
          <w:szCs w:val="24"/>
        </w:rPr>
        <w:t xml:space="preserve"> to receive reimbursements for costs associated with the program. </w:t>
      </w:r>
    </w:p>
    <w:p w14:paraId="40B54B33" w14:textId="7AAF0D58" w:rsidR="5A5AF422" w:rsidRDefault="5A5AF422" w:rsidP="00353EC7">
      <w:pPr>
        <w:tabs>
          <w:tab w:val="left" w:pos="540"/>
        </w:tabs>
        <w:ind w:left="360"/>
        <w:rPr>
          <w:rFonts w:ascii="Calibri" w:eastAsia="Calibri" w:hAnsi="Calibri" w:cs="Calibri"/>
          <w:i/>
          <w:iCs/>
        </w:rPr>
      </w:pPr>
      <w:r w:rsidRPr="0191E773">
        <w:rPr>
          <w:rFonts w:ascii="Calibri" w:eastAsia="Times New Roman" w:hAnsi="Calibri" w:cs="Calibri"/>
          <w:i/>
          <w:iCs/>
        </w:rPr>
        <w:t xml:space="preserve">For additional information, please reference the Workforce Services Directive </w:t>
      </w:r>
      <w:hyperlink r:id="rId25">
        <w:r w:rsidRPr="00A45C96">
          <w:rPr>
            <w:rStyle w:val="Hyperlink"/>
            <w:rFonts w:ascii="Calibri" w:eastAsia="Times New Roman" w:hAnsi="Calibri" w:cs="Calibri"/>
            <w:i/>
            <w:iCs/>
            <w:u w:val="none"/>
          </w:rPr>
          <w:t>CalJOBS Cash Request</w:t>
        </w:r>
        <w:r w:rsidRPr="00A45C96">
          <w:rPr>
            <w:rStyle w:val="Hyperlink"/>
            <w:rFonts w:ascii="Calibri" w:eastAsia="Times New Roman" w:hAnsi="Calibri" w:cs="Calibri"/>
            <w:u w:val="none"/>
          </w:rPr>
          <w:t xml:space="preserve"> </w:t>
        </w:r>
        <w:r w:rsidR="00A45C96">
          <w:rPr>
            <w:rStyle w:val="Hyperlink"/>
            <w:rFonts w:ascii="Calibri" w:eastAsia="Times New Roman" w:hAnsi="Calibri" w:cs="Calibri"/>
            <w:u w:val="none"/>
          </w:rPr>
          <w:t>(</w:t>
        </w:r>
        <w:r w:rsidRPr="00A45C96">
          <w:rPr>
            <w:rStyle w:val="Hyperlink"/>
            <w:rFonts w:ascii="Calibri" w:eastAsia="Times New Roman" w:hAnsi="Calibri" w:cs="Calibri"/>
            <w:u w:val="none"/>
          </w:rPr>
          <w:t>WSD16-17</w:t>
        </w:r>
      </w:hyperlink>
      <w:r w:rsidR="00A45C96">
        <w:rPr>
          <w:rStyle w:val="Hyperlink"/>
          <w:rFonts w:ascii="Calibri" w:eastAsia="Times New Roman" w:hAnsi="Calibri" w:cs="Calibri"/>
          <w:u w:val="none"/>
        </w:rPr>
        <w:t>)</w:t>
      </w:r>
      <w:r w:rsidRPr="0191E773">
        <w:rPr>
          <w:rFonts w:ascii="Calibri" w:eastAsia="Times New Roman" w:hAnsi="Calibri" w:cs="Calibri"/>
          <w:i/>
          <w:iCs/>
        </w:rPr>
        <w:t xml:space="preserve"> on the CalJOBS</w:t>
      </w:r>
      <w:r w:rsidRPr="0191E773">
        <w:rPr>
          <w:rFonts w:ascii="Calibri" w:eastAsia="Times New Roman" w:hAnsi="Calibri" w:cs="Calibri"/>
          <w:i/>
          <w:iCs/>
          <w:color w:val="000000" w:themeColor="text1"/>
        </w:rPr>
        <w:t xml:space="preserve"> </w:t>
      </w:r>
      <w:r w:rsidRPr="0191E773">
        <w:rPr>
          <w:rFonts w:ascii="Calibri" w:eastAsia="Times New Roman" w:hAnsi="Calibri" w:cs="Calibri"/>
          <w:i/>
          <w:iCs/>
        </w:rPr>
        <w:t>cash draw process.</w:t>
      </w:r>
    </w:p>
    <w:p w14:paraId="4BF00B46" w14:textId="77777777" w:rsidR="00A65390" w:rsidRDefault="00A65390" w:rsidP="00A65390">
      <w:pPr>
        <w:pStyle w:val="ListParagraph"/>
        <w:tabs>
          <w:tab w:val="left" w:pos="450"/>
          <w:tab w:val="left" w:pos="540"/>
        </w:tabs>
        <w:ind w:left="360"/>
        <w:rPr>
          <w:rFonts w:ascii="Calibri" w:eastAsia="Arial" w:hAnsi="Calibri" w:cs="Calibri"/>
          <w:color w:val="000000" w:themeColor="text1"/>
          <w:lang w:val="en"/>
        </w:rPr>
      </w:pPr>
    </w:p>
    <w:p w14:paraId="22250116" w14:textId="77777777" w:rsidR="00A45C96" w:rsidRDefault="00A45C96">
      <w:pPr>
        <w:rPr>
          <w:rFonts w:ascii="Calibri" w:eastAsia="Arial" w:hAnsi="Calibri" w:cs="Calibri"/>
          <w:color w:val="000000" w:themeColor="text1"/>
        </w:rPr>
      </w:pPr>
      <w:r>
        <w:rPr>
          <w:rFonts w:ascii="Calibri" w:eastAsia="Arial" w:hAnsi="Calibri" w:cs="Calibri"/>
          <w:color w:val="000000" w:themeColor="text1"/>
        </w:rPr>
        <w:br w:type="page"/>
      </w:r>
    </w:p>
    <w:p w14:paraId="7C57675A" w14:textId="0E1A4DBD" w:rsidR="00A65390" w:rsidRPr="001671B7" w:rsidRDefault="001B5C24" w:rsidP="00353EC7">
      <w:pPr>
        <w:tabs>
          <w:tab w:val="left" w:pos="450"/>
          <w:tab w:val="left" w:pos="540"/>
        </w:tabs>
        <w:ind w:left="360" w:hanging="360"/>
        <w:rPr>
          <w:rFonts w:ascii="Calibri" w:eastAsia="Arial" w:hAnsi="Calibri" w:cs="Calibri"/>
          <w:b/>
          <w:bCs/>
          <w:color w:val="000000" w:themeColor="text1"/>
        </w:rPr>
      </w:pPr>
      <w:r>
        <w:rPr>
          <w:rFonts w:ascii="Calibri" w:eastAsia="Arial" w:hAnsi="Calibri" w:cs="Calibri"/>
          <w:color w:val="000000" w:themeColor="text1"/>
        </w:rPr>
        <w:lastRenderedPageBreak/>
        <w:t>87</w:t>
      </w:r>
      <w:r w:rsidR="00C25C6F">
        <w:rPr>
          <w:rFonts w:ascii="Calibri" w:eastAsia="Arial" w:hAnsi="Calibri" w:cs="Calibri"/>
          <w:color w:val="000000" w:themeColor="text1"/>
        </w:rPr>
        <w:t>.</w:t>
      </w:r>
      <w:r>
        <w:rPr>
          <w:rFonts w:ascii="Calibri" w:eastAsia="Arial" w:hAnsi="Calibri" w:cs="Calibri"/>
          <w:color w:val="000000" w:themeColor="text1"/>
        </w:rPr>
        <w:t xml:space="preserve"> </w:t>
      </w:r>
      <w:r w:rsidR="00A65390" w:rsidRPr="001671B7">
        <w:rPr>
          <w:rFonts w:ascii="Calibri" w:eastAsia="Arial" w:hAnsi="Calibri" w:cs="Calibri"/>
          <w:b/>
          <w:bCs/>
          <w:color w:val="000000" w:themeColor="text1"/>
        </w:rPr>
        <w:t>With the leveraged amount, does that have to be shown via bank statements? Also, is it required to be used with this grant type, or is leveraging staff, time, resources etc. instead of money allowed as well?</w:t>
      </w:r>
    </w:p>
    <w:p w14:paraId="7E6D74DC" w14:textId="6EA1F923" w:rsidR="00A65390" w:rsidRDefault="00A65390" w:rsidP="00A65390">
      <w:pPr>
        <w:pStyle w:val="ListParagraph"/>
        <w:tabs>
          <w:tab w:val="left" w:pos="450"/>
          <w:tab w:val="left" w:pos="540"/>
        </w:tabs>
        <w:ind w:left="360"/>
        <w:rPr>
          <w:rFonts w:ascii="Calibri" w:eastAsia="Arial" w:hAnsi="Calibri" w:cs="Calibri"/>
          <w:color w:val="000000" w:themeColor="text1"/>
          <w:lang w:val="en"/>
        </w:rPr>
      </w:pPr>
    </w:p>
    <w:p w14:paraId="6D455CA4" w14:textId="2BE5B548" w:rsidR="00A65390" w:rsidRDefault="634E87E5" w:rsidP="00353EC7">
      <w:pPr>
        <w:pStyle w:val="ListParagraph"/>
        <w:tabs>
          <w:tab w:val="left" w:pos="450"/>
          <w:tab w:val="left" w:pos="540"/>
        </w:tabs>
        <w:ind w:left="360"/>
      </w:pPr>
      <w:r w:rsidRPr="0191E773">
        <w:t>Applicants must demonstrate the ability to leverage at least 20 percent of their budget with funds or services from other sources</w:t>
      </w:r>
      <w:r w:rsidR="51DC6711" w:rsidRPr="0191E773">
        <w:t>. Applicants must provide a letter to verify the dollar amount and sources of contributions from each entity pledging cash or in-kind resources to the project. The letters should clearly define the contribution parameters and include the exact cash amount or an estimate of the in-kind dollar amount of the contribution.</w:t>
      </w:r>
      <w:r w:rsidRPr="0191E773">
        <w:t xml:space="preserve"> </w:t>
      </w:r>
      <w:r w:rsidR="32490E51" w:rsidRPr="0191E773">
        <w:t>The definition of “in-kind resources” is a contribution of non-cash resources explicitly used for project activities. Examples include but are not limited to donated personnel, services, and use of equipment or space</w:t>
      </w:r>
    </w:p>
    <w:p w14:paraId="4899E791" w14:textId="77777777" w:rsidR="00A65390" w:rsidRDefault="00A65390" w:rsidP="00A65390">
      <w:pPr>
        <w:pStyle w:val="ListParagraph"/>
        <w:tabs>
          <w:tab w:val="left" w:pos="450"/>
          <w:tab w:val="left" w:pos="540"/>
        </w:tabs>
        <w:ind w:left="360"/>
        <w:rPr>
          <w:rFonts w:ascii="Calibri" w:eastAsia="Arial" w:hAnsi="Calibri" w:cs="Calibri"/>
          <w:color w:val="000000" w:themeColor="text1"/>
          <w:lang w:val="en"/>
        </w:rPr>
      </w:pPr>
    </w:p>
    <w:p w14:paraId="2D13C28B" w14:textId="5CCD4F5B" w:rsidR="00A65390" w:rsidRPr="001671B7" w:rsidRDefault="001B5C24" w:rsidP="00353EC7">
      <w:pPr>
        <w:tabs>
          <w:tab w:val="left" w:pos="450"/>
          <w:tab w:val="left" w:pos="540"/>
        </w:tabs>
        <w:ind w:left="360" w:hanging="360"/>
        <w:rPr>
          <w:rFonts w:ascii="Calibri" w:eastAsia="Arial" w:hAnsi="Calibri" w:cs="Calibri"/>
          <w:b/>
          <w:bCs/>
          <w:color w:val="000000" w:themeColor="text1"/>
          <w:lang w:val="en"/>
        </w:rPr>
      </w:pPr>
      <w:r>
        <w:rPr>
          <w:rFonts w:ascii="Calibri" w:eastAsia="Arial" w:hAnsi="Calibri" w:cs="Calibri"/>
          <w:color w:val="000000" w:themeColor="text1"/>
          <w:lang w:val="en"/>
        </w:rPr>
        <w:t>88</w:t>
      </w:r>
      <w:r w:rsidR="00C25C6F">
        <w:rPr>
          <w:rFonts w:ascii="Calibri" w:eastAsia="Arial" w:hAnsi="Calibri" w:cs="Calibri"/>
          <w:color w:val="000000" w:themeColor="text1"/>
          <w:lang w:val="en"/>
        </w:rPr>
        <w:t>.</w:t>
      </w:r>
      <w:r>
        <w:rPr>
          <w:rFonts w:ascii="Calibri" w:eastAsia="Arial" w:hAnsi="Calibri" w:cs="Calibri"/>
          <w:color w:val="000000" w:themeColor="text1"/>
          <w:lang w:val="en"/>
        </w:rPr>
        <w:t xml:space="preserve"> </w:t>
      </w:r>
      <w:r w:rsidR="00A65390" w:rsidRPr="001671B7">
        <w:rPr>
          <w:rFonts w:ascii="Calibri" w:eastAsia="Arial" w:hAnsi="Calibri" w:cs="Calibri"/>
          <w:b/>
          <w:bCs/>
          <w:color w:val="000000" w:themeColor="text1"/>
          <w:lang w:val="en"/>
        </w:rPr>
        <w:t>Is this grant award to be dispersed over the two-year period between Jan. 2025-Dec. 2026? Can organizations reapply to continue the program?</w:t>
      </w:r>
    </w:p>
    <w:p w14:paraId="65734F9B" w14:textId="77777777" w:rsidR="00A65390" w:rsidRDefault="00A65390" w:rsidP="00A65390">
      <w:pPr>
        <w:pStyle w:val="ListParagraph"/>
        <w:tabs>
          <w:tab w:val="left" w:pos="450"/>
          <w:tab w:val="left" w:pos="540"/>
        </w:tabs>
        <w:ind w:left="360"/>
        <w:rPr>
          <w:rFonts w:ascii="Calibri" w:eastAsia="Arial" w:hAnsi="Calibri" w:cs="Calibri"/>
          <w:color w:val="000000" w:themeColor="text1"/>
          <w:lang w:val="en"/>
        </w:rPr>
      </w:pPr>
    </w:p>
    <w:p w14:paraId="7F982B1F" w14:textId="3680530C" w:rsidR="1C753507" w:rsidRDefault="1C753507" w:rsidP="00F073DE">
      <w:pPr>
        <w:pStyle w:val="ListParagraph"/>
        <w:tabs>
          <w:tab w:val="left" w:pos="450"/>
          <w:tab w:val="left" w:pos="540"/>
        </w:tabs>
        <w:spacing w:line="259" w:lineRule="auto"/>
        <w:ind w:left="360"/>
        <w:rPr>
          <w:rFonts w:ascii="Calibri" w:eastAsia="Calibri" w:hAnsi="Calibri" w:cs="Calibri"/>
          <w:szCs w:val="24"/>
          <w:lang w:val="en"/>
        </w:rPr>
      </w:pPr>
      <w:r w:rsidRPr="0191E773">
        <w:rPr>
          <w:rFonts w:ascii="Calibri" w:eastAsia="Arial" w:hAnsi="Calibri" w:cs="Calibri"/>
          <w:color w:val="000000" w:themeColor="text1"/>
        </w:rPr>
        <w:t>Yes, the grant award is intended to be dis</w:t>
      </w:r>
      <w:r w:rsidRPr="0191E773">
        <w:rPr>
          <w:rFonts w:ascii="Calibri" w:eastAsia="Arial" w:hAnsi="Calibri" w:cs="Calibri"/>
          <w:color w:val="000000" w:themeColor="text1"/>
          <w:lang w:val="en"/>
        </w:rPr>
        <w:t xml:space="preserve">persed over the period of performance. </w:t>
      </w:r>
      <w:r w:rsidRPr="0191E773">
        <w:rPr>
          <w:rFonts w:ascii="Calibri" w:eastAsia="Calibri" w:hAnsi="Calibri" w:cs="Calibri"/>
          <w:szCs w:val="24"/>
          <w:lang w:val="en"/>
        </w:rPr>
        <w:t xml:space="preserve">All program costs and project goals should be listed for the entirety of the project. The EDD is unable to confirm whether future rounds of funding will be available for the OYACPP program. Current OYACPP grantees may apply as long as the </w:t>
      </w:r>
      <w:r w:rsidR="31DDD34E" w:rsidRPr="0191E773">
        <w:rPr>
          <w:rFonts w:ascii="Calibri" w:eastAsia="Calibri" w:hAnsi="Calibri" w:cs="Calibri"/>
          <w:szCs w:val="24"/>
          <w:lang w:val="en"/>
        </w:rPr>
        <w:t xml:space="preserve">projects proposed in the PY 24-25 serve different participants than those served in their PY 23-24 project. </w:t>
      </w:r>
    </w:p>
    <w:p w14:paraId="70FCAB35" w14:textId="77777777" w:rsidR="00A65390" w:rsidRDefault="00A65390" w:rsidP="00A65390">
      <w:pPr>
        <w:pStyle w:val="ListParagraph"/>
        <w:tabs>
          <w:tab w:val="left" w:pos="450"/>
          <w:tab w:val="left" w:pos="540"/>
        </w:tabs>
        <w:ind w:left="360"/>
        <w:rPr>
          <w:rFonts w:ascii="Calibri" w:eastAsia="Arial" w:hAnsi="Calibri" w:cs="Calibri"/>
          <w:color w:val="000000" w:themeColor="text1"/>
          <w:lang w:val="en"/>
        </w:rPr>
      </w:pPr>
    </w:p>
    <w:p w14:paraId="37E8B590" w14:textId="7A45A4B9" w:rsidR="00A65390" w:rsidRPr="001671B7" w:rsidRDefault="001B5C24" w:rsidP="001671B7">
      <w:pPr>
        <w:tabs>
          <w:tab w:val="left" w:pos="450"/>
          <w:tab w:val="left" w:pos="540"/>
        </w:tabs>
        <w:rPr>
          <w:rFonts w:ascii="Calibri" w:eastAsia="Arial" w:hAnsi="Calibri" w:cs="Calibri"/>
          <w:b/>
          <w:bCs/>
          <w:color w:val="000000" w:themeColor="text1"/>
          <w:lang w:val="en"/>
        </w:rPr>
      </w:pPr>
      <w:r>
        <w:rPr>
          <w:rFonts w:ascii="Calibri" w:eastAsia="Arial" w:hAnsi="Calibri" w:cs="Calibri"/>
          <w:color w:val="000000" w:themeColor="text1"/>
          <w:lang w:val="en"/>
        </w:rPr>
        <w:t>89</w:t>
      </w:r>
      <w:r w:rsidR="00C25C6F">
        <w:rPr>
          <w:rFonts w:ascii="Calibri" w:eastAsia="Arial" w:hAnsi="Calibri" w:cs="Calibri"/>
          <w:color w:val="000000" w:themeColor="text1"/>
          <w:lang w:val="en"/>
        </w:rPr>
        <w:t>.</w:t>
      </w:r>
      <w:r>
        <w:rPr>
          <w:rFonts w:ascii="Calibri" w:eastAsia="Arial" w:hAnsi="Calibri" w:cs="Calibri"/>
          <w:color w:val="000000" w:themeColor="text1"/>
          <w:lang w:val="en"/>
        </w:rPr>
        <w:t xml:space="preserve"> </w:t>
      </w:r>
      <w:r w:rsidR="00A65390" w:rsidRPr="001671B7">
        <w:rPr>
          <w:rFonts w:ascii="Calibri" w:eastAsia="Arial" w:hAnsi="Calibri" w:cs="Calibri"/>
          <w:b/>
          <w:bCs/>
          <w:color w:val="000000" w:themeColor="text1"/>
          <w:lang w:val="en"/>
        </w:rPr>
        <w:t>What are the WIOA requirements?</w:t>
      </w:r>
    </w:p>
    <w:p w14:paraId="3DC065D8" w14:textId="77777777" w:rsidR="00A65390" w:rsidRDefault="00A65390" w:rsidP="00A65390">
      <w:pPr>
        <w:pStyle w:val="ListParagraph"/>
        <w:tabs>
          <w:tab w:val="left" w:pos="450"/>
          <w:tab w:val="left" w:pos="540"/>
        </w:tabs>
        <w:ind w:left="360"/>
        <w:rPr>
          <w:rFonts w:ascii="Calibri" w:eastAsia="Arial" w:hAnsi="Calibri" w:cs="Calibri"/>
          <w:color w:val="000000" w:themeColor="text1"/>
          <w:lang w:val="en"/>
        </w:rPr>
      </w:pPr>
    </w:p>
    <w:p w14:paraId="4A8B514F" w14:textId="4F76B5BF" w:rsidR="0829EE46" w:rsidRDefault="001B5C24" w:rsidP="00353EC7">
      <w:pPr>
        <w:pStyle w:val="ListParagraph"/>
        <w:tabs>
          <w:tab w:val="left" w:pos="450"/>
          <w:tab w:val="left" w:pos="540"/>
        </w:tabs>
        <w:spacing w:line="259" w:lineRule="auto"/>
        <w:ind w:left="270"/>
      </w:pPr>
      <w:r>
        <w:rPr>
          <w:rFonts w:ascii="Calibri" w:eastAsia="Arial" w:hAnsi="Calibri" w:cs="Calibri"/>
          <w:color w:val="000000" w:themeColor="text1"/>
        </w:rPr>
        <w:t xml:space="preserve"> </w:t>
      </w:r>
      <w:r w:rsidR="0829EE46" w:rsidRPr="0191E773">
        <w:rPr>
          <w:rFonts w:ascii="Calibri" w:eastAsia="Arial" w:hAnsi="Calibri" w:cs="Calibri"/>
          <w:color w:val="000000" w:themeColor="text1"/>
        </w:rPr>
        <w:t xml:space="preserve">Information about WIOA </w:t>
      </w:r>
      <w:proofErr w:type="spellStart"/>
      <w:r w:rsidR="0829EE46" w:rsidRPr="0191E773">
        <w:rPr>
          <w:rFonts w:ascii="Calibri" w:eastAsia="Arial" w:hAnsi="Calibri" w:cs="Calibri"/>
          <w:color w:val="000000" w:themeColor="text1"/>
        </w:rPr>
        <w:t>requireme</w:t>
      </w:r>
      <w:r w:rsidR="0829EE46" w:rsidRPr="0191E773">
        <w:rPr>
          <w:rFonts w:ascii="Calibri" w:eastAsia="Arial" w:hAnsi="Calibri" w:cs="Calibri"/>
          <w:color w:val="000000" w:themeColor="text1"/>
          <w:lang w:val="en"/>
        </w:rPr>
        <w:t>nts</w:t>
      </w:r>
      <w:proofErr w:type="spellEnd"/>
      <w:r w:rsidR="0829EE46" w:rsidRPr="0191E773">
        <w:rPr>
          <w:rFonts w:ascii="Calibri" w:eastAsia="Arial" w:hAnsi="Calibri" w:cs="Calibri"/>
          <w:color w:val="000000" w:themeColor="text1"/>
          <w:lang w:val="en"/>
        </w:rPr>
        <w:t xml:space="preserve"> can be found</w:t>
      </w:r>
      <w:r w:rsidR="00A45C96">
        <w:rPr>
          <w:rFonts w:ascii="Calibri" w:eastAsia="Arial" w:hAnsi="Calibri" w:cs="Calibri"/>
          <w:color w:val="000000" w:themeColor="text1"/>
          <w:lang w:val="en"/>
        </w:rPr>
        <w:t xml:space="preserve"> on the </w:t>
      </w:r>
      <w:hyperlink r:id="rId26" w:history="1">
        <w:r w:rsidR="00A45C96" w:rsidRPr="00D67545">
          <w:rPr>
            <w:rStyle w:val="Hyperlink"/>
            <w:rFonts w:ascii="Calibri" w:eastAsia="Arial" w:hAnsi="Calibri" w:cs="Calibri"/>
            <w:u w:val="none"/>
            <w:lang w:val="en"/>
          </w:rPr>
          <w:t>U.S. Department of Labor Workforce Innovation and Opportunity Act</w:t>
        </w:r>
      </w:hyperlink>
      <w:r w:rsidR="00A45C96">
        <w:rPr>
          <w:rFonts w:ascii="Calibri" w:eastAsia="Arial" w:hAnsi="Calibri" w:cs="Calibri"/>
          <w:color w:val="000000" w:themeColor="text1"/>
          <w:lang w:val="en"/>
        </w:rPr>
        <w:t xml:space="preserve"> webpage</w:t>
      </w:r>
      <w:r w:rsidR="0829EE46" w:rsidRPr="0191E773">
        <w:rPr>
          <w:rFonts w:ascii="Calibri" w:eastAsia="Arial" w:hAnsi="Calibri" w:cs="Calibri"/>
          <w:color w:val="000000" w:themeColor="text1"/>
          <w:lang w:val="en"/>
        </w:rPr>
        <w:t>.</w:t>
      </w:r>
    </w:p>
    <w:p w14:paraId="42D14687" w14:textId="77777777" w:rsidR="00A65390" w:rsidRDefault="00A65390" w:rsidP="00A65390">
      <w:pPr>
        <w:pStyle w:val="ListParagraph"/>
        <w:tabs>
          <w:tab w:val="left" w:pos="450"/>
          <w:tab w:val="left" w:pos="540"/>
        </w:tabs>
        <w:ind w:left="360"/>
        <w:rPr>
          <w:rFonts w:ascii="Calibri" w:eastAsia="Arial" w:hAnsi="Calibri" w:cs="Calibri"/>
          <w:color w:val="000000" w:themeColor="text1"/>
          <w:lang w:val="en"/>
        </w:rPr>
      </w:pPr>
    </w:p>
    <w:p w14:paraId="1B5B32A5" w14:textId="1E213046" w:rsidR="00A65390" w:rsidRPr="001671B7" w:rsidRDefault="001B5C24" w:rsidP="00353EC7">
      <w:pPr>
        <w:tabs>
          <w:tab w:val="left" w:pos="450"/>
          <w:tab w:val="left" w:pos="540"/>
        </w:tabs>
        <w:ind w:left="360" w:hanging="360"/>
        <w:rPr>
          <w:rFonts w:ascii="Calibri" w:eastAsia="Arial" w:hAnsi="Calibri" w:cs="Calibri"/>
          <w:b/>
          <w:bCs/>
          <w:color w:val="000000" w:themeColor="text1"/>
        </w:rPr>
      </w:pPr>
      <w:r>
        <w:rPr>
          <w:rFonts w:ascii="Calibri" w:eastAsia="Arial" w:hAnsi="Calibri" w:cs="Calibri"/>
          <w:color w:val="000000" w:themeColor="text1"/>
        </w:rPr>
        <w:t>90</w:t>
      </w:r>
      <w:r w:rsidR="00C25C6F">
        <w:rPr>
          <w:rFonts w:ascii="Calibri" w:eastAsia="Arial" w:hAnsi="Calibri" w:cs="Calibri"/>
          <w:color w:val="000000" w:themeColor="text1"/>
        </w:rPr>
        <w:t>.</w:t>
      </w:r>
      <w:r>
        <w:rPr>
          <w:rFonts w:ascii="Calibri" w:eastAsia="Arial" w:hAnsi="Calibri" w:cs="Calibri"/>
          <w:color w:val="000000" w:themeColor="text1"/>
        </w:rPr>
        <w:t xml:space="preserve"> </w:t>
      </w:r>
      <w:r w:rsidR="00A65390" w:rsidRPr="001671B7">
        <w:rPr>
          <w:rFonts w:ascii="Calibri" w:eastAsia="Arial" w:hAnsi="Calibri" w:cs="Calibri"/>
          <w:b/>
          <w:bCs/>
          <w:color w:val="000000" w:themeColor="text1"/>
        </w:rPr>
        <w:t>For the logic model, since there is a page limit, can the instructions be deleted? How will the three</w:t>
      </w:r>
      <w:r w:rsidR="00A65390" w:rsidRPr="001671B7">
        <w:rPr>
          <w:rFonts w:ascii="Calibri" w:eastAsia="Arial" w:hAnsi="Calibri" w:cs="Calibri"/>
          <w:color w:val="000000" w:themeColor="text1"/>
        </w:rPr>
        <w:t xml:space="preserve"> </w:t>
      </w:r>
      <w:r w:rsidR="00A65390" w:rsidRPr="001671B7">
        <w:rPr>
          <w:rFonts w:ascii="Calibri" w:eastAsia="Arial" w:hAnsi="Calibri" w:cs="Calibri"/>
          <w:b/>
          <w:bCs/>
          <w:color w:val="000000" w:themeColor="text1"/>
        </w:rPr>
        <w:t>pages be counted?</w:t>
      </w:r>
    </w:p>
    <w:p w14:paraId="77B69F27" w14:textId="77777777" w:rsidR="00A65390" w:rsidRDefault="00A65390" w:rsidP="00A65390">
      <w:pPr>
        <w:pStyle w:val="ListParagraph"/>
        <w:tabs>
          <w:tab w:val="left" w:pos="450"/>
          <w:tab w:val="left" w:pos="540"/>
        </w:tabs>
        <w:ind w:left="360"/>
        <w:rPr>
          <w:rFonts w:ascii="Calibri" w:eastAsia="Arial" w:hAnsi="Calibri" w:cs="Calibri"/>
          <w:color w:val="000000" w:themeColor="text1"/>
          <w:lang w:val="en"/>
        </w:rPr>
      </w:pPr>
    </w:p>
    <w:p w14:paraId="1DA84672" w14:textId="47AAFDE5" w:rsidR="4C375395" w:rsidRDefault="4C375395" w:rsidP="00353EC7">
      <w:pPr>
        <w:pStyle w:val="ListParagraph"/>
        <w:tabs>
          <w:tab w:val="left" w:pos="450"/>
          <w:tab w:val="left" w:pos="540"/>
        </w:tabs>
        <w:spacing w:line="259" w:lineRule="auto"/>
        <w:ind w:left="360"/>
        <w:rPr>
          <w:rFonts w:ascii="Calibri" w:eastAsia="Arial" w:hAnsi="Calibri" w:cs="Calibri"/>
          <w:color w:val="000000" w:themeColor="text1"/>
        </w:rPr>
      </w:pPr>
      <w:r w:rsidRPr="0191E773">
        <w:rPr>
          <w:rFonts w:ascii="Calibri" w:eastAsia="Arial" w:hAnsi="Calibri" w:cs="Calibri"/>
          <w:color w:val="000000" w:themeColor="text1"/>
        </w:rPr>
        <w:t xml:space="preserve">To adhere to the 3-page limit, applicants may remove the instructions in the </w:t>
      </w:r>
      <w:r w:rsidR="1C1A4807" w:rsidRPr="0191E773">
        <w:rPr>
          <w:rFonts w:ascii="Calibri" w:eastAsia="Arial" w:hAnsi="Calibri" w:cs="Calibri"/>
          <w:color w:val="000000" w:themeColor="text1"/>
        </w:rPr>
        <w:t xml:space="preserve">Logic Model Word template. For scoring and reviewing purposes, all content should remain in the order provided in the template. </w:t>
      </w:r>
    </w:p>
    <w:p w14:paraId="51AE25F3" w14:textId="77777777" w:rsidR="00A65390" w:rsidRDefault="00A65390" w:rsidP="00A65390">
      <w:pPr>
        <w:pStyle w:val="ListParagraph"/>
        <w:tabs>
          <w:tab w:val="left" w:pos="450"/>
          <w:tab w:val="left" w:pos="540"/>
        </w:tabs>
        <w:ind w:left="360"/>
        <w:rPr>
          <w:rFonts w:ascii="Calibri" w:eastAsia="Arial" w:hAnsi="Calibri" w:cs="Calibri"/>
          <w:color w:val="000000" w:themeColor="text1"/>
          <w:lang w:val="en"/>
        </w:rPr>
      </w:pPr>
    </w:p>
    <w:p w14:paraId="00D5C08C" w14:textId="1BF842A3" w:rsidR="00A65390" w:rsidRPr="001671B7" w:rsidRDefault="001B5C24" w:rsidP="00353EC7">
      <w:pPr>
        <w:tabs>
          <w:tab w:val="left" w:pos="450"/>
          <w:tab w:val="left" w:pos="540"/>
        </w:tabs>
        <w:ind w:left="360" w:hanging="360"/>
        <w:rPr>
          <w:rFonts w:ascii="Calibri" w:eastAsia="Arial" w:hAnsi="Calibri" w:cs="Calibri"/>
          <w:b/>
          <w:bCs/>
          <w:color w:val="000000" w:themeColor="text1"/>
          <w:lang w:val="en"/>
        </w:rPr>
      </w:pPr>
      <w:r>
        <w:rPr>
          <w:rFonts w:ascii="Calibri" w:eastAsia="Arial" w:hAnsi="Calibri" w:cs="Calibri"/>
          <w:color w:val="000000" w:themeColor="text1"/>
          <w:lang w:val="en"/>
        </w:rPr>
        <w:t>91</w:t>
      </w:r>
      <w:r w:rsidR="00C25C6F">
        <w:rPr>
          <w:rFonts w:ascii="Calibri" w:eastAsia="Arial" w:hAnsi="Calibri" w:cs="Calibri"/>
          <w:color w:val="000000" w:themeColor="text1"/>
          <w:lang w:val="en"/>
        </w:rPr>
        <w:t>.</w:t>
      </w:r>
      <w:r>
        <w:rPr>
          <w:rFonts w:ascii="Calibri" w:eastAsia="Arial" w:hAnsi="Calibri" w:cs="Calibri"/>
          <w:color w:val="000000" w:themeColor="text1"/>
          <w:lang w:val="en"/>
        </w:rPr>
        <w:t xml:space="preserve"> </w:t>
      </w:r>
      <w:r w:rsidR="00A65390" w:rsidRPr="001671B7">
        <w:rPr>
          <w:rFonts w:ascii="Calibri" w:eastAsia="Arial" w:hAnsi="Calibri" w:cs="Calibri"/>
          <w:b/>
          <w:bCs/>
          <w:color w:val="000000" w:themeColor="text1"/>
          <w:lang w:val="en"/>
        </w:rPr>
        <w:t>How long does reimbursement take on average and is it possible to request a lump-sum payment at the start of the grant?</w:t>
      </w:r>
    </w:p>
    <w:p w14:paraId="4C7AB491" w14:textId="22149A6B" w:rsidR="0191E773" w:rsidRDefault="0191E773" w:rsidP="0191E773">
      <w:pPr>
        <w:pStyle w:val="ListParagraph"/>
        <w:tabs>
          <w:tab w:val="left" w:pos="450"/>
          <w:tab w:val="left" w:pos="540"/>
        </w:tabs>
        <w:ind w:left="360"/>
      </w:pPr>
    </w:p>
    <w:p w14:paraId="19F15657" w14:textId="00A47994" w:rsidR="5F4766D2" w:rsidRDefault="5F4766D2" w:rsidP="00353EC7">
      <w:pPr>
        <w:pStyle w:val="ListParagraph"/>
        <w:tabs>
          <w:tab w:val="left" w:pos="450"/>
          <w:tab w:val="left" w:pos="540"/>
        </w:tabs>
        <w:ind w:left="360"/>
      </w:pPr>
      <w:r w:rsidRPr="0191E773">
        <w:t>Reimbursements or “</w:t>
      </w:r>
      <w:r w:rsidR="485CE463" w:rsidRPr="0191E773">
        <w:t>Cash requests</w:t>
      </w:r>
      <w:r w:rsidR="1D9F3D07" w:rsidRPr="0191E773">
        <w:t>”</w:t>
      </w:r>
      <w:r w:rsidR="485CE463" w:rsidRPr="0191E773">
        <w:t xml:space="preserve"> must be submitted by 2:00 p.m. for same day processing (the Earliest Processing Date). If the cash request is not completed by 2:00 p.m., the request will be processed the following business day. The Earliest Delivery Date is 2 business days after the Earliest Processing Date. An Alternate Delivery Date can be selected if the cash needs to be delivered on another date, but the Alternate Delivery Date cannot be prior to the Earliest Delivery Date (2 business days). Advanced payment of any kind is not </w:t>
      </w:r>
      <w:r w:rsidR="10A00F92" w:rsidRPr="0191E773">
        <w:t xml:space="preserve">available for this grant opportunity. </w:t>
      </w:r>
    </w:p>
    <w:p w14:paraId="7D8A6441" w14:textId="19599364" w:rsidR="7B9D99ED" w:rsidRDefault="7B9D99ED" w:rsidP="00353EC7">
      <w:pPr>
        <w:tabs>
          <w:tab w:val="left" w:pos="540"/>
        </w:tabs>
        <w:ind w:left="360"/>
        <w:rPr>
          <w:rFonts w:ascii="Calibri" w:eastAsia="Calibri" w:hAnsi="Calibri" w:cs="Calibri"/>
          <w:i/>
          <w:iCs/>
        </w:rPr>
      </w:pPr>
      <w:r w:rsidRPr="0191E773">
        <w:rPr>
          <w:rFonts w:ascii="Calibri" w:eastAsia="Times New Roman" w:hAnsi="Calibri" w:cs="Calibri"/>
          <w:i/>
          <w:iCs/>
        </w:rPr>
        <w:t xml:space="preserve">For additional information, please reference the Workforce Services Directive </w:t>
      </w:r>
      <w:hyperlink r:id="rId27">
        <w:r w:rsidRPr="00D67545">
          <w:rPr>
            <w:rStyle w:val="Hyperlink"/>
            <w:rFonts w:ascii="Calibri" w:eastAsia="Times New Roman" w:hAnsi="Calibri" w:cs="Calibri"/>
            <w:i/>
            <w:iCs/>
            <w:u w:val="none"/>
          </w:rPr>
          <w:t xml:space="preserve">CalJOBS Cash Request </w:t>
        </w:r>
        <w:r w:rsidR="00D67545" w:rsidRPr="00D67545">
          <w:rPr>
            <w:rStyle w:val="Hyperlink"/>
            <w:rFonts w:ascii="Calibri" w:eastAsia="Times New Roman" w:hAnsi="Calibri" w:cs="Calibri"/>
            <w:u w:val="none"/>
          </w:rPr>
          <w:t>(</w:t>
        </w:r>
        <w:r w:rsidRPr="00D67545">
          <w:rPr>
            <w:rStyle w:val="Hyperlink"/>
            <w:rFonts w:ascii="Calibri" w:eastAsia="Times New Roman" w:hAnsi="Calibri" w:cs="Calibri"/>
            <w:u w:val="none"/>
          </w:rPr>
          <w:t>WSD16-17</w:t>
        </w:r>
      </w:hyperlink>
      <w:r w:rsidR="00D67545" w:rsidRPr="00D67545">
        <w:rPr>
          <w:rStyle w:val="Hyperlink"/>
          <w:rFonts w:ascii="Calibri" w:eastAsia="Times New Roman" w:hAnsi="Calibri" w:cs="Calibri"/>
          <w:u w:val="none"/>
        </w:rPr>
        <w:t>)</w:t>
      </w:r>
      <w:r w:rsidRPr="00D67545">
        <w:rPr>
          <w:rFonts w:ascii="Calibri" w:eastAsia="Times New Roman" w:hAnsi="Calibri" w:cs="Calibri"/>
        </w:rPr>
        <w:t xml:space="preserve"> </w:t>
      </w:r>
      <w:r w:rsidRPr="0191E773">
        <w:rPr>
          <w:rFonts w:ascii="Calibri" w:eastAsia="Times New Roman" w:hAnsi="Calibri" w:cs="Calibri"/>
          <w:i/>
          <w:iCs/>
        </w:rPr>
        <w:t>on the CalJOBS</w:t>
      </w:r>
      <w:r w:rsidRPr="0191E773">
        <w:rPr>
          <w:rFonts w:ascii="Calibri" w:eastAsia="Times New Roman" w:hAnsi="Calibri" w:cs="Calibri"/>
          <w:i/>
          <w:iCs/>
          <w:color w:val="000000" w:themeColor="text1"/>
        </w:rPr>
        <w:t xml:space="preserve"> </w:t>
      </w:r>
      <w:r w:rsidRPr="0191E773">
        <w:rPr>
          <w:rFonts w:ascii="Calibri" w:eastAsia="Times New Roman" w:hAnsi="Calibri" w:cs="Calibri"/>
          <w:i/>
          <w:iCs/>
        </w:rPr>
        <w:t>cash draw process.</w:t>
      </w:r>
    </w:p>
    <w:p w14:paraId="743189F7" w14:textId="33C34946" w:rsidR="00A65390" w:rsidRDefault="00A65390" w:rsidP="0191E773">
      <w:pPr>
        <w:tabs>
          <w:tab w:val="left" w:pos="450"/>
          <w:tab w:val="left" w:pos="540"/>
        </w:tabs>
        <w:ind w:left="360"/>
        <w:rPr>
          <w:rFonts w:ascii="Calibri" w:eastAsia="Arial" w:hAnsi="Calibri" w:cs="Calibri"/>
          <w:color w:val="000000" w:themeColor="text1"/>
          <w:lang w:val="en"/>
        </w:rPr>
      </w:pPr>
    </w:p>
    <w:p w14:paraId="73AE093B" w14:textId="06B0D62F" w:rsidR="00A65390" w:rsidRPr="001671B7" w:rsidRDefault="001B5C24" w:rsidP="001671B7">
      <w:pPr>
        <w:tabs>
          <w:tab w:val="left" w:pos="450"/>
          <w:tab w:val="left" w:pos="540"/>
        </w:tabs>
        <w:rPr>
          <w:rFonts w:ascii="Calibri" w:eastAsia="Arial" w:hAnsi="Calibri" w:cs="Calibri"/>
          <w:b/>
          <w:bCs/>
          <w:color w:val="000000" w:themeColor="text1"/>
        </w:rPr>
      </w:pPr>
      <w:r>
        <w:rPr>
          <w:rFonts w:ascii="Calibri" w:eastAsia="Arial" w:hAnsi="Calibri" w:cs="Calibri"/>
          <w:color w:val="000000" w:themeColor="text1"/>
        </w:rPr>
        <w:t xml:space="preserve">92 </w:t>
      </w:r>
      <w:r w:rsidR="00FC02E0" w:rsidRPr="001671B7">
        <w:rPr>
          <w:rFonts w:ascii="Calibri" w:eastAsia="Arial" w:hAnsi="Calibri" w:cs="Calibri"/>
          <w:b/>
          <w:bCs/>
          <w:color w:val="000000" w:themeColor="text1"/>
        </w:rPr>
        <w:t xml:space="preserve">Can the </w:t>
      </w:r>
      <w:r w:rsidR="00353EC7" w:rsidRPr="001671B7">
        <w:rPr>
          <w:rFonts w:ascii="Calibri" w:eastAsia="Arial" w:hAnsi="Calibri" w:cs="Calibri"/>
          <w:b/>
          <w:bCs/>
          <w:color w:val="000000" w:themeColor="text1"/>
        </w:rPr>
        <w:t>18–28-year-old</w:t>
      </w:r>
      <w:r w:rsidR="00FC02E0" w:rsidRPr="001671B7">
        <w:rPr>
          <w:rFonts w:ascii="Calibri" w:eastAsia="Arial" w:hAnsi="Calibri" w:cs="Calibri"/>
          <w:b/>
          <w:bCs/>
          <w:color w:val="000000" w:themeColor="text1"/>
        </w:rPr>
        <w:t xml:space="preserve"> population be undocumented? </w:t>
      </w:r>
    </w:p>
    <w:p w14:paraId="25934986" w14:textId="77777777" w:rsidR="00FC02E0" w:rsidRDefault="00FC02E0" w:rsidP="00FC02E0">
      <w:pPr>
        <w:pStyle w:val="ListParagraph"/>
        <w:tabs>
          <w:tab w:val="left" w:pos="450"/>
          <w:tab w:val="left" w:pos="540"/>
        </w:tabs>
        <w:ind w:left="360"/>
        <w:rPr>
          <w:rFonts w:ascii="Calibri" w:eastAsia="Arial" w:hAnsi="Calibri" w:cs="Calibri"/>
          <w:color w:val="000000" w:themeColor="text1"/>
          <w:lang w:val="en"/>
        </w:rPr>
      </w:pPr>
    </w:p>
    <w:p w14:paraId="69FC245E" w14:textId="4A2CC908" w:rsidR="54983C40" w:rsidRDefault="001B5C24" w:rsidP="00353EC7">
      <w:pPr>
        <w:pStyle w:val="ListParagraph"/>
        <w:tabs>
          <w:tab w:val="left" w:pos="450"/>
          <w:tab w:val="left" w:pos="540"/>
        </w:tabs>
        <w:ind w:left="360" w:hanging="90"/>
      </w:pPr>
      <w:r>
        <w:t xml:space="preserve">  </w:t>
      </w:r>
      <w:r w:rsidR="007A5CED">
        <w:t>M</w:t>
      </w:r>
      <w:r w:rsidR="007A5CED" w:rsidRPr="007A5CED">
        <w:t xml:space="preserve">any services provided through WIOA programs may be delivered without proof of the participant’s work authorization. Refer to </w:t>
      </w:r>
      <w:r w:rsidR="007A5CED">
        <w:t>EDD’s Workforce Services Directive (</w:t>
      </w:r>
      <w:hyperlink r:id="rId28" w:history="1">
        <w:r w:rsidR="007A5CED" w:rsidRPr="00D67545">
          <w:rPr>
            <w:rStyle w:val="Hyperlink"/>
            <w:u w:val="none"/>
          </w:rPr>
          <w:t>WSD24-04</w:t>
        </w:r>
      </w:hyperlink>
      <w:r w:rsidR="007A5CED">
        <w:t>)</w:t>
      </w:r>
      <w:r w:rsidR="007A5CED" w:rsidRPr="007A5CED">
        <w:t xml:space="preserve"> WIOA Title I Eligibility Technical Assistance Guide for further guidance.</w:t>
      </w:r>
    </w:p>
    <w:p w14:paraId="3CB6CE1C" w14:textId="77777777" w:rsidR="00FC02E0" w:rsidRDefault="00FC02E0" w:rsidP="00FC02E0">
      <w:pPr>
        <w:pStyle w:val="ListParagraph"/>
        <w:tabs>
          <w:tab w:val="left" w:pos="450"/>
          <w:tab w:val="left" w:pos="540"/>
        </w:tabs>
        <w:ind w:left="360"/>
        <w:rPr>
          <w:rFonts w:ascii="Calibri" w:eastAsia="Arial" w:hAnsi="Calibri" w:cs="Calibri"/>
          <w:color w:val="000000" w:themeColor="text1"/>
          <w:lang w:val="en"/>
        </w:rPr>
      </w:pPr>
    </w:p>
    <w:p w14:paraId="0634FC14" w14:textId="1C78183B" w:rsidR="00FC02E0" w:rsidRPr="001671B7" w:rsidRDefault="001B5C24" w:rsidP="001671B7">
      <w:pPr>
        <w:tabs>
          <w:tab w:val="left" w:pos="450"/>
          <w:tab w:val="left" w:pos="540"/>
        </w:tabs>
        <w:rPr>
          <w:rFonts w:ascii="Calibri" w:eastAsia="Arial" w:hAnsi="Calibri" w:cs="Calibri"/>
          <w:b/>
          <w:bCs/>
          <w:color w:val="000000" w:themeColor="text1"/>
          <w:szCs w:val="24"/>
        </w:rPr>
      </w:pPr>
      <w:r>
        <w:rPr>
          <w:rFonts w:ascii="Calibri" w:eastAsia="Arial" w:hAnsi="Calibri" w:cs="Calibri"/>
          <w:color w:val="000000" w:themeColor="text1"/>
        </w:rPr>
        <w:t>93</w:t>
      </w:r>
      <w:r w:rsidR="00C25C6F">
        <w:rPr>
          <w:rFonts w:ascii="Calibri" w:eastAsia="Arial" w:hAnsi="Calibri" w:cs="Calibri"/>
          <w:color w:val="000000" w:themeColor="text1"/>
        </w:rPr>
        <w:t>.</w:t>
      </w:r>
      <w:r>
        <w:rPr>
          <w:rFonts w:ascii="Calibri" w:eastAsia="Arial" w:hAnsi="Calibri" w:cs="Calibri"/>
          <w:color w:val="000000" w:themeColor="text1"/>
        </w:rPr>
        <w:t xml:space="preserve"> </w:t>
      </w:r>
      <w:r w:rsidR="00FC02E0" w:rsidRPr="001671B7">
        <w:rPr>
          <w:rFonts w:ascii="Calibri" w:eastAsia="Arial" w:hAnsi="Calibri" w:cs="Calibri"/>
          <w:b/>
          <w:bCs/>
          <w:color w:val="000000" w:themeColor="text1"/>
        </w:rPr>
        <w:t>How do applicants register for CalJOBS?</w:t>
      </w:r>
    </w:p>
    <w:p w14:paraId="55A11981" w14:textId="77777777" w:rsidR="00FC02E0" w:rsidRDefault="00FC02E0" w:rsidP="00FC02E0">
      <w:pPr>
        <w:pStyle w:val="ListParagraph"/>
        <w:tabs>
          <w:tab w:val="left" w:pos="450"/>
          <w:tab w:val="left" w:pos="540"/>
        </w:tabs>
        <w:ind w:left="360"/>
        <w:rPr>
          <w:rFonts w:ascii="Calibri" w:eastAsia="Arial" w:hAnsi="Calibri" w:cs="Calibri"/>
          <w:color w:val="000000" w:themeColor="text1"/>
          <w:lang w:val="en"/>
        </w:rPr>
      </w:pPr>
    </w:p>
    <w:p w14:paraId="635D8BA5" w14:textId="46464C0D" w:rsidR="62B374D4" w:rsidRDefault="001B5C24" w:rsidP="00353EC7">
      <w:pPr>
        <w:pStyle w:val="ListParagraph"/>
        <w:tabs>
          <w:tab w:val="left" w:pos="450"/>
          <w:tab w:val="left" w:pos="540"/>
        </w:tabs>
        <w:spacing w:line="259" w:lineRule="auto"/>
        <w:ind w:left="360" w:hanging="180"/>
      </w:pPr>
      <w:r>
        <w:rPr>
          <w:rFonts w:ascii="Calibri" w:eastAsia="Arial" w:hAnsi="Calibri" w:cs="Calibri"/>
          <w:color w:val="000000" w:themeColor="text1"/>
        </w:rPr>
        <w:t xml:space="preserve">   </w:t>
      </w:r>
      <w:r w:rsidR="62B374D4" w:rsidRPr="0191E773">
        <w:rPr>
          <w:rFonts w:ascii="Calibri" w:eastAsia="Arial" w:hAnsi="Calibri" w:cs="Calibri"/>
          <w:color w:val="000000" w:themeColor="text1"/>
        </w:rPr>
        <w:t>Applicant</w:t>
      </w:r>
      <w:r w:rsidR="62B374D4" w:rsidRPr="0191E773">
        <w:rPr>
          <w:rFonts w:ascii="Calibri" w:eastAsia="Arial" w:hAnsi="Calibri" w:cs="Calibri"/>
          <w:color w:val="000000" w:themeColor="text1"/>
          <w:lang w:val="en"/>
        </w:rPr>
        <w:t>s can sign up for CalJOB</w:t>
      </w:r>
      <w:r w:rsidR="00D67545">
        <w:rPr>
          <w:rFonts w:ascii="Calibri" w:eastAsia="Arial" w:hAnsi="Calibri" w:cs="Calibri"/>
          <w:color w:val="000000" w:themeColor="text1"/>
          <w:lang w:val="en"/>
        </w:rPr>
        <w:t>S</w:t>
      </w:r>
      <w:r w:rsidR="62B374D4" w:rsidRPr="0191E773">
        <w:rPr>
          <w:rFonts w:ascii="Calibri" w:eastAsia="Arial" w:hAnsi="Calibri" w:cs="Calibri"/>
          <w:color w:val="000000" w:themeColor="text1"/>
          <w:lang w:val="en"/>
        </w:rPr>
        <w:t xml:space="preserve"> using the </w:t>
      </w:r>
      <w:hyperlink r:id="rId29" w:history="1">
        <w:r w:rsidR="00D67545" w:rsidRPr="00D67545">
          <w:rPr>
            <w:rStyle w:val="Hyperlink"/>
            <w:rFonts w:ascii="Calibri" w:eastAsia="Arial" w:hAnsi="Calibri" w:cs="Calibri"/>
            <w:u w:val="none"/>
            <w:lang w:val="en"/>
          </w:rPr>
          <w:t xml:space="preserve">CalJOBS </w:t>
        </w:r>
        <w:r w:rsidR="62B374D4" w:rsidRPr="00D67545">
          <w:rPr>
            <w:rStyle w:val="Hyperlink"/>
            <w:rFonts w:ascii="Calibri" w:eastAsia="Arial" w:hAnsi="Calibri" w:cs="Calibri"/>
            <w:u w:val="none"/>
            <w:lang w:val="en"/>
          </w:rPr>
          <w:t>link</w:t>
        </w:r>
      </w:hyperlink>
      <w:r w:rsidR="62B374D4" w:rsidRPr="0191E773">
        <w:rPr>
          <w:rFonts w:ascii="Calibri" w:eastAsia="Arial" w:hAnsi="Calibri" w:cs="Calibri"/>
          <w:color w:val="000000" w:themeColor="text1"/>
          <w:lang w:val="en"/>
        </w:rPr>
        <w:t xml:space="preserve"> on page 58 of the SFP.</w:t>
      </w:r>
      <w:r w:rsidR="4A73EFF5" w:rsidRPr="0191E773">
        <w:rPr>
          <w:rFonts w:ascii="Calibri" w:eastAsia="Arial" w:hAnsi="Calibri" w:cs="Calibri"/>
          <w:color w:val="000000" w:themeColor="text1"/>
          <w:lang w:val="en"/>
        </w:rPr>
        <w:t xml:space="preserve"> </w:t>
      </w:r>
      <w:r w:rsidR="4A73EFF5" w:rsidRPr="0191E773">
        <w:rPr>
          <w:lang w:val="en"/>
        </w:rPr>
        <w:t>The state will provide training on how to use the CalJOB</w:t>
      </w:r>
      <w:r w:rsidR="00D67545">
        <w:rPr>
          <w:lang w:val="en"/>
        </w:rPr>
        <w:t>S</w:t>
      </w:r>
      <w:r w:rsidR="4A73EFF5" w:rsidRPr="0191E773">
        <w:rPr>
          <w:lang w:val="en"/>
        </w:rPr>
        <w:t xml:space="preserve"> reporting system.</w:t>
      </w:r>
    </w:p>
    <w:p w14:paraId="31EE9652" w14:textId="77777777" w:rsidR="00FC02E0" w:rsidRDefault="00FC02E0" w:rsidP="00FC02E0">
      <w:pPr>
        <w:pStyle w:val="ListParagraph"/>
        <w:tabs>
          <w:tab w:val="left" w:pos="450"/>
          <w:tab w:val="left" w:pos="540"/>
        </w:tabs>
        <w:ind w:left="360"/>
        <w:rPr>
          <w:rFonts w:ascii="Calibri" w:eastAsia="Arial" w:hAnsi="Calibri" w:cs="Calibri"/>
          <w:color w:val="000000" w:themeColor="text1"/>
          <w:lang w:val="en"/>
        </w:rPr>
      </w:pPr>
    </w:p>
    <w:p w14:paraId="2CA05795" w14:textId="1AF8A873" w:rsidR="00FC02E0" w:rsidRPr="001671B7" w:rsidRDefault="001B5C24" w:rsidP="00353EC7">
      <w:pPr>
        <w:tabs>
          <w:tab w:val="left" w:pos="450"/>
          <w:tab w:val="left" w:pos="540"/>
        </w:tabs>
        <w:ind w:left="360" w:hanging="360"/>
        <w:rPr>
          <w:rFonts w:ascii="Calibri" w:eastAsia="Arial" w:hAnsi="Calibri" w:cs="Calibri"/>
          <w:b/>
          <w:bCs/>
          <w:color w:val="000000" w:themeColor="text1"/>
          <w:szCs w:val="24"/>
        </w:rPr>
      </w:pPr>
      <w:r>
        <w:rPr>
          <w:rFonts w:ascii="Calibri" w:eastAsia="Arial" w:hAnsi="Calibri" w:cs="Calibri"/>
          <w:color w:val="000000" w:themeColor="text1"/>
        </w:rPr>
        <w:t>94</w:t>
      </w:r>
      <w:r w:rsidR="00C25C6F">
        <w:rPr>
          <w:rFonts w:ascii="Calibri" w:eastAsia="Arial" w:hAnsi="Calibri" w:cs="Calibri"/>
          <w:color w:val="000000" w:themeColor="text1"/>
        </w:rPr>
        <w:t>.</w:t>
      </w:r>
      <w:r>
        <w:rPr>
          <w:rFonts w:ascii="Calibri" w:eastAsia="Arial" w:hAnsi="Calibri" w:cs="Calibri"/>
          <w:color w:val="000000" w:themeColor="text1"/>
        </w:rPr>
        <w:t xml:space="preserve"> </w:t>
      </w:r>
      <w:r w:rsidR="00FC02E0" w:rsidRPr="001671B7">
        <w:rPr>
          <w:rFonts w:ascii="Calibri" w:eastAsia="Arial" w:hAnsi="Calibri" w:cs="Calibri"/>
          <w:b/>
          <w:bCs/>
          <w:color w:val="000000" w:themeColor="text1"/>
        </w:rPr>
        <w:t xml:space="preserve">Measurable skills gain is not listed on any performance goals/requirements. Will this be a requirement of the grant to </w:t>
      </w:r>
      <w:proofErr w:type="gramStart"/>
      <w:r w:rsidR="00FC02E0" w:rsidRPr="001671B7">
        <w:rPr>
          <w:rFonts w:ascii="Calibri" w:eastAsia="Arial" w:hAnsi="Calibri" w:cs="Calibri"/>
          <w:b/>
          <w:bCs/>
          <w:color w:val="000000" w:themeColor="text1"/>
        </w:rPr>
        <w:t>enter into</w:t>
      </w:r>
      <w:proofErr w:type="gramEnd"/>
      <w:r w:rsidR="00FC02E0" w:rsidRPr="001671B7">
        <w:rPr>
          <w:rFonts w:ascii="Calibri" w:eastAsia="Arial" w:hAnsi="Calibri" w:cs="Calibri"/>
          <w:b/>
          <w:bCs/>
          <w:color w:val="000000" w:themeColor="text1"/>
        </w:rPr>
        <w:t xml:space="preserve"> CalJOBS?</w:t>
      </w:r>
    </w:p>
    <w:p w14:paraId="0D251D56" w14:textId="77777777" w:rsidR="00FC02E0" w:rsidRDefault="00FC02E0" w:rsidP="00FC02E0">
      <w:pPr>
        <w:pStyle w:val="ListParagraph"/>
        <w:tabs>
          <w:tab w:val="left" w:pos="450"/>
          <w:tab w:val="left" w:pos="540"/>
        </w:tabs>
        <w:ind w:left="360"/>
        <w:rPr>
          <w:rFonts w:ascii="Calibri" w:eastAsia="Arial" w:hAnsi="Calibri" w:cs="Calibri"/>
          <w:color w:val="000000" w:themeColor="text1"/>
          <w:lang w:val="en"/>
        </w:rPr>
      </w:pPr>
    </w:p>
    <w:p w14:paraId="28B907F4" w14:textId="0F115932" w:rsidR="18CF9A56" w:rsidRDefault="001B5C24" w:rsidP="00353EC7">
      <w:pPr>
        <w:pStyle w:val="ListParagraph"/>
        <w:tabs>
          <w:tab w:val="left" w:pos="450"/>
          <w:tab w:val="left" w:pos="540"/>
        </w:tabs>
        <w:ind w:left="360" w:hanging="180"/>
      </w:pPr>
      <w:r>
        <w:t xml:space="preserve">   </w:t>
      </w:r>
      <w:r w:rsidR="008F2DFA">
        <w:t>Yes, it is.</w:t>
      </w:r>
    </w:p>
    <w:p w14:paraId="52BAB5C6" w14:textId="77777777" w:rsidR="00FC02E0" w:rsidRDefault="00FC02E0" w:rsidP="00FC02E0">
      <w:pPr>
        <w:pStyle w:val="ListParagraph"/>
        <w:tabs>
          <w:tab w:val="left" w:pos="450"/>
          <w:tab w:val="left" w:pos="540"/>
        </w:tabs>
        <w:ind w:left="360"/>
        <w:rPr>
          <w:rFonts w:ascii="Calibri" w:eastAsia="Arial" w:hAnsi="Calibri" w:cs="Calibri"/>
          <w:color w:val="000000" w:themeColor="text1"/>
          <w:lang w:val="en"/>
        </w:rPr>
      </w:pPr>
    </w:p>
    <w:p w14:paraId="49F9DC24" w14:textId="26D5C57C" w:rsidR="00FC02E0" w:rsidRPr="001671B7" w:rsidRDefault="001B5C24" w:rsidP="00353EC7">
      <w:pPr>
        <w:tabs>
          <w:tab w:val="left" w:pos="450"/>
          <w:tab w:val="left" w:pos="540"/>
        </w:tabs>
        <w:ind w:left="360" w:hanging="360"/>
        <w:rPr>
          <w:rFonts w:ascii="Calibri" w:eastAsia="Arial" w:hAnsi="Calibri" w:cs="Calibri"/>
          <w:b/>
          <w:bCs/>
          <w:color w:val="000000" w:themeColor="text1"/>
          <w:lang w:val="en"/>
        </w:rPr>
      </w:pPr>
      <w:r>
        <w:rPr>
          <w:rFonts w:ascii="Calibri" w:eastAsia="Arial" w:hAnsi="Calibri" w:cs="Calibri"/>
          <w:color w:val="000000" w:themeColor="text1"/>
          <w:lang w:val="en"/>
        </w:rPr>
        <w:t>95</w:t>
      </w:r>
      <w:r w:rsidR="00C25C6F">
        <w:rPr>
          <w:rFonts w:ascii="Calibri" w:eastAsia="Arial" w:hAnsi="Calibri" w:cs="Calibri"/>
          <w:color w:val="000000" w:themeColor="text1"/>
          <w:lang w:val="en"/>
        </w:rPr>
        <w:t>.</w:t>
      </w:r>
      <w:r>
        <w:rPr>
          <w:rFonts w:ascii="Calibri" w:eastAsia="Arial" w:hAnsi="Calibri" w:cs="Calibri"/>
          <w:color w:val="000000" w:themeColor="text1"/>
          <w:lang w:val="en"/>
        </w:rPr>
        <w:t xml:space="preserve"> </w:t>
      </w:r>
      <w:r w:rsidR="00FC02E0" w:rsidRPr="001671B7">
        <w:rPr>
          <w:rFonts w:ascii="Calibri" w:eastAsia="Arial" w:hAnsi="Calibri" w:cs="Calibri"/>
          <w:b/>
          <w:bCs/>
          <w:color w:val="000000" w:themeColor="text1"/>
          <w:lang w:val="en"/>
        </w:rPr>
        <w:t>Do individuals have to be enrolled in a WIOA Title 1 Adult Program? Please clarify as to the need of this requirement.</w:t>
      </w:r>
    </w:p>
    <w:p w14:paraId="355F9A07" w14:textId="1D5C3E46" w:rsidR="00FC02E0" w:rsidRDefault="00FC02E0" w:rsidP="00FC02E0">
      <w:pPr>
        <w:pStyle w:val="ListParagraph"/>
        <w:tabs>
          <w:tab w:val="left" w:pos="450"/>
          <w:tab w:val="left" w:pos="540"/>
        </w:tabs>
        <w:ind w:left="360"/>
        <w:rPr>
          <w:rFonts w:ascii="Calibri" w:eastAsia="Arial" w:hAnsi="Calibri" w:cs="Calibri"/>
          <w:color w:val="000000" w:themeColor="text1"/>
          <w:lang w:val="en"/>
        </w:rPr>
      </w:pPr>
    </w:p>
    <w:p w14:paraId="1E9D275F" w14:textId="6763B0AC" w:rsidR="6D0E47BC" w:rsidRDefault="001B5C24" w:rsidP="00353EC7">
      <w:pPr>
        <w:pStyle w:val="ListParagraph"/>
        <w:tabs>
          <w:tab w:val="left" w:pos="450"/>
          <w:tab w:val="left" w:pos="540"/>
        </w:tabs>
        <w:ind w:left="360" w:hanging="180"/>
      </w:pPr>
      <w:r>
        <w:t xml:space="preserve">   </w:t>
      </w:r>
      <w:r w:rsidR="6D0E47BC" w:rsidRPr="0191E773">
        <w:t>All individuals must be at least 18-28 years of age and meet WIOA Title I Adult eligibility requirements to participate.</w:t>
      </w:r>
    </w:p>
    <w:p w14:paraId="7AEC9744" w14:textId="39DC98E1" w:rsidR="00FC02E0" w:rsidRDefault="00FC02E0" w:rsidP="0191E773">
      <w:pPr>
        <w:tabs>
          <w:tab w:val="left" w:pos="450"/>
          <w:tab w:val="left" w:pos="540"/>
        </w:tabs>
        <w:ind w:left="360"/>
        <w:rPr>
          <w:rFonts w:ascii="Calibri" w:eastAsia="Arial" w:hAnsi="Calibri" w:cs="Calibri"/>
          <w:color w:val="000000" w:themeColor="text1"/>
          <w:lang w:val="en"/>
        </w:rPr>
      </w:pPr>
    </w:p>
    <w:p w14:paraId="37584155" w14:textId="624C5E98" w:rsidR="00FC02E0" w:rsidRPr="001671B7" w:rsidRDefault="001B5C24" w:rsidP="001671B7">
      <w:pPr>
        <w:tabs>
          <w:tab w:val="left" w:pos="450"/>
          <w:tab w:val="left" w:pos="540"/>
        </w:tabs>
        <w:rPr>
          <w:rFonts w:ascii="Calibri" w:eastAsia="Arial" w:hAnsi="Calibri" w:cs="Calibri"/>
          <w:b/>
          <w:bCs/>
          <w:color w:val="000000" w:themeColor="text1"/>
          <w:lang w:val="en"/>
        </w:rPr>
      </w:pPr>
      <w:r>
        <w:rPr>
          <w:rFonts w:ascii="Calibri" w:eastAsia="Arial" w:hAnsi="Calibri" w:cs="Calibri"/>
          <w:color w:val="000000" w:themeColor="text1"/>
          <w:lang w:val="en"/>
        </w:rPr>
        <w:t>96</w:t>
      </w:r>
      <w:r w:rsidR="00C25C6F">
        <w:rPr>
          <w:rFonts w:ascii="Calibri" w:eastAsia="Arial" w:hAnsi="Calibri" w:cs="Calibri"/>
          <w:color w:val="000000" w:themeColor="text1"/>
          <w:lang w:val="en"/>
        </w:rPr>
        <w:t>.</w:t>
      </w:r>
      <w:r>
        <w:rPr>
          <w:rFonts w:ascii="Calibri" w:eastAsia="Arial" w:hAnsi="Calibri" w:cs="Calibri"/>
          <w:color w:val="000000" w:themeColor="text1"/>
          <w:lang w:val="en"/>
        </w:rPr>
        <w:t xml:space="preserve"> </w:t>
      </w:r>
      <w:r w:rsidR="00FC02E0" w:rsidRPr="001671B7">
        <w:rPr>
          <w:rFonts w:ascii="Calibri" w:eastAsia="Arial" w:hAnsi="Calibri" w:cs="Calibri"/>
          <w:b/>
          <w:bCs/>
          <w:color w:val="000000" w:themeColor="text1"/>
          <w:lang w:val="en"/>
        </w:rPr>
        <w:t>Can more than one branch of an organization apply?</w:t>
      </w:r>
    </w:p>
    <w:p w14:paraId="68EB9141" w14:textId="77777777" w:rsidR="00FC02E0" w:rsidRDefault="00FC02E0" w:rsidP="00FC02E0">
      <w:pPr>
        <w:pStyle w:val="ListParagraph"/>
        <w:tabs>
          <w:tab w:val="left" w:pos="450"/>
          <w:tab w:val="left" w:pos="540"/>
        </w:tabs>
        <w:ind w:left="360"/>
        <w:rPr>
          <w:rFonts w:ascii="Calibri" w:eastAsia="Arial" w:hAnsi="Calibri" w:cs="Calibri"/>
          <w:color w:val="000000" w:themeColor="text1"/>
          <w:lang w:val="en"/>
        </w:rPr>
      </w:pPr>
    </w:p>
    <w:p w14:paraId="49038DB0" w14:textId="34852925" w:rsidR="00FC02E0" w:rsidRDefault="001B5C24" w:rsidP="00353EC7">
      <w:pPr>
        <w:pStyle w:val="ListParagraph"/>
        <w:tabs>
          <w:tab w:val="left" w:pos="450"/>
          <w:tab w:val="left" w:pos="540"/>
        </w:tabs>
        <w:ind w:left="360" w:hanging="180"/>
        <w:rPr>
          <w:rFonts w:ascii="Calibri" w:eastAsia="Arial" w:hAnsi="Calibri" w:cs="Calibri"/>
          <w:color w:val="000000" w:themeColor="text1"/>
          <w:lang w:val="en"/>
        </w:rPr>
      </w:pPr>
      <w:r>
        <w:rPr>
          <w:rFonts w:ascii="Calibri" w:eastAsia="Arial" w:hAnsi="Calibri" w:cs="Calibri"/>
          <w:color w:val="000000" w:themeColor="text1"/>
        </w:rPr>
        <w:t xml:space="preserve">   </w:t>
      </w:r>
      <w:r w:rsidR="73E83DEC" w:rsidRPr="0191E773">
        <w:rPr>
          <w:rFonts w:ascii="Calibri" w:eastAsia="Arial" w:hAnsi="Calibri" w:cs="Calibri"/>
          <w:color w:val="000000" w:themeColor="text1"/>
        </w:rPr>
        <w:t xml:space="preserve">Only one application will </w:t>
      </w:r>
      <w:r w:rsidR="73E83DEC" w:rsidRPr="0191E773">
        <w:rPr>
          <w:rFonts w:ascii="Calibri" w:eastAsia="Arial" w:hAnsi="Calibri" w:cs="Calibri"/>
          <w:color w:val="000000" w:themeColor="text1"/>
          <w:lang w:val="en"/>
        </w:rPr>
        <w:t>be accepted from each organization.</w:t>
      </w:r>
    </w:p>
    <w:p w14:paraId="4C60D0B8" w14:textId="77777777" w:rsidR="00FC02E0" w:rsidRDefault="00FC02E0" w:rsidP="00FC02E0">
      <w:pPr>
        <w:pStyle w:val="ListParagraph"/>
        <w:tabs>
          <w:tab w:val="left" w:pos="450"/>
          <w:tab w:val="left" w:pos="540"/>
        </w:tabs>
        <w:ind w:left="360"/>
        <w:rPr>
          <w:rFonts w:ascii="Calibri" w:eastAsia="Arial" w:hAnsi="Calibri" w:cs="Calibri"/>
          <w:color w:val="000000" w:themeColor="text1"/>
          <w:lang w:val="en"/>
        </w:rPr>
      </w:pPr>
    </w:p>
    <w:p w14:paraId="5471A7DD" w14:textId="7DF26644" w:rsidR="00FC02E0" w:rsidRPr="001671B7" w:rsidRDefault="001B5C24" w:rsidP="001671B7">
      <w:pPr>
        <w:tabs>
          <w:tab w:val="left" w:pos="450"/>
          <w:tab w:val="left" w:pos="540"/>
        </w:tabs>
        <w:rPr>
          <w:rFonts w:ascii="Calibri" w:eastAsia="Arial" w:hAnsi="Calibri" w:cs="Calibri"/>
          <w:b/>
          <w:bCs/>
          <w:color w:val="000000" w:themeColor="text1"/>
          <w:lang w:val="en"/>
        </w:rPr>
      </w:pPr>
      <w:r>
        <w:rPr>
          <w:rFonts w:ascii="Calibri" w:eastAsia="Arial" w:hAnsi="Calibri" w:cs="Calibri"/>
          <w:color w:val="000000" w:themeColor="text1"/>
          <w:lang w:val="en"/>
        </w:rPr>
        <w:t xml:space="preserve">97. </w:t>
      </w:r>
      <w:r w:rsidR="00FC02E0" w:rsidRPr="001671B7">
        <w:rPr>
          <w:rFonts w:ascii="Calibri" w:eastAsia="Arial" w:hAnsi="Calibri" w:cs="Calibri"/>
          <w:b/>
          <w:bCs/>
          <w:color w:val="000000" w:themeColor="text1"/>
          <w:lang w:val="en"/>
        </w:rPr>
        <w:t>Will a list of attendees be published?</w:t>
      </w:r>
    </w:p>
    <w:p w14:paraId="64B49181" w14:textId="1EC52E09" w:rsidR="00FC02E0" w:rsidRDefault="00FC02E0" w:rsidP="00FC02E0">
      <w:pPr>
        <w:pStyle w:val="ListParagraph"/>
        <w:tabs>
          <w:tab w:val="left" w:pos="450"/>
          <w:tab w:val="left" w:pos="540"/>
        </w:tabs>
        <w:ind w:left="360"/>
        <w:rPr>
          <w:rFonts w:ascii="Calibri" w:eastAsia="Arial" w:hAnsi="Calibri" w:cs="Calibri"/>
          <w:color w:val="000000" w:themeColor="text1"/>
          <w:lang w:val="en"/>
        </w:rPr>
      </w:pPr>
    </w:p>
    <w:p w14:paraId="7EF0A528" w14:textId="40764296" w:rsidR="7AE9C6B1" w:rsidRDefault="001B5C24" w:rsidP="00353EC7">
      <w:pPr>
        <w:pStyle w:val="ListParagraph"/>
        <w:tabs>
          <w:tab w:val="left" w:pos="450"/>
          <w:tab w:val="left" w:pos="540"/>
        </w:tabs>
        <w:spacing w:line="259" w:lineRule="auto"/>
        <w:ind w:left="360" w:hanging="180"/>
      </w:pPr>
      <w:r>
        <w:rPr>
          <w:rFonts w:ascii="Calibri" w:eastAsia="Arial" w:hAnsi="Calibri" w:cs="Calibri"/>
          <w:color w:val="000000" w:themeColor="text1"/>
        </w:rPr>
        <w:t xml:space="preserve">   </w:t>
      </w:r>
      <w:r w:rsidR="7AE9C6B1" w:rsidRPr="0191E773">
        <w:rPr>
          <w:rFonts w:ascii="Calibri" w:eastAsia="Arial" w:hAnsi="Calibri" w:cs="Calibri"/>
          <w:color w:val="000000" w:themeColor="text1"/>
        </w:rPr>
        <w:t>A list of the Informationa</w:t>
      </w:r>
      <w:r w:rsidR="7AE9C6B1" w:rsidRPr="0191E773">
        <w:rPr>
          <w:rFonts w:ascii="Calibri" w:eastAsia="Arial" w:hAnsi="Calibri" w:cs="Calibri"/>
          <w:color w:val="000000" w:themeColor="text1"/>
          <w:lang w:val="en"/>
        </w:rPr>
        <w:t>l Webinar attendees will not be published.</w:t>
      </w:r>
    </w:p>
    <w:p w14:paraId="5471DC41" w14:textId="6D32F127" w:rsidR="00FC02E0" w:rsidRDefault="00FC02E0" w:rsidP="0191E773">
      <w:pPr>
        <w:tabs>
          <w:tab w:val="left" w:pos="450"/>
          <w:tab w:val="left" w:pos="540"/>
        </w:tabs>
        <w:ind w:left="360"/>
        <w:rPr>
          <w:rFonts w:ascii="Calibri" w:eastAsia="Arial" w:hAnsi="Calibri" w:cs="Calibri"/>
          <w:color w:val="000000" w:themeColor="text1"/>
          <w:lang w:val="en"/>
        </w:rPr>
      </w:pPr>
    </w:p>
    <w:p w14:paraId="2E8D4EEA" w14:textId="163B59D8" w:rsidR="00FC02E0" w:rsidRPr="001671B7" w:rsidRDefault="001B5C24" w:rsidP="00353EC7">
      <w:pPr>
        <w:tabs>
          <w:tab w:val="left" w:pos="450"/>
          <w:tab w:val="left" w:pos="540"/>
        </w:tabs>
        <w:ind w:left="360" w:hanging="360"/>
        <w:rPr>
          <w:rFonts w:ascii="Calibri" w:eastAsia="Arial" w:hAnsi="Calibri" w:cs="Calibri"/>
          <w:b/>
          <w:bCs/>
          <w:color w:val="000000" w:themeColor="text1"/>
          <w:lang w:val="en"/>
        </w:rPr>
      </w:pPr>
      <w:r>
        <w:rPr>
          <w:rFonts w:ascii="Calibri" w:eastAsia="Arial" w:hAnsi="Calibri" w:cs="Calibri"/>
          <w:color w:val="000000" w:themeColor="text1"/>
          <w:lang w:val="en"/>
        </w:rPr>
        <w:t xml:space="preserve">98. </w:t>
      </w:r>
      <w:r w:rsidR="00FC02E0" w:rsidRPr="001671B7">
        <w:rPr>
          <w:rFonts w:ascii="Calibri" w:eastAsia="Arial" w:hAnsi="Calibri" w:cs="Calibri"/>
          <w:b/>
          <w:bCs/>
          <w:color w:val="000000" w:themeColor="text1"/>
          <w:lang w:val="en"/>
        </w:rPr>
        <w:t>For clarification, the WIOA Title I states that youth ages 14-24 are eligible for services. Could a</w:t>
      </w:r>
      <w:r w:rsidR="00FC02E0" w:rsidRPr="001671B7">
        <w:rPr>
          <w:rFonts w:ascii="Calibri" w:eastAsia="Arial" w:hAnsi="Calibri" w:cs="Calibri"/>
          <w:color w:val="000000" w:themeColor="text1"/>
          <w:lang w:val="en"/>
        </w:rPr>
        <w:t xml:space="preserve"> </w:t>
      </w:r>
      <w:r w:rsidR="00FC02E0" w:rsidRPr="001671B7">
        <w:rPr>
          <w:rFonts w:ascii="Calibri" w:eastAsia="Arial" w:hAnsi="Calibri" w:cs="Calibri"/>
          <w:b/>
          <w:bCs/>
          <w:color w:val="000000" w:themeColor="text1"/>
          <w:lang w:val="en"/>
        </w:rPr>
        <w:t>program serve a target population of 14-22 and be eligible to apply for this grant?</w:t>
      </w:r>
    </w:p>
    <w:p w14:paraId="535EDAE0" w14:textId="77777777" w:rsidR="00FC02E0" w:rsidRDefault="00FC02E0" w:rsidP="00FC02E0">
      <w:pPr>
        <w:pStyle w:val="ListParagraph"/>
        <w:tabs>
          <w:tab w:val="left" w:pos="450"/>
          <w:tab w:val="left" w:pos="540"/>
        </w:tabs>
        <w:ind w:left="360"/>
        <w:rPr>
          <w:rFonts w:ascii="Calibri" w:eastAsia="Arial" w:hAnsi="Calibri" w:cs="Calibri"/>
          <w:color w:val="000000" w:themeColor="text1"/>
          <w:lang w:val="en"/>
        </w:rPr>
      </w:pPr>
    </w:p>
    <w:p w14:paraId="49E7F01E" w14:textId="49106647" w:rsidR="0266D1D5" w:rsidRDefault="001B5C24" w:rsidP="00353EC7">
      <w:pPr>
        <w:pStyle w:val="ListParagraph"/>
        <w:tabs>
          <w:tab w:val="left" w:pos="450"/>
          <w:tab w:val="left" w:pos="540"/>
        </w:tabs>
        <w:ind w:left="360" w:hanging="180"/>
        <w:rPr>
          <w:rFonts w:ascii="Calibri" w:eastAsia="Calibri" w:hAnsi="Calibri" w:cs="Calibri"/>
          <w:szCs w:val="24"/>
        </w:rPr>
      </w:pPr>
      <w:r>
        <w:rPr>
          <w:rFonts w:ascii="Calibri" w:eastAsia="Calibri" w:hAnsi="Calibri" w:cs="Calibri"/>
          <w:szCs w:val="24"/>
        </w:rPr>
        <w:t xml:space="preserve">   </w:t>
      </w:r>
      <w:r w:rsidR="0266D1D5" w:rsidRPr="001671B7">
        <w:rPr>
          <w:rFonts w:ascii="Calibri" w:eastAsia="Calibri" w:hAnsi="Calibri" w:cs="Calibri"/>
          <w:szCs w:val="24"/>
        </w:rPr>
        <w:t>All</w:t>
      </w:r>
      <w:r w:rsidR="0266D1D5" w:rsidRPr="0191E773">
        <w:rPr>
          <w:rFonts w:ascii="Calibri" w:eastAsia="Calibri" w:hAnsi="Calibri" w:cs="Calibri"/>
          <w:szCs w:val="24"/>
        </w:rPr>
        <w:t xml:space="preserve"> individuals must be at least 18-28 and meet WIOA Title I Adult eligibility requirements to participate in the OYACPP PY 24-25 program.</w:t>
      </w:r>
    </w:p>
    <w:p w14:paraId="2247AE2C" w14:textId="77777777" w:rsidR="00427051" w:rsidRPr="00427051" w:rsidRDefault="00427051" w:rsidP="00427051">
      <w:pPr>
        <w:rPr>
          <w:rFonts w:ascii="Calibri" w:eastAsia="Arial" w:hAnsi="Calibri" w:cs="Calibri"/>
          <w:color w:val="000000" w:themeColor="text1"/>
          <w:lang w:val="en"/>
        </w:rPr>
      </w:pPr>
    </w:p>
    <w:sectPr w:rsidR="00427051" w:rsidRPr="00427051" w:rsidSect="005E3EFB">
      <w:headerReference w:type="default" r:id="rId30"/>
      <w:headerReference w:type="first" r:id="rId31"/>
      <w:type w:val="continuous"/>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36EA6" w14:textId="77777777" w:rsidR="00024CD6" w:rsidRDefault="00024CD6" w:rsidP="00C4619D">
      <w:r>
        <w:separator/>
      </w:r>
    </w:p>
  </w:endnote>
  <w:endnote w:type="continuationSeparator" w:id="0">
    <w:p w14:paraId="6DA5D6FF" w14:textId="77777777" w:rsidR="00024CD6" w:rsidRDefault="00024CD6" w:rsidP="00C46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C1535" w14:textId="47C9E119" w:rsidR="006B0413" w:rsidRPr="00A20493" w:rsidRDefault="00445205" w:rsidP="0191E773">
    <w:pPr>
      <w:pStyle w:val="Footer"/>
    </w:pPr>
    <w:sdt>
      <w:sdtPr>
        <w:id w:val="2060745792"/>
        <w:docPartObj>
          <w:docPartGallery w:val="Page Numbers (Top of Page)"/>
          <w:docPartUnique/>
        </w:docPartObj>
      </w:sdtPr>
      <w:sdtEndPr/>
      <w:sdtContent>
        <w:r w:rsidR="0191E773">
          <w:t>OYACPP PY 24-25 Q&amp;A</w:t>
        </w:r>
        <w:r w:rsidR="00FC02E0">
          <w:tab/>
        </w:r>
        <w:r w:rsidR="0191E773">
          <w:t xml:space="preserve"> </w:t>
        </w:r>
        <w:r w:rsidR="00700175" w:rsidRPr="00A20493">
          <w:rPr>
            <w:szCs w:val="24"/>
          </w:rPr>
          <w:t xml:space="preserve">Page </w:t>
        </w:r>
        <w:r w:rsidR="00700175" w:rsidRPr="00A20493">
          <w:rPr>
            <w:bCs/>
            <w:szCs w:val="24"/>
          </w:rPr>
          <w:fldChar w:fldCharType="begin"/>
        </w:r>
        <w:r w:rsidR="00700175" w:rsidRPr="00A20493">
          <w:rPr>
            <w:bCs/>
            <w:szCs w:val="24"/>
          </w:rPr>
          <w:instrText xml:space="preserve"> PAGE </w:instrText>
        </w:r>
        <w:r w:rsidR="00700175" w:rsidRPr="00A20493">
          <w:rPr>
            <w:bCs/>
            <w:szCs w:val="24"/>
          </w:rPr>
          <w:fldChar w:fldCharType="separate"/>
        </w:r>
        <w:r w:rsidR="00700175">
          <w:rPr>
            <w:bCs/>
            <w:szCs w:val="24"/>
          </w:rPr>
          <w:t>1</w:t>
        </w:r>
        <w:r w:rsidR="00700175" w:rsidRPr="00A20493">
          <w:rPr>
            <w:bCs/>
            <w:szCs w:val="24"/>
          </w:rPr>
          <w:fldChar w:fldCharType="end"/>
        </w:r>
        <w:r w:rsidR="00700175" w:rsidRPr="00A20493">
          <w:rPr>
            <w:szCs w:val="24"/>
          </w:rPr>
          <w:t xml:space="preserve"> of </w:t>
        </w:r>
        <w:r w:rsidR="00700175" w:rsidRPr="00A20493">
          <w:rPr>
            <w:bCs/>
            <w:szCs w:val="24"/>
          </w:rPr>
          <w:fldChar w:fldCharType="begin"/>
        </w:r>
        <w:r w:rsidR="00700175" w:rsidRPr="00A20493">
          <w:rPr>
            <w:bCs/>
            <w:szCs w:val="24"/>
          </w:rPr>
          <w:instrText xml:space="preserve"> NUMPAGES  </w:instrText>
        </w:r>
        <w:r w:rsidR="00700175" w:rsidRPr="00A20493">
          <w:rPr>
            <w:bCs/>
            <w:szCs w:val="24"/>
          </w:rPr>
          <w:fldChar w:fldCharType="separate"/>
        </w:r>
        <w:r w:rsidR="00700175">
          <w:rPr>
            <w:bCs/>
            <w:szCs w:val="24"/>
          </w:rPr>
          <w:t>16</w:t>
        </w:r>
        <w:r w:rsidR="00700175" w:rsidRPr="00A20493">
          <w:rPr>
            <w:bCs/>
            <w:szCs w:val="24"/>
          </w:rPr>
          <w:fldChar w:fldCharType="end"/>
        </w:r>
        <w:r w:rsidR="00700175" w:rsidRPr="00A20493">
          <w:rPr>
            <w:bCs/>
            <w:szCs w:val="24"/>
          </w:rPr>
          <w:t xml:space="preserve"> </w:t>
        </w:r>
        <w:r w:rsidR="00700175">
          <w:rPr>
            <w:bCs/>
            <w:szCs w:val="24"/>
          </w:rPr>
          <w:tab/>
          <w:t>October 2024</w:t>
        </w:r>
        <w:r w:rsidR="00FC02E0">
          <w:tab/>
        </w:r>
      </w:sdtContent>
    </w:sdt>
  </w:p>
  <w:p w14:paraId="48ADA8EA" w14:textId="77777777" w:rsidR="0011364B" w:rsidRDefault="001136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8636285"/>
      <w:docPartObj>
        <w:docPartGallery w:val="Page Numbers (Top of Page)"/>
        <w:docPartUnique/>
      </w:docPartObj>
    </w:sdtPr>
    <w:sdtEndPr/>
    <w:sdtContent>
      <w:p w14:paraId="34BD9349" w14:textId="7E77AE92" w:rsidR="00A20493" w:rsidRPr="00A20493" w:rsidRDefault="0191E773" w:rsidP="0191E773">
        <w:pPr>
          <w:pStyle w:val="Footer"/>
        </w:pPr>
        <w:r>
          <w:t>OYACPP PY 24-25 Q&amp;A</w:t>
        </w:r>
        <w:r w:rsidR="00FC02E0">
          <w:tab/>
        </w:r>
        <w:r w:rsidR="00700175" w:rsidRPr="00A20493">
          <w:rPr>
            <w:szCs w:val="24"/>
          </w:rPr>
          <w:t xml:space="preserve">Page </w:t>
        </w:r>
        <w:r w:rsidR="00700175" w:rsidRPr="00A20493">
          <w:rPr>
            <w:bCs/>
            <w:szCs w:val="24"/>
          </w:rPr>
          <w:fldChar w:fldCharType="begin"/>
        </w:r>
        <w:r w:rsidR="00700175" w:rsidRPr="00A20493">
          <w:rPr>
            <w:bCs/>
            <w:szCs w:val="24"/>
          </w:rPr>
          <w:instrText xml:space="preserve"> PAGE </w:instrText>
        </w:r>
        <w:r w:rsidR="00700175" w:rsidRPr="00A20493">
          <w:rPr>
            <w:bCs/>
            <w:szCs w:val="24"/>
          </w:rPr>
          <w:fldChar w:fldCharType="separate"/>
        </w:r>
        <w:r w:rsidR="00700175">
          <w:rPr>
            <w:bCs/>
          </w:rPr>
          <w:t>1</w:t>
        </w:r>
        <w:r w:rsidR="00700175" w:rsidRPr="00A20493">
          <w:rPr>
            <w:bCs/>
            <w:szCs w:val="24"/>
          </w:rPr>
          <w:fldChar w:fldCharType="end"/>
        </w:r>
        <w:r w:rsidR="00700175" w:rsidRPr="00A20493">
          <w:rPr>
            <w:szCs w:val="24"/>
          </w:rPr>
          <w:t xml:space="preserve"> of </w:t>
        </w:r>
        <w:r w:rsidR="00700175" w:rsidRPr="00A20493">
          <w:rPr>
            <w:bCs/>
            <w:szCs w:val="24"/>
          </w:rPr>
          <w:fldChar w:fldCharType="begin"/>
        </w:r>
        <w:r w:rsidR="00700175" w:rsidRPr="00A20493">
          <w:rPr>
            <w:bCs/>
            <w:szCs w:val="24"/>
          </w:rPr>
          <w:instrText xml:space="preserve"> NUMPAGES  </w:instrText>
        </w:r>
        <w:r w:rsidR="00700175" w:rsidRPr="00A20493">
          <w:rPr>
            <w:bCs/>
            <w:szCs w:val="24"/>
          </w:rPr>
          <w:fldChar w:fldCharType="separate"/>
        </w:r>
        <w:r w:rsidR="00700175">
          <w:rPr>
            <w:bCs/>
          </w:rPr>
          <w:t>1</w:t>
        </w:r>
        <w:r w:rsidR="00700175" w:rsidRPr="00A20493">
          <w:rPr>
            <w:bCs/>
            <w:szCs w:val="24"/>
          </w:rPr>
          <w:fldChar w:fldCharType="end"/>
        </w:r>
        <w:r w:rsidR="00700175" w:rsidRPr="00A20493">
          <w:rPr>
            <w:bCs/>
            <w:szCs w:val="24"/>
          </w:rPr>
          <w:t xml:space="preserve"> </w:t>
        </w:r>
        <w:r w:rsidR="00700175">
          <w:rPr>
            <w:bCs/>
            <w:szCs w:val="24"/>
          </w:rPr>
          <w:tab/>
          <w:t>October 2024</w:t>
        </w:r>
      </w:p>
    </w:sdtContent>
  </w:sdt>
  <w:p w14:paraId="39C8BDA5" w14:textId="77777777" w:rsidR="0011364B" w:rsidRDefault="001136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E4EF8" w14:textId="77777777" w:rsidR="00024CD6" w:rsidRDefault="00024CD6" w:rsidP="00C4619D">
      <w:r>
        <w:separator/>
      </w:r>
    </w:p>
  </w:footnote>
  <w:footnote w:type="continuationSeparator" w:id="0">
    <w:p w14:paraId="419D6327" w14:textId="77777777" w:rsidR="00024CD6" w:rsidRDefault="00024CD6" w:rsidP="00C46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680"/>
      <w:gridCol w:w="1680"/>
      <w:gridCol w:w="1680"/>
    </w:tblGrid>
    <w:tr w:rsidR="0191E773" w14:paraId="03CCAB96" w14:textId="77777777" w:rsidTr="0191E773">
      <w:trPr>
        <w:trHeight w:val="300"/>
      </w:trPr>
      <w:tc>
        <w:tcPr>
          <w:tcW w:w="1680" w:type="dxa"/>
        </w:tcPr>
        <w:p w14:paraId="4ADE4839" w14:textId="75CCE279" w:rsidR="0191E773" w:rsidRDefault="0191E773" w:rsidP="0191E773">
          <w:pPr>
            <w:pStyle w:val="Header"/>
            <w:ind w:left="-115"/>
          </w:pPr>
        </w:p>
      </w:tc>
      <w:tc>
        <w:tcPr>
          <w:tcW w:w="1680" w:type="dxa"/>
        </w:tcPr>
        <w:p w14:paraId="4A67F9A2" w14:textId="38D7AF38" w:rsidR="0191E773" w:rsidRDefault="0191E773" w:rsidP="0191E773">
          <w:pPr>
            <w:pStyle w:val="Header"/>
            <w:jc w:val="center"/>
          </w:pPr>
        </w:p>
      </w:tc>
      <w:tc>
        <w:tcPr>
          <w:tcW w:w="1680" w:type="dxa"/>
        </w:tcPr>
        <w:p w14:paraId="2E179974" w14:textId="532BF7A4" w:rsidR="0191E773" w:rsidRDefault="0191E773" w:rsidP="0191E773">
          <w:pPr>
            <w:pStyle w:val="Header"/>
            <w:ind w:right="-115"/>
            <w:jc w:val="right"/>
          </w:pPr>
        </w:p>
      </w:tc>
    </w:tr>
  </w:tbl>
  <w:p w14:paraId="264D7504" w14:textId="6183C466" w:rsidR="0191E773" w:rsidRDefault="0191E773" w:rsidP="0191E7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680"/>
      <w:gridCol w:w="1680"/>
      <w:gridCol w:w="1680"/>
    </w:tblGrid>
    <w:tr w:rsidR="0191E773" w14:paraId="4E8A383C" w14:textId="77777777" w:rsidTr="0191E773">
      <w:trPr>
        <w:trHeight w:val="300"/>
      </w:trPr>
      <w:tc>
        <w:tcPr>
          <w:tcW w:w="1680" w:type="dxa"/>
        </w:tcPr>
        <w:p w14:paraId="1ECF63C3" w14:textId="6C51F978" w:rsidR="0191E773" w:rsidRDefault="0191E773" w:rsidP="0191E773">
          <w:pPr>
            <w:pStyle w:val="Header"/>
            <w:ind w:left="-115"/>
          </w:pPr>
        </w:p>
      </w:tc>
      <w:tc>
        <w:tcPr>
          <w:tcW w:w="1680" w:type="dxa"/>
        </w:tcPr>
        <w:p w14:paraId="2361BC65" w14:textId="5041231D" w:rsidR="0191E773" w:rsidRDefault="0191E773" w:rsidP="0191E773">
          <w:pPr>
            <w:pStyle w:val="Header"/>
            <w:jc w:val="center"/>
          </w:pPr>
        </w:p>
      </w:tc>
      <w:tc>
        <w:tcPr>
          <w:tcW w:w="1680" w:type="dxa"/>
        </w:tcPr>
        <w:p w14:paraId="469647A6" w14:textId="49F9FA95" w:rsidR="0191E773" w:rsidRDefault="0191E773" w:rsidP="0191E773">
          <w:pPr>
            <w:pStyle w:val="Header"/>
            <w:ind w:right="-115"/>
            <w:jc w:val="right"/>
          </w:pPr>
        </w:p>
      </w:tc>
    </w:tr>
  </w:tbl>
  <w:p w14:paraId="47414D90" w14:textId="5ACA82B6" w:rsidR="0191E773" w:rsidRDefault="0191E773" w:rsidP="0191E7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5"/>
      <w:gridCol w:w="3405"/>
      <w:gridCol w:w="3405"/>
    </w:tblGrid>
    <w:tr w:rsidR="0191E773" w14:paraId="3C08C267" w14:textId="77777777" w:rsidTr="0191E773">
      <w:trPr>
        <w:trHeight w:val="300"/>
      </w:trPr>
      <w:tc>
        <w:tcPr>
          <w:tcW w:w="3405" w:type="dxa"/>
        </w:tcPr>
        <w:p w14:paraId="6D5F97F8" w14:textId="759EF652" w:rsidR="0191E773" w:rsidRDefault="0191E773" w:rsidP="0191E773">
          <w:pPr>
            <w:pStyle w:val="Header"/>
            <w:ind w:left="-115"/>
          </w:pPr>
        </w:p>
      </w:tc>
      <w:tc>
        <w:tcPr>
          <w:tcW w:w="3405" w:type="dxa"/>
        </w:tcPr>
        <w:p w14:paraId="2C20BD72" w14:textId="5C512223" w:rsidR="0191E773" w:rsidRDefault="0191E773" w:rsidP="0191E773">
          <w:pPr>
            <w:pStyle w:val="Header"/>
            <w:jc w:val="center"/>
          </w:pPr>
        </w:p>
      </w:tc>
      <w:tc>
        <w:tcPr>
          <w:tcW w:w="3405" w:type="dxa"/>
        </w:tcPr>
        <w:p w14:paraId="219F0F8A" w14:textId="53D7C496" w:rsidR="0191E773" w:rsidRDefault="0191E773" w:rsidP="0191E773">
          <w:pPr>
            <w:pStyle w:val="Header"/>
            <w:ind w:right="-115"/>
            <w:jc w:val="right"/>
          </w:pPr>
        </w:p>
      </w:tc>
    </w:tr>
  </w:tbl>
  <w:p w14:paraId="3D3B1232" w14:textId="36EDD0FC" w:rsidR="0191E773" w:rsidRDefault="0191E773" w:rsidP="0191E7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5"/>
      <w:gridCol w:w="3405"/>
      <w:gridCol w:w="3405"/>
    </w:tblGrid>
    <w:tr w:rsidR="0191E773" w14:paraId="5783EAC5" w14:textId="77777777" w:rsidTr="0191E773">
      <w:trPr>
        <w:trHeight w:val="300"/>
      </w:trPr>
      <w:tc>
        <w:tcPr>
          <w:tcW w:w="3405" w:type="dxa"/>
        </w:tcPr>
        <w:p w14:paraId="6BF06F7F" w14:textId="35F2BF13" w:rsidR="0191E773" w:rsidRDefault="0191E773" w:rsidP="0191E773">
          <w:pPr>
            <w:pStyle w:val="Header"/>
            <w:ind w:left="-115"/>
          </w:pPr>
        </w:p>
      </w:tc>
      <w:tc>
        <w:tcPr>
          <w:tcW w:w="3405" w:type="dxa"/>
        </w:tcPr>
        <w:p w14:paraId="39D2462C" w14:textId="29BF8913" w:rsidR="0191E773" w:rsidRDefault="0191E773" w:rsidP="0191E773">
          <w:pPr>
            <w:pStyle w:val="Header"/>
            <w:jc w:val="center"/>
          </w:pPr>
        </w:p>
      </w:tc>
      <w:tc>
        <w:tcPr>
          <w:tcW w:w="3405" w:type="dxa"/>
        </w:tcPr>
        <w:p w14:paraId="55F795E3" w14:textId="0E2D99AD" w:rsidR="0191E773" w:rsidRDefault="0191E773" w:rsidP="0191E773">
          <w:pPr>
            <w:pStyle w:val="Header"/>
            <w:ind w:right="-115"/>
            <w:jc w:val="right"/>
          </w:pPr>
        </w:p>
      </w:tc>
    </w:tr>
  </w:tbl>
  <w:p w14:paraId="3CFE2FA4" w14:textId="64474071" w:rsidR="0191E773" w:rsidRDefault="0191E773" w:rsidP="0191E773">
    <w:pPr>
      <w:pStyle w:val="Header"/>
    </w:pPr>
  </w:p>
</w:hdr>
</file>

<file path=word/intelligence2.xml><?xml version="1.0" encoding="utf-8"?>
<int2:intelligence xmlns:int2="http://schemas.microsoft.com/office/intelligence/2020/intelligence" xmlns:oel="http://schemas.microsoft.com/office/2019/extlst">
  <int2:observations>
    <int2:textHash int2:hashCode="5yLNek7rP03Q8s" int2:id="I6P938E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B00FA"/>
    <w:multiLevelType w:val="hybridMultilevel"/>
    <w:tmpl w:val="634CF1A8"/>
    <w:lvl w:ilvl="0" w:tplc="0409000F">
      <w:start w:val="3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17E71"/>
    <w:multiLevelType w:val="hybridMultilevel"/>
    <w:tmpl w:val="01B6F3F6"/>
    <w:lvl w:ilvl="0" w:tplc="51964F6A">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095808"/>
    <w:multiLevelType w:val="multilevel"/>
    <w:tmpl w:val="EF846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DE74CA"/>
    <w:multiLevelType w:val="hybridMultilevel"/>
    <w:tmpl w:val="6DFE2AC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E320BA4"/>
    <w:multiLevelType w:val="hybridMultilevel"/>
    <w:tmpl w:val="65ACDC90"/>
    <w:lvl w:ilvl="0" w:tplc="51964F6A">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86934"/>
    <w:multiLevelType w:val="hybridMultilevel"/>
    <w:tmpl w:val="6A107FF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4CD1695"/>
    <w:multiLevelType w:val="hybridMultilevel"/>
    <w:tmpl w:val="9B1600CE"/>
    <w:lvl w:ilvl="0" w:tplc="83C20B58">
      <w:start w:val="4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F339BE"/>
    <w:multiLevelType w:val="hybridMultilevel"/>
    <w:tmpl w:val="B8A6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3A5EDF"/>
    <w:multiLevelType w:val="hybridMultilevel"/>
    <w:tmpl w:val="4F12E412"/>
    <w:lvl w:ilvl="0" w:tplc="BA84EE7A">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6D2CDA"/>
    <w:multiLevelType w:val="hybridMultilevel"/>
    <w:tmpl w:val="ACAA76A6"/>
    <w:lvl w:ilvl="0" w:tplc="04090011">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43C65364"/>
    <w:multiLevelType w:val="hybridMultilevel"/>
    <w:tmpl w:val="0F266006"/>
    <w:lvl w:ilvl="0" w:tplc="7EF871AA">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DF1728"/>
    <w:multiLevelType w:val="hybridMultilevel"/>
    <w:tmpl w:val="652E3232"/>
    <w:lvl w:ilvl="0" w:tplc="2ED06E8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5E06D9"/>
    <w:multiLevelType w:val="hybridMultilevel"/>
    <w:tmpl w:val="1A8601C8"/>
    <w:lvl w:ilvl="0" w:tplc="3306BFA8">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1859DE"/>
    <w:multiLevelType w:val="hybridMultilevel"/>
    <w:tmpl w:val="BF64D2A2"/>
    <w:lvl w:ilvl="0" w:tplc="F1E6A56C">
      <w:start w:val="4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173DC0"/>
    <w:multiLevelType w:val="hybridMultilevel"/>
    <w:tmpl w:val="94CA93E8"/>
    <w:lvl w:ilvl="0" w:tplc="B59EF9D8">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4E853CC"/>
    <w:multiLevelType w:val="hybridMultilevel"/>
    <w:tmpl w:val="19BA5F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A0D4DE4"/>
    <w:multiLevelType w:val="hybridMultilevel"/>
    <w:tmpl w:val="E38CE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F63759F"/>
    <w:multiLevelType w:val="hybridMultilevel"/>
    <w:tmpl w:val="46A0E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8C3456"/>
    <w:multiLevelType w:val="hybridMultilevel"/>
    <w:tmpl w:val="9D929686"/>
    <w:lvl w:ilvl="0" w:tplc="2D601D0C">
      <w:start w:val="4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8329C7"/>
    <w:multiLevelType w:val="hybridMultilevel"/>
    <w:tmpl w:val="BBE858EE"/>
    <w:lvl w:ilvl="0" w:tplc="CC3479B0">
      <w:numFmt w:val="bullet"/>
      <w:lvlText w:val=""/>
      <w:lvlJc w:val="left"/>
      <w:pPr>
        <w:ind w:left="1080" w:hanging="72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4F5509"/>
    <w:multiLevelType w:val="hybridMultilevel"/>
    <w:tmpl w:val="8B08223E"/>
    <w:lvl w:ilvl="0" w:tplc="B232CA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0218791">
    <w:abstractNumId w:val="12"/>
  </w:num>
  <w:num w:numId="2" w16cid:durableId="1276405098">
    <w:abstractNumId w:val="11"/>
  </w:num>
  <w:num w:numId="3" w16cid:durableId="1771044936">
    <w:abstractNumId w:val="9"/>
  </w:num>
  <w:num w:numId="4" w16cid:durableId="6956662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80793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7068416">
    <w:abstractNumId w:val="5"/>
  </w:num>
  <w:num w:numId="7" w16cid:durableId="1148936398">
    <w:abstractNumId w:val="17"/>
  </w:num>
  <w:num w:numId="8" w16cid:durableId="1677535536">
    <w:abstractNumId w:val="19"/>
  </w:num>
  <w:num w:numId="9" w16cid:durableId="2014721931">
    <w:abstractNumId w:val="7"/>
  </w:num>
  <w:num w:numId="10" w16cid:durableId="245648504">
    <w:abstractNumId w:val="2"/>
  </w:num>
  <w:num w:numId="11" w16cid:durableId="312098736">
    <w:abstractNumId w:val="20"/>
  </w:num>
  <w:num w:numId="12" w16cid:durableId="24864750">
    <w:abstractNumId w:val="16"/>
  </w:num>
  <w:num w:numId="13" w16cid:durableId="190917658">
    <w:abstractNumId w:val="1"/>
  </w:num>
  <w:num w:numId="14" w16cid:durableId="1837066567">
    <w:abstractNumId w:val="4"/>
  </w:num>
  <w:num w:numId="15" w16cid:durableId="1935042829">
    <w:abstractNumId w:val="15"/>
  </w:num>
  <w:num w:numId="16" w16cid:durableId="138494915">
    <w:abstractNumId w:val="14"/>
  </w:num>
  <w:num w:numId="17" w16cid:durableId="1484196973">
    <w:abstractNumId w:val="8"/>
  </w:num>
  <w:num w:numId="18" w16cid:durableId="1217200412">
    <w:abstractNumId w:val="10"/>
  </w:num>
  <w:num w:numId="19" w16cid:durableId="1426733759">
    <w:abstractNumId w:val="13"/>
  </w:num>
  <w:num w:numId="20" w16cid:durableId="1100567224">
    <w:abstractNumId w:val="0"/>
  </w:num>
  <w:num w:numId="21" w16cid:durableId="917128674">
    <w:abstractNumId w:val="6"/>
  </w:num>
  <w:num w:numId="22" w16cid:durableId="7055194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EwNjIysLA0NTA3NDFR0lEKTi0uzszPAykwMqgFAEQbp7ktAAAA"/>
  </w:docVars>
  <w:rsids>
    <w:rsidRoot w:val="00C4619D"/>
    <w:rsid w:val="0001155C"/>
    <w:rsid w:val="00011FF6"/>
    <w:rsid w:val="00014A32"/>
    <w:rsid w:val="00024496"/>
    <w:rsid w:val="00024CD6"/>
    <w:rsid w:val="000269E3"/>
    <w:rsid w:val="00033C19"/>
    <w:rsid w:val="000351A3"/>
    <w:rsid w:val="0005733A"/>
    <w:rsid w:val="00061B9E"/>
    <w:rsid w:val="0006465F"/>
    <w:rsid w:val="00064B6E"/>
    <w:rsid w:val="00070957"/>
    <w:rsid w:val="00077074"/>
    <w:rsid w:val="00077482"/>
    <w:rsid w:val="00080B61"/>
    <w:rsid w:val="00085491"/>
    <w:rsid w:val="000868F5"/>
    <w:rsid w:val="000907CE"/>
    <w:rsid w:val="00094367"/>
    <w:rsid w:val="00096466"/>
    <w:rsid w:val="00097144"/>
    <w:rsid w:val="000A7E79"/>
    <w:rsid w:val="000C1C7E"/>
    <w:rsid w:val="000D27DB"/>
    <w:rsid w:val="000D41F4"/>
    <w:rsid w:val="000D5A07"/>
    <w:rsid w:val="000D66FA"/>
    <w:rsid w:val="000E2884"/>
    <w:rsid w:val="00100C8E"/>
    <w:rsid w:val="0010159D"/>
    <w:rsid w:val="00101A67"/>
    <w:rsid w:val="00101AAC"/>
    <w:rsid w:val="00102F32"/>
    <w:rsid w:val="0010764A"/>
    <w:rsid w:val="00112DDD"/>
    <w:rsid w:val="0011364B"/>
    <w:rsid w:val="00117620"/>
    <w:rsid w:val="00121B94"/>
    <w:rsid w:val="001240FB"/>
    <w:rsid w:val="001424BC"/>
    <w:rsid w:val="00143628"/>
    <w:rsid w:val="0015040E"/>
    <w:rsid w:val="00155F25"/>
    <w:rsid w:val="0016389F"/>
    <w:rsid w:val="00166463"/>
    <w:rsid w:val="001671B7"/>
    <w:rsid w:val="00173288"/>
    <w:rsid w:val="0017715C"/>
    <w:rsid w:val="00181044"/>
    <w:rsid w:val="0018397F"/>
    <w:rsid w:val="00184425"/>
    <w:rsid w:val="001860A3"/>
    <w:rsid w:val="0018683A"/>
    <w:rsid w:val="00186BA4"/>
    <w:rsid w:val="00193521"/>
    <w:rsid w:val="00197D53"/>
    <w:rsid w:val="001A3E42"/>
    <w:rsid w:val="001A419E"/>
    <w:rsid w:val="001A42C3"/>
    <w:rsid w:val="001B1E8D"/>
    <w:rsid w:val="001B4B18"/>
    <w:rsid w:val="001B5C24"/>
    <w:rsid w:val="001B7308"/>
    <w:rsid w:val="001D7C1A"/>
    <w:rsid w:val="001F3A50"/>
    <w:rsid w:val="001F5C62"/>
    <w:rsid w:val="001F6792"/>
    <w:rsid w:val="00216136"/>
    <w:rsid w:val="002241D7"/>
    <w:rsid w:val="00230165"/>
    <w:rsid w:val="00233C68"/>
    <w:rsid w:val="0024046E"/>
    <w:rsid w:val="00243E97"/>
    <w:rsid w:val="00254D65"/>
    <w:rsid w:val="00256DB0"/>
    <w:rsid w:val="002655E3"/>
    <w:rsid w:val="00267D66"/>
    <w:rsid w:val="00270647"/>
    <w:rsid w:val="0027732C"/>
    <w:rsid w:val="00291474"/>
    <w:rsid w:val="00292D46"/>
    <w:rsid w:val="0029566A"/>
    <w:rsid w:val="00295C6E"/>
    <w:rsid w:val="002A390F"/>
    <w:rsid w:val="002A49F5"/>
    <w:rsid w:val="002A54ED"/>
    <w:rsid w:val="002A68D4"/>
    <w:rsid w:val="002B6EEC"/>
    <w:rsid w:val="002C59C1"/>
    <w:rsid w:val="002D636F"/>
    <w:rsid w:val="002E12B0"/>
    <w:rsid w:val="002E1426"/>
    <w:rsid w:val="002F1B40"/>
    <w:rsid w:val="002F63E3"/>
    <w:rsid w:val="003056D2"/>
    <w:rsid w:val="00307122"/>
    <w:rsid w:val="003226AF"/>
    <w:rsid w:val="00330230"/>
    <w:rsid w:val="00331B5A"/>
    <w:rsid w:val="00331BF6"/>
    <w:rsid w:val="003332AC"/>
    <w:rsid w:val="0034685C"/>
    <w:rsid w:val="00353EC7"/>
    <w:rsid w:val="0035660C"/>
    <w:rsid w:val="00363DE9"/>
    <w:rsid w:val="003662F6"/>
    <w:rsid w:val="00371587"/>
    <w:rsid w:val="00373533"/>
    <w:rsid w:val="00374702"/>
    <w:rsid w:val="00374759"/>
    <w:rsid w:val="00380DD6"/>
    <w:rsid w:val="00380F4F"/>
    <w:rsid w:val="003819CB"/>
    <w:rsid w:val="00381B78"/>
    <w:rsid w:val="00382587"/>
    <w:rsid w:val="00383678"/>
    <w:rsid w:val="0038630F"/>
    <w:rsid w:val="00392800"/>
    <w:rsid w:val="003A1359"/>
    <w:rsid w:val="003A1E24"/>
    <w:rsid w:val="003A6798"/>
    <w:rsid w:val="003A7BFB"/>
    <w:rsid w:val="003B60F7"/>
    <w:rsid w:val="003B6316"/>
    <w:rsid w:val="003B7D03"/>
    <w:rsid w:val="003C37ED"/>
    <w:rsid w:val="003C4722"/>
    <w:rsid w:val="003D74DE"/>
    <w:rsid w:val="003E1224"/>
    <w:rsid w:val="003E746B"/>
    <w:rsid w:val="003F4960"/>
    <w:rsid w:val="003F52C1"/>
    <w:rsid w:val="004152B5"/>
    <w:rsid w:val="004255B2"/>
    <w:rsid w:val="00427051"/>
    <w:rsid w:val="004277B6"/>
    <w:rsid w:val="00432E98"/>
    <w:rsid w:val="00434AAF"/>
    <w:rsid w:val="00437008"/>
    <w:rsid w:val="00437BDE"/>
    <w:rsid w:val="00444D07"/>
    <w:rsid w:val="00445205"/>
    <w:rsid w:val="0045564E"/>
    <w:rsid w:val="00456691"/>
    <w:rsid w:val="0046415E"/>
    <w:rsid w:val="00465C12"/>
    <w:rsid w:val="00483A41"/>
    <w:rsid w:val="00485B57"/>
    <w:rsid w:val="00486070"/>
    <w:rsid w:val="004926D7"/>
    <w:rsid w:val="004A1255"/>
    <w:rsid w:val="004A6B20"/>
    <w:rsid w:val="004B3A06"/>
    <w:rsid w:val="004B4D7D"/>
    <w:rsid w:val="004C54B7"/>
    <w:rsid w:val="004C7838"/>
    <w:rsid w:val="004C7A9D"/>
    <w:rsid w:val="004D2C52"/>
    <w:rsid w:val="004D4E7D"/>
    <w:rsid w:val="004E504E"/>
    <w:rsid w:val="004E5383"/>
    <w:rsid w:val="004F2B3F"/>
    <w:rsid w:val="004F2E30"/>
    <w:rsid w:val="004F2FE3"/>
    <w:rsid w:val="004F3231"/>
    <w:rsid w:val="004F5248"/>
    <w:rsid w:val="004F6E44"/>
    <w:rsid w:val="005013C2"/>
    <w:rsid w:val="00525944"/>
    <w:rsid w:val="0053318B"/>
    <w:rsid w:val="00537AC4"/>
    <w:rsid w:val="005428A4"/>
    <w:rsid w:val="00556885"/>
    <w:rsid w:val="0056283E"/>
    <w:rsid w:val="005672DE"/>
    <w:rsid w:val="005828C4"/>
    <w:rsid w:val="0059314D"/>
    <w:rsid w:val="005B7443"/>
    <w:rsid w:val="005C4514"/>
    <w:rsid w:val="005C50CC"/>
    <w:rsid w:val="005D22BE"/>
    <w:rsid w:val="005D71DC"/>
    <w:rsid w:val="005E3EFB"/>
    <w:rsid w:val="005E413E"/>
    <w:rsid w:val="005E57E5"/>
    <w:rsid w:val="005F27A8"/>
    <w:rsid w:val="005F500A"/>
    <w:rsid w:val="005F7280"/>
    <w:rsid w:val="00603577"/>
    <w:rsid w:val="00605712"/>
    <w:rsid w:val="00606A66"/>
    <w:rsid w:val="00614C7B"/>
    <w:rsid w:val="0061565F"/>
    <w:rsid w:val="00616371"/>
    <w:rsid w:val="00626DA1"/>
    <w:rsid w:val="00627BE8"/>
    <w:rsid w:val="00635F03"/>
    <w:rsid w:val="0063751D"/>
    <w:rsid w:val="00652ECC"/>
    <w:rsid w:val="006736D1"/>
    <w:rsid w:val="006740D3"/>
    <w:rsid w:val="00676902"/>
    <w:rsid w:val="00686543"/>
    <w:rsid w:val="0069061E"/>
    <w:rsid w:val="00693DDF"/>
    <w:rsid w:val="006A3FCD"/>
    <w:rsid w:val="006A609C"/>
    <w:rsid w:val="006B0413"/>
    <w:rsid w:val="006B251C"/>
    <w:rsid w:val="006B415E"/>
    <w:rsid w:val="006B6A0B"/>
    <w:rsid w:val="006D0069"/>
    <w:rsid w:val="006D1667"/>
    <w:rsid w:val="006D51B5"/>
    <w:rsid w:val="006F2D42"/>
    <w:rsid w:val="00700175"/>
    <w:rsid w:val="007055EC"/>
    <w:rsid w:val="0071078A"/>
    <w:rsid w:val="00712B5B"/>
    <w:rsid w:val="00716669"/>
    <w:rsid w:val="0071729F"/>
    <w:rsid w:val="0072406E"/>
    <w:rsid w:val="007272E8"/>
    <w:rsid w:val="007300AE"/>
    <w:rsid w:val="00731CD2"/>
    <w:rsid w:val="0073382C"/>
    <w:rsid w:val="00733D79"/>
    <w:rsid w:val="007355FB"/>
    <w:rsid w:val="00736D62"/>
    <w:rsid w:val="00741A54"/>
    <w:rsid w:val="00741E5C"/>
    <w:rsid w:val="007467FA"/>
    <w:rsid w:val="007538F6"/>
    <w:rsid w:val="00756427"/>
    <w:rsid w:val="007607FD"/>
    <w:rsid w:val="00760AF4"/>
    <w:rsid w:val="00771FA8"/>
    <w:rsid w:val="00790155"/>
    <w:rsid w:val="00794C3F"/>
    <w:rsid w:val="0079681F"/>
    <w:rsid w:val="007A2BFD"/>
    <w:rsid w:val="007A5CED"/>
    <w:rsid w:val="007B06AB"/>
    <w:rsid w:val="007B1634"/>
    <w:rsid w:val="007C0F9E"/>
    <w:rsid w:val="007D2D06"/>
    <w:rsid w:val="007D3711"/>
    <w:rsid w:val="007E73C9"/>
    <w:rsid w:val="007F59DA"/>
    <w:rsid w:val="008061A0"/>
    <w:rsid w:val="00814F1F"/>
    <w:rsid w:val="00836EEB"/>
    <w:rsid w:val="00846185"/>
    <w:rsid w:val="00860A98"/>
    <w:rsid w:val="008615BB"/>
    <w:rsid w:val="00861DD5"/>
    <w:rsid w:val="008629D3"/>
    <w:rsid w:val="00865B01"/>
    <w:rsid w:val="00880A2F"/>
    <w:rsid w:val="0088786B"/>
    <w:rsid w:val="008909EA"/>
    <w:rsid w:val="008A2287"/>
    <w:rsid w:val="008C5EF7"/>
    <w:rsid w:val="008C65D7"/>
    <w:rsid w:val="008F2DFA"/>
    <w:rsid w:val="009001AA"/>
    <w:rsid w:val="0090093C"/>
    <w:rsid w:val="00900C04"/>
    <w:rsid w:val="00902085"/>
    <w:rsid w:val="00907350"/>
    <w:rsid w:val="00915FAB"/>
    <w:rsid w:val="00922A5D"/>
    <w:rsid w:val="0093064F"/>
    <w:rsid w:val="00943137"/>
    <w:rsid w:val="00943EF9"/>
    <w:rsid w:val="009470D6"/>
    <w:rsid w:val="00955BEF"/>
    <w:rsid w:val="00957BB4"/>
    <w:rsid w:val="009632DF"/>
    <w:rsid w:val="0097322C"/>
    <w:rsid w:val="00981B51"/>
    <w:rsid w:val="00983499"/>
    <w:rsid w:val="009A21EF"/>
    <w:rsid w:val="009C0375"/>
    <w:rsid w:val="009C5C0D"/>
    <w:rsid w:val="009D0107"/>
    <w:rsid w:val="009D749D"/>
    <w:rsid w:val="009E1A7B"/>
    <w:rsid w:val="009F7A09"/>
    <w:rsid w:val="00A03350"/>
    <w:rsid w:val="00A03777"/>
    <w:rsid w:val="00A103F1"/>
    <w:rsid w:val="00A11416"/>
    <w:rsid w:val="00A141D9"/>
    <w:rsid w:val="00A20493"/>
    <w:rsid w:val="00A21A8C"/>
    <w:rsid w:val="00A21B60"/>
    <w:rsid w:val="00A2217C"/>
    <w:rsid w:val="00A311B3"/>
    <w:rsid w:val="00A338FC"/>
    <w:rsid w:val="00A34CB8"/>
    <w:rsid w:val="00A354E3"/>
    <w:rsid w:val="00A35FD6"/>
    <w:rsid w:val="00A45C96"/>
    <w:rsid w:val="00A53A4A"/>
    <w:rsid w:val="00A541B5"/>
    <w:rsid w:val="00A543B2"/>
    <w:rsid w:val="00A61193"/>
    <w:rsid w:val="00A62F57"/>
    <w:rsid w:val="00A65390"/>
    <w:rsid w:val="00A676CF"/>
    <w:rsid w:val="00A73267"/>
    <w:rsid w:val="00A753B5"/>
    <w:rsid w:val="00A86DD1"/>
    <w:rsid w:val="00A87723"/>
    <w:rsid w:val="00A9183F"/>
    <w:rsid w:val="00A9372B"/>
    <w:rsid w:val="00AA5B88"/>
    <w:rsid w:val="00AC69F2"/>
    <w:rsid w:val="00AC6BFD"/>
    <w:rsid w:val="00AD26CE"/>
    <w:rsid w:val="00AD3987"/>
    <w:rsid w:val="00AE7A8C"/>
    <w:rsid w:val="00AF1E65"/>
    <w:rsid w:val="00AF28AD"/>
    <w:rsid w:val="00AF6711"/>
    <w:rsid w:val="00B24102"/>
    <w:rsid w:val="00B2569B"/>
    <w:rsid w:val="00B34956"/>
    <w:rsid w:val="00B37BB7"/>
    <w:rsid w:val="00B400FD"/>
    <w:rsid w:val="00B44FC5"/>
    <w:rsid w:val="00B61E64"/>
    <w:rsid w:val="00B65953"/>
    <w:rsid w:val="00B7712E"/>
    <w:rsid w:val="00B775DE"/>
    <w:rsid w:val="00B808CB"/>
    <w:rsid w:val="00B82125"/>
    <w:rsid w:val="00B9184A"/>
    <w:rsid w:val="00B978C8"/>
    <w:rsid w:val="00BA5D79"/>
    <w:rsid w:val="00BB4329"/>
    <w:rsid w:val="00BC356A"/>
    <w:rsid w:val="00BF4340"/>
    <w:rsid w:val="00BF4997"/>
    <w:rsid w:val="00BF7C9C"/>
    <w:rsid w:val="00BF7E4A"/>
    <w:rsid w:val="00C11BA3"/>
    <w:rsid w:val="00C1366A"/>
    <w:rsid w:val="00C13AF3"/>
    <w:rsid w:val="00C158B3"/>
    <w:rsid w:val="00C25C6F"/>
    <w:rsid w:val="00C33452"/>
    <w:rsid w:val="00C3531A"/>
    <w:rsid w:val="00C406A4"/>
    <w:rsid w:val="00C4619D"/>
    <w:rsid w:val="00C53531"/>
    <w:rsid w:val="00C70344"/>
    <w:rsid w:val="00C7405F"/>
    <w:rsid w:val="00C76E65"/>
    <w:rsid w:val="00C77556"/>
    <w:rsid w:val="00C822CB"/>
    <w:rsid w:val="00C864F3"/>
    <w:rsid w:val="00C873F3"/>
    <w:rsid w:val="00C87443"/>
    <w:rsid w:val="00C975A2"/>
    <w:rsid w:val="00CB0FC2"/>
    <w:rsid w:val="00CC019F"/>
    <w:rsid w:val="00CC3423"/>
    <w:rsid w:val="00CD5911"/>
    <w:rsid w:val="00CE0CB8"/>
    <w:rsid w:val="00CE165B"/>
    <w:rsid w:val="00CE339D"/>
    <w:rsid w:val="00CF771C"/>
    <w:rsid w:val="00D00615"/>
    <w:rsid w:val="00D015B6"/>
    <w:rsid w:val="00D07940"/>
    <w:rsid w:val="00D130CF"/>
    <w:rsid w:val="00D20AFB"/>
    <w:rsid w:val="00D21CF0"/>
    <w:rsid w:val="00D2699C"/>
    <w:rsid w:val="00D3262E"/>
    <w:rsid w:val="00D40BBF"/>
    <w:rsid w:val="00D441D6"/>
    <w:rsid w:val="00D44DDA"/>
    <w:rsid w:val="00D53E91"/>
    <w:rsid w:val="00D56A6D"/>
    <w:rsid w:val="00D61058"/>
    <w:rsid w:val="00D67545"/>
    <w:rsid w:val="00D71FD0"/>
    <w:rsid w:val="00D7273E"/>
    <w:rsid w:val="00DAE7C5"/>
    <w:rsid w:val="00DB1930"/>
    <w:rsid w:val="00DB2D55"/>
    <w:rsid w:val="00DB2E40"/>
    <w:rsid w:val="00DB55B0"/>
    <w:rsid w:val="00DC1CA0"/>
    <w:rsid w:val="00DC424D"/>
    <w:rsid w:val="00DC4413"/>
    <w:rsid w:val="00DD5A7C"/>
    <w:rsid w:val="00DE1873"/>
    <w:rsid w:val="00DE3EC3"/>
    <w:rsid w:val="00DF7D10"/>
    <w:rsid w:val="00E00ACF"/>
    <w:rsid w:val="00E2177D"/>
    <w:rsid w:val="00E2374D"/>
    <w:rsid w:val="00E23A28"/>
    <w:rsid w:val="00E24E86"/>
    <w:rsid w:val="00E2798D"/>
    <w:rsid w:val="00E45381"/>
    <w:rsid w:val="00E52A71"/>
    <w:rsid w:val="00E53643"/>
    <w:rsid w:val="00E53985"/>
    <w:rsid w:val="00E53C00"/>
    <w:rsid w:val="00E62748"/>
    <w:rsid w:val="00E7714C"/>
    <w:rsid w:val="00E81F29"/>
    <w:rsid w:val="00E82C02"/>
    <w:rsid w:val="00E94D8E"/>
    <w:rsid w:val="00EA22D1"/>
    <w:rsid w:val="00EA436A"/>
    <w:rsid w:val="00EB6065"/>
    <w:rsid w:val="00EB620C"/>
    <w:rsid w:val="00EC4225"/>
    <w:rsid w:val="00EE4DF1"/>
    <w:rsid w:val="00EE6F6A"/>
    <w:rsid w:val="00F037CE"/>
    <w:rsid w:val="00F073DE"/>
    <w:rsid w:val="00F24D65"/>
    <w:rsid w:val="00F25172"/>
    <w:rsid w:val="00F3340C"/>
    <w:rsid w:val="00F514C6"/>
    <w:rsid w:val="00F56318"/>
    <w:rsid w:val="00F73DFC"/>
    <w:rsid w:val="00F80433"/>
    <w:rsid w:val="00F8144E"/>
    <w:rsid w:val="00F87B09"/>
    <w:rsid w:val="00F9100F"/>
    <w:rsid w:val="00F9199D"/>
    <w:rsid w:val="00F9480C"/>
    <w:rsid w:val="00FA49D8"/>
    <w:rsid w:val="00FA5D01"/>
    <w:rsid w:val="00FA7522"/>
    <w:rsid w:val="00FB3FAA"/>
    <w:rsid w:val="00FB67AA"/>
    <w:rsid w:val="00FC02E0"/>
    <w:rsid w:val="00FD56D3"/>
    <w:rsid w:val="00FE11C7"/>
    <w:rsid w:val="00FE79A3"/>
    <w:rsid w:val="00FF30F7"/>
    <w:rsid w:val="011DE643"/>
    <w:rsid w:val="012C21D1"/>
    <w:rsid w:val="013AF1E8"/>
    <w:rsid w:val="014DF7F9"/>
    <w:rsid w:val="014F3826"/>
    <w:rsid w:val="017B9296"/>
    <w:rsid w:val="0191E773"/>
    <w:rsid w:val="019B14A5"/>
    <w:rsid w:val="01A608B1"/>
    <w:rsid w:val="01EA2A2B"/>
    <w:rsid w:val="02179DB9"/>
    <w:rsid w:val="021E9225"/>
    <w:rsid w:val="024ECAEB"/>
    <w:rsid w:val="0266D1D5"/>
    <w:rsid w:val="02766276"/>
    <w:rsid w:val="028083F5"/>
    <w:rsid w:val="028C65ED"/>
    <w:rsid w:val="02B22F78"/>
    <w:rsid w:val="02E294DD"/>
    <w:rsid w:val="0311E484"/>
    <w:rsid w:val="03683D62"/>
    <w:rsid w:val="0369B307"/>
    <w:rsid w:val="0389DF79"/>
    <w:rsid w:val="03AE9EA1"/>
    <w:rsid w:val="03B82B90"/>
    <w:rsid w:val="041C6286"/>
    <w:rsid w:val="04716C8B"/>
    <w:rsid w:val="049C98CF"/>
    <w:rsid w:val="049ED5D1"/>
    <w:rsid w:val="04ECE1E7"/>
    <w:rsid w:val="052E79D5"/>
    <w:rsid w:val="0593F762"/>
    <w:rsid w:val="06005BB9"/>
    <w:rsid w:val="061CFEB7"/>
    <w:rsid w:val="0631E3C0"/>
    <w:rsid w:val="0694E954"/>
    <w:rsid w:val="06FED639"/>
    <w:rsid w:val="0743004C"/>
    <w:rsid w:val="074E9719"/>
    <w:rsid w:val="0762A657"/>
    <w:rsid w:val="07751623"/>
    <w:rsid w:val="077A0268"/>
    <w:rsid w:val="07820398"/>
    <w:rsid w:val="078B63F3"/>
    <w:rsid w:val="078D61B1"/>
    <w:rsid w:val="07C92F77"/>
    <w:rsid w:val="07D43991"/>
    <w:rsid w:val="07D7464D"/>
    <w:rsid w:val="080A0A91"/>
    <w:rsid w:val="081D1C3D"/>
    <w:rsid w:val="0829EE46"/>
    <w:rsid w:val="0883C226"/>
    <w:rsid w:val="08B7AD16"/>
    <w:rsid w:val="08D3A7B5"/>
    <w:rsid w:val="08E4802B"/>
    <w:rsid w:val="08E5C80E"/>
    <w:rsid w:val="094AEA82"/>
    <w:rsid w:val="09844AC3"/>
    <w:rsid w:val="09885E32"/>
    <w:rsid w:val="09A4A4AB"/>
    <w:rsid w:val="0A0632AF"/>
    <w:rsid w:val="0A17995C"/>
    <w:rsid w:val="0A4F085D"/>
    <w:rsid w:val="0A50D2B4"/>
    <w:rsid w:val="0AB1F0A2"/>
    <w:rsid w:val="0AB71EF4"/>
    <w:rsid w:val="0ACA29B1"/>
    <w:rsid w:val="0AEAEF2B"/>
    <w:rsid w:val="0B06ECBD"/>
    <w:rsid w:val="0B98D1AC"/>
    <w:rsid w:val="0C1F2A1D"/>
    <w:rsid w:val="0C2140E9"/>
    <w:rsid w:val="0C32104A"/>
    <w:rsid w:val="0C867708"/>
    <w:rsid w:val="0C972F3C"/>
    <w:rsid w:val="0D81AF35"/>
    <w:rsid w:val="0DBEDC07"/>
    <w:rsid w:val="0DF1F980"/>
    <w:rsid w:val="0E01A150"/>
    <w:rsid w:val="0E035A5A"/>
    <w:rsid w:val="0E2E0A19"/>
    <w:rsid w:val="0E65FD3A"/>
    <w:rsid w:val="0EAF31D5"/>
    <w:rsid w:val="0ED09AB9"/>
    <w:rsid w:val="0F5B5D86"/>
    <w:rsid w:val="0F6C32F0"/>
    <w:rsid w:val="0F92FE79"/>
    <w:rsid w:val="0FAC41F9"/>
    <w:rsid w:val="1057A78A"/>
    <w:rsid w:val="10684CF4"/>
    <w:rsid w:val="10A00F92"/>
    <w:rsid w:val="11326962"/>
    <w:rsid w:val="113EA451"/>
    <w:rsid w:val="11711427"/>
    <w:rsid w:val="117B1BD7"/>
    <w:rsid w:val="11A7585B"/>
    <w:rsid w:val="11B2DD9C"/>
    <w:rsid w:val="11CB945A"/>
    <w:rsid w:val="123ABB45"/>
    <w:rsid w:val="12B864C7"/>
    <w:rsid w:val="12D378C1"/>
    <w:rsid w:val="12F7CDA4"/>
    <w:rsid w:val="135BF62C"/>
    <w:rsid w:val="1366FA36"/>
    <w:rsid w:val="13B2C06F"/>
    <w:rsid w:val="14B7FF9C"/>
    <w:rsid w:val="14DA1793"/>
    <w:rsid w:val="15139C86"/>
    <w:rsid w:val="15687A15"/>
    <w:rsid w:val="15886999"/>
    <w:rsid w:val="1589AE5E"/>
    <w:rsid w:val="15CDEC2B"/>
    <w:rsid w:val="15D11AB2"/>
    <w:rsid w:val="165D721D"/>
    <w:rsid w:val="1695B4C8"/>
    <w:rsid w:val="169BF971"/>
    <w:rsid w:val="16C2021C"/>
    <w:rsid w:val="173D6257"/>
    <w:rsid w:val="17694D47"/>
    <w:rsid w:val="17F8A5FB"/>
    <w:rsid w:val="180B3C01"/>
    <w:rsid w:val="183510CA"/>
    <w:rsid w:val="185F75C8"/>
    <w:rsid w:val="187BEB26"/>
    <w:rsid w:val="18B2578B"/>
    <w:rsid w:val="18B5DD03"/>
    <w:rsid w:val="18CF9A56"/>
    <w:rsid w:val="19176217"/>
    <w:rsid w:val="191E4C31"/>
    <w:rsid w:val="19F5AAAD"/>
    <w:rsid w:val="1A750319"/>
    <w:rsid w:val="1AD70DC9"/>
    <w:rsid w:val="1B190AA5"/>
    <w:rsid w:val="1B52A3FE"/>
    <w:rsid w:val="1B62FB65"/>
    <w:rsid w:val="1B9B10E3"/>
    <w:rsid w:val="1BCD2F02"/>
    <w:rsid w:val="1BD107F6"/>
    <w:rsid w:val="1C158757"/>
    <w:rsid w:val="1C1A4807"/>
    <w:rsid w:val="1C753507"/>
    <w:rsid w:val="1C926916"/>
    <w:rsid w:val="1C951715"/>
    <w:rsid w:val="1D937B7E"/>
    <w:rsid w:val="1D9F3D07"/>
    <w:rsid w:val="1DC77239"/>
    <w:rsid w:val="1E153F68"/>
    <w:rsid w:val="1E36970B"/>
    <w:rsid w:val="1E759F3E"/>
    <w:rsid w:val="1E854AE2"/>
    <w:rsid w:val="1EC39C5B"/>
    <w:rsid w:val="1EDD239D"/>
    <w:rsid w:val="1EDEBFEB"/>
    <w:rsid w:val="1F5FA8ED"/>
    <w:rsid w:val="1F630F70"/>
    <w:rsid w:val="1FA4CF42"/>
    <w:rsid w:val="20148DD4"/>
    <w:rsid w:val="2097A955"/>
    <w:rsid w:val="20E8E12C"/>
    <w:rsid w:val="21114774"/>
    <w:rsid w:val="21289429"/>
    <w:rsid w:val="214CE02A"/>
    <w:rsid w:val="2185E585"/>
    <w:rsid w:val="22E8B08B"/>
    <w:rsid w:val="234B9BFE"/>
    <w:rsid w:val="2358CB63"/>
    <w:rsid w:val="23646789"/>
    <w:rsid w:val="23D08BA1"/>
    <w:rsid w:val="23E97980"/>
    <w:rsid w:val="24258129"/>
    <w:rsid w:val="242AC263"/>
    <w:rsid w:val="243A2A29"/>
    <w:rsid w:val="24661D0E"/>
    <w:rsid w:val="248E7CC5"/>
    <w:rsid w:val="24D35065"/>
    <w:rsid w:val="24D4A873"/>
    <w:rsid w:val="25C0471D"/>
    <w:rsid w:val="25DB4F90"/>
    <w:rsid w:val="2620514D"/>
    <w:rsid w:val="263259AA"/>
    <w:rsid w:val="2664E3C2"/>
    <w:rsid w:val="26A51269"/>
    <w:rsid w:val="26BF9327"/>
    <w:rsid w:val="2803DC99"/>
    <w:rsid w:val="280F72A5"/>
    <w:rsid w:val="28297936"/>
    <w:rsid w:val="2895ABB5"/>
    <w:rsid w:val="28CFC1AF"/>
    <w:rsid w:val="28EB6312"/>
    <w:rsid w:val="29151A79"/>
    <w:rsid w:val="29406318"/>
    <w:rsid w:val="296635B5"/>
    <w:rsid w:val="29726D81"/>
    <w:rsid w:val="29970466"/>
    <w:rsid w:val="299EEFD4"/>
    <w:rsid w:val="29B1C891"/>
    <w:rsid w:val="29E3D3C4"/>
    <w:rsid w:val="29F1BD06"/>
    <w:rsid w:val="29FB859D"/>
    <w:rsid w:val="2A193BCE"/>
    <w:rsid w:val="2A1E51DE"/>
    <w:rsid w:val="2AC0E5F2"/>
    <w:rsid w:val="2B9201C1"/>
    <w:rsid w:val="2BE77FF7"/>
    <w:rsid w:val="2C15BC6D"/>
    <w:rsid w:val="2C1B852D"/>
    <w:rsid w:val="2C220B67"/>
    <w:rsid w:val="2C3F7F67"/>
    <w:rsid w:val="2CA051C0"/>
    <w:rsid w:val="2CF78D52"/>
    <w:rsid w:val="2D28EC0A"/>
    <w:rsid w:val="2D50592D"/>
    <w:rsid w:val="2D82561C"/>
    <w:rsid w:val="2DE80C52"/>
    <w:rsid w:val="2E02E473"/>
    <w:rsid w:val="2E056F2D"/>
    <w:rsid w:val="2E49598C"/>
    <w:rsid w:val="2E75642D"/>
    <w:rsid w:val="2E7BC467"/>
    <w:rsid w:val="2E863D57"/>
    <w:rsid w:val="2E864C58"/>
    <w:rsid w:val="2EA57DEE"/>
    <w:rsid w:val="2F35C0F3"/>
    <w:rsid w:val="2F93B4E4"/>
    <w:rsid w:val="2FB7C87C"/>
    <w:rsid w:val="30024BF1"/>
    <w:rsid w:val="3006762B"/>
    <w:rsid w:val="30296E1B"/>
    <w:rsid w:val="308F4A65"/>
    <w:rsid w:val="30D36515"/>
    <w:rsid w:val="31734D44"/>
    <w:rsid w:val="3180758F"/>
    <w:rsid w:val="31ACA18D"/>
    <w:rsid w:val="31B0C056"/>
    <w:rsid w:val="31DDD34E"/>
    <w:rsid w:val="32318B59"/>
    <w:rsid w:val="323DC7B1"/>
    <w:rsid w:val="32490E51"/>
    <w:rsid w:val="32610D7C"/>
    <w:rsid w:val="32B480D4"/>
    <w:rsid w:val="32F658B6"/>
    <w:rsid w:val="331C5323"/>
    <w:rsid w:val="333CA807"/>
    <w:rsid w:val="335C9897"/>
    <w:rsid w:val="335D4FC8"/>
    <w:rsid w:val="3395D4A5"/>
    <w:rsid w:val="33AFBF30"/>
    <w:rsid w:val="33BA1BD5"/>
    <w:rsid w:val="33C518A9"/>
    <w:rsid w:val="3452A87A"/>
    <w:rsid w:val="34B5FDE4"/>
    <w:rsid w:val="35321008"/>
    <w:rsid w:val="35537AE3"/>
    <w:rsid w:val="3576C885"/>
    <w:rsid w:val="35EB470B"/>
    <w:rsid w:val="364B5973"/>
    <w:rsid w:val="367DD8ED"/>
    <w:rsid w:val="368441DD"/>
    <w:rsid w:val="36A42317"/>
    <w:rsid w:val="36CAECC2"/>
    <w:rsid w:val="36CFFAE9"/>
    <w:rsid w:val="3731949F"/>
    <w:rsid w:val="3740BC9F"/>
    <w:rsid w:val="37D69122"/>
    <w:rsid w:val="381C92AF"/>
    <w:rsid w:val="38C8DFA0"/>
    <w:rsid w:val="38DB1718"/>
    <w:rsid w:val="39113ED0"/>
    <w:rsid w:val="391F2357"/>
    <w:rsid w:val="39550CC3"/>
    <w:rsid w:val="395C61AE"/>
    <w:rsid w:val="396AB9C7"/>
    <w:rsid w:val="396FA0F3"/>
    <w:rsid w:val="39A0754B"/>
    <w:rsid w:val="39C12F5F"/>
    <w:rsid w:val="3A13C7D8"/>
    <w:rsid w:val="3A9AF6D3"/>
    <w:rsid w:val="3AE95757"/>
    <w:rsid w:val="3B0122D8"/>
    <w:rsid w:val="3B37426E"/>
    <w:rsid w:val="3B6B35F2"/>
    <w:rsid w:val="3B71B98F"/>
    <w:rsid w:val="3B898F47"/>
    <w:rsid w:val="3BB66DD2"/>
    <w:rsid w:val="3C00DA2E"/>
    <w:rsid w:val="3C349C60"/>
    <w:rsid w:val="3C39D9D2"/>
    <w:rsid w:val="3CA1FBE2"/>
    <w:rsid w:val="3CA96C09"/>
    <w:rsid w:val="3CCC7232"/>
    <w:rsid w:val="3D4726DB"/>
    <w:rsid w:val="3DC4EC28"/>
    <w:rsid w:val="3DEF7D5F"/>
    <w:rsid w:val="3E15127C"/>
    <w:rsid w:val="3EC8CCE8"/>
    <w:rsid w:val="3ED4D3A8"/>
    <w:rsid w:val="3F06BFBC"/>
    <w:rsid w:val="3F246602"/>
    <w:rsid w:val="3F33D680"/>
    <w:rsid w:val="3F7C0D46"/>
    <w:rsid w:val="40440C5C"/>
    <w:rsid w:val="410CF6A8"/>
    <w:rsid w:val="411D484E"/>
    <w:rsid w:val="415451DD"/>
    <w:rsid w:val="416CA3F4"/>
    <w:rsid w:val="41912DCE"/>
    <w:rsid w:val="41D6EC00"/>
    <w:rsid w:val="4210E3B7"/>
    <w:rsid w:val="421EE2E5"/>
    <w:rsid w:val="424282EF"/>
    <w:rsid w:val="42C21BDF"/>
    <w:rsid w:val="42E238FC"/>
    <w:rsid w:val="432BBF1D"/>
    <w:rsid w:val="437DEF97"/>
    <w:rsid w:val="438C212F"/>
    <w:rsid w:val="43B298D8"/>
    <w:rsid w:val="44955CCC"/>
    <w:rsid w:val="44F44D5F"/>
    <w:rsid w:val="450E8CC2"/>
    <w:rsid w:val="451143F1"/>
    <w:rsid w:val="45167A48"/>
    <w:rsid w:val="4578C2B1"/>
    <w:rsid w:val="45896A78"/>
    <w:rsid w:val="4608CFD9"/>
    <w:rsid w:val="464E1D16"/>
    <w:rsid w:val="46807AFE"/>
    <w:rsid w:val="46A73B2D"/>
    <w:rsid w:val="46AA5D23"/>
    <w:rsid w:val="46ADD2D2"/>
    <w:rsid w:val="47351C4C"/>
    <w:rsid w:val="47DC76D5"/>
    <w:rsid w:val="47E1D0E8"/>
    <w:rsid w:val="48462D84"/>
    <w:rsid w:val="48492D74"/>
    <w:rsid w:val="485528C2"/>
    <w:rsid w:val="485CE463"/>
    <w:rsid w:val="48CDC6FA"/>
    <w:rsid w:val="4975E66B"/>
    <w:rsid w:val="49E4FDD5"/>
    <w:rsid w:val="49F607F2"/>
    <w:rsid w:val="4A58A9FB"/>
    <w:rsid w:val="4A73EFF5"/>
    <w:rsid w:val="4A9B7AFB"/>
    <w:rsid w:val="4B0B5D64"/>
    <w:rsid w:val="4B2FA4F3"/>
    <w:rsid w:val="4B2FF819"/>
    <w:rsid w:val="4B7EFBCE"/>
    <w:rsid w:val="4B7FF01B"/>
    <w:rsid w:val="4B82E22C"/>
    <w:rsid w:val="4B88DFC9"/>
    <w:rsid w:val="4BA76BFC"/>
    <w:rsid w:val="4BC725EB"/>
    <w:rsid w:val="4C21C878"/>
    <w:rsid w:val="4C28CFB1"/>
    <w:rsid w:val="4C375395"/>
    <w:rsid w:val="4C574751"/>
    <w:rsid w:val="4C6F5E49"/>
    <w:rsid w:val="4CF1BA62"/>
    <w:rsid w:val="4CFDCD81"/>
    <w:rsid w:val="4D638D41"/>
    <w:rsid w:val="4DAD0932"/>
    <w:rsid w:val="4DE83F98"/>
    <w:rsid w:val="4DF13E60"/>
    <w:rsid w:val="4E7FAEBA"/>
    <w:rsid w:val="4EDB25FD"/>
    <w:rsid w:val="4EE04866"/>
    <w:rsid w:val="4F1D2E71"/>
    <w:rsid w:val="4F5033A2"/>
    <w:rsid w:val="4F6380BD"/>
    <w:rsid w:val="4F68CCBF"/>
    <w:rsid w:val="4F6C5328"/>
    <w:rsid w:val="4FFD0297"/>
    <w:rsid w:val="5084BA18"/>
    <w:rsid w:val="50D7855C"/>
    <w:rsid w:val="50DCB34A"/>
    <w:rsid w:val="510A705F"/>
    <w:rsid w:val="512BD9FF"/>
    <w:rsid w:val="5150847A"/>
    <w:rsid w:val="51798E22"/>
    <w:rsid w:val="51936547"/>
    <w:rsid w:val="51AEF403"/>
    <w:rsid w:val="51C35907"/>
    <w:rsid w:val="51DC6711"/>
    <w:rsid w:val="51F7A791"/>
    <w:rsid w:val="5292ED35"/>
    <w:rsid w:val="52A8EF65"/>
    <w:rsid w:val="5318AC0E"/>
    <w:rsid w:val="533C75AE"/>
    <w:rsid w:val="5342513E"/>
    <w:rsid w:val="53B3CD76"/>
    <w:rsid w:val="53C0FDF0"/>
    <w:rsid w:val="53DE78C8"/>
    <w:rsid w:val="542E938F"/>
    <w:rsid w:val="54318D2E"/>
    <w:rsid w:val="54637AC1"/>
    <w:rsid w:val="54666698"/>
    <w:rsid w:val="547F4A6D"/>
    <w:rsid w:val="54983C40"/>
    <w:rsid w:val="54ACD266"/>
    <w:rsid w:val="54C5FAC3"/>
    <w:rsid w:val="553A000A"/>
    <w:rsid w:val="556FC09C"/>
    <w:rsid w:val="55706579"/>
    <w:rsid w:val="55922193"/>
    <w:rsid w:val="55BBC847"/>
    <w:rsid w:val="561BD248"/>
    <w:rsid w:val="5663B415"/>
    <w:rsid w:val="57011309"/>
    <w:rsid w:val="577EC1CE"/>
    <w:rsid w:val="57C4C2C3"/>
    <w:rsid w:val="57DA6209"/>
    <w:rsid w:val="57F3C66A"/>
    <w:rsid w:val="57FD1396"/>
    <w:rsid w:val="5885DC34"/>
    <w:rsid w:val="58B542D9"/>
    <w:rsid w:val="5936EBE4"/>
    <w:rsid w:val="59403D56"/>
    <w:rsid w:val="59AB947B"/>
    <w:rsid w:val="5A5AF422"/>
    <w:rsid w:val="5B210189"/>
    <w:rsid w:val="5B22CD52"/>
    <w:rsid w:val="5B48C8E2"/>
    <w:rsid w:val="5BD126F9"/>
    <w:rsid w:val="5BE2155C"/>
    <w:rsid w:val="5BFFBB46"/>
    <w:rsid w:val="5C01E73A"/>
    <w:rsid w:val="5C2FB938"/>
    <w:rsid w:val="5C6E1794"/>
    <w:rsid w:val="5C902F4C"/>
    <w:rsid w:val="5D2938A5"/>
    <w:rsid w:val="5DB54FB6"/>
    <w:rsid w:val="5DB6FAAD"/>
    <w:rsid w:val="5DE4CF5D"/>
    <w:rsid w:val="5E2107A5"/>
    <w:rsid w:val="5E37380D"/>
    <w:rsid w:val="5E3F1EE8"/>
    <w:rsid w:val="5E49B473"/>
    <w:rsid w:val="5E53B4AC"/>
    <w:rsid w:val="5EBA57FB"/>
    <w:rsid w:val="5EBAECFD"/>
    <w:rsid w:val="5F154E1F"/>
    <w:rsid w:val="5F296545"/>
    <w:rsid w:val="5F4766D2"/>
    <w:rsid w:val="5F68FF63"/>
    <w:rsid w:val="5F93D5CC"/>
    <w:rsid w:val="5FB49127"/>
    <w:rsid w:val="601F262D"/>
    <w:rsid w:val="602C01BD"/>
    <w:rsid w:val="60329CB5"/>
    <w:rsid w:val="60BAD272"/>
    <w:rsid w:val="60C06D90"/>
    <w:rsid w:val="60DF8174"/>
    <w:rsid w:val="60E44D29"/>
    <w:rsid w:val="611C16D8"/>
    <w:rsid w:val="6133F7DC"/>
    <w:rsid w:val="62032066"/>
    <w:rsid w:val="620563AF"/>
    <w:rsid w:val="620EE967"/>
    <w:rsid w:val="62B3732F"/>
    <w:rsid w:val="62B374D4"/>
    <w:rsid w:val="62B55BCD"/>
    <w:rsid w:val="62E46D0C"/>
    <w:rsid w:val="62F514D1"/>
    <w:rsid w:val="632725CF"/>
    <w:rsid w:val="633398B5"/>
    <w:rsid w:val="633CCAA1"/>
    <w:rsid w:val="634E87E5"/>
    <w:rsid w:val="634EB4A2"/>
    <w:rsid w:val="63A2FBA2"/>
    <w:rsid w:val="63BE5C42"/>
    <w:rsid w:val="63EDF318"/>
    <w:rsid w:val="641AE8C2"/>
    <w:rsid w:val="6431CBCE"/>
    <w:rsid w:val="6433E7AC"/>
    <w:rsid w:val="64771E58"/>
    <w:rsid w:val="64B46121"/>
    <w:rsid w:val="64D871E3"/>
    <w:rsid w:val="652C3BE0"/>
    <w:rsid w:val="65317CF8"/>
    <w:rsid w:val="6554C1ED"/>
    <w:rsid w:val="6595E285"/>
    <w:rsid w:val="65DD0ED6"/>
    <w:rsid w:val="6626F2A8"/>
    <w:rsid w:val="668CD360"/>
    <w:rsid w:val="669490A5"/>
    <w:rsid w:val="669DEF57"/>
    <w:rsid w:val="67528984"/>
    <w:rsid w:val="67A00476"/>
    <w:rsid w:val="67C884E0"/>
    <w:rsid w:val="67F894AF"/>
    <w:rsid w:val="681450B3"/>
    <w:rsid w:val="68328C97"/>
    <w:rsid w:val="6868E764"/>
    <w:rsid w:val="68B7DDD2"/>
    <w:rsid w:val="68BC5B9D"/>
    <w:rsid w:val="68E78CD2"/>
    <w:rsid w:val="696CC9C9"/>
    <w:rsid w:val="69E58D11"/>
    <w:rsid w:val="6ACD8FCC"/>
    <w:rsid w:val="6AD7A538"/>
    <w:rsid w:val="6AF4518D"/>
    <w:rsid w:val="6B4033F9"/>
    <w:rsid w:val="6C014824"/>
    <w:rsid w:val="6CD5F59B"/>
    <w:rsid w:val="6D0E47BC"/>
    <w:rsid w:val="6D49C321"/>
    <w:rsid w:val="6D4EE3CD"/>
    <w:rsid w:val="6D5CAD0D"/>
    <w:rsid w:val="6DDFD91C"/>
    <w:rsid w:val="6E0F45FA"/>
    <w:rsid w:val="6E37D716"/>
    <w:rsid w:val="6E402B82"/>
    <w:rsid w:val="6E962765"/>
    <w:rsid w:val="6EE4C1E1"/>
    <w:rsid w:val="6F6C68CE"/>
    <w:rsid w:val="6F8F2BA6"/>
    <w:rsid w:val="6F9535A4"/>
    <w:rsid w:val="704547DA"/>
    <w:rsid w:val="708A4094"/>
    <w:rsid w:val="716FFAF7"/>
    <w:rsid w:val="71871AE4"/>
    <w:rsid w:val="7198B3AF"/>
    <w:rsid w:val="71C05EAF"/>
    <w:rsid w:val="71C3BD10"/>
    <w:rsid w:val="71DCF297"/>
    <w:rsid w:val="71FDEABB"/>
    <w:rsid w:val="721D4428"/>
    <w:rsid w:val="7278093C"/>
    <w:rsid w:val="728CCF36"/>
    <w:rsid w:val="72995B5B"/>
    <w:rsid w:val="72BAFC19"/>
    <w:rsid w:val="733658C1"/>
    <w:rsid w:val="73D4DAA3"/>
    <w:rsid w:val="73E741B6"/>
    <w:rsid w:val="73E83DEC"/>
    <w:rsid w:val="73ED65C9"/>
    <w:rsid w:val="74144F76"/>
    <w:rsid w:val="743B010B"/>
    <w:rsid w:val="743ECD6F"/>
    <w:rsid w:val="743EFA97"/>
    <w:rsid w:val="74A80529"/>
    <w:rsid w:val="74DA9A8C"/>
    <w:rsid w:val="75247B8F"/>
    <w:rsid w:val="759BCACB"/>
    <w:rsid w:val="75B582C8"/>
    <w:rsid w:val="75BF0619"/>
    <w:rsid w:val="76238E3A"/>
    <w:rsid w:val="763CE5FA"/>
    <w:rsid w:val="76566C02"/>
    <w:rsid w:val="7697D217"/>
    <w:rsid w:val="76B9F333"/>
    <w:rsid w:val="76CED78B"/>
    <w:rsid w:val="76CEF786"/>
    <w:rsid w:val="774B04DF"/>
    <w:rsid w:val="774F6953"/>
    <w:rsid w:val="7754DBB3"/>
    <w:rsid w:val="77A52292"/>
    <w:rsid w:val="77A82A64"/>
    <w:rsid w:val="77BB9BD7"/>
    <w:rsid w:val="77E3C856"/>
    <w:rsid w:val="78369175"/>
    <w:rsid w:val="78CBC899"/>
    <w:rsid w:val="78E4576B"/>
    <w:rsid w:val="78E940C3"/>
    <w:rsid w:val="795E541A"/>
    <w:rsid w:val="799CEF23"/>
    <w:rsid w:val="79AD5FF0"/>
    <w:rsid w:val="79BF24C8"/>
    <w:rsid w:val="79CECEF5"/>
    <w:rsid w:val="7AE0FBB4"/>
    <w:rsid w:val="7AE9C6B1"/>
    <w:rsid w:val="7B09F14F"/>
    <w:rsid w:val="7B6A9F56"/>
    <w:rsid w:val="7B9D99ED"/>
    <w:rsid w:val="7BBDF67D"/>
    <w:rsid w:val="7C84B15A"/>
    <w:rsid w:val="7CA2A027"/>
    <w:rsid w:val="7CA5C1B0"/>
    <w:rsid w:val="7CB24653"/>
    <w:rsid w:val="7CB5EEFD"/>
    <w:rsid w:val="7CCF1ED1"/>
    <w:rsid w:val="7D066FB7"/>
    <w:rsid w:val="7D23416E"/>
    <w:rsid w:val="7D429802"/>
    <w:rsid w:val="7D56ECAA"/>
    <w:rsid w:val="7D74C942"/>
    <w:rsid w:val="7DAACF55"/>
    <w:rsid w:val="7DF8EC61"/>
    <w:rsid w:val="7E0C0BB1"/>
    <w:rsid w:val="7E470C72"/>
    <w:rsid w:val="7EF741DA"/>
    <w:rsid w:val="7F3A0370"/>
    <w:rsid w:val="7FE48933"/>
    <w:rsid w:val="7FE8F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BD931E"/>
  <w15:chartTrackingRefBased/>
  <w15:docId w15:val="{CD496050-676D-4EE3-823A-B241FE82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2E8"/>
    <w:rPr>
      <w:sz w:val="24"/>
    </w:rPr>
  </w:style>
  <w:style w:type="paragraph" w:styleId="Heading1">
    <w:name w:val="heading 1"/>
    <w:basedOn w:val="Normal"/>
    <w:next w:val="Normal"/>
    <w:link w:val="Heading1Char"/>
    <w:uiPriority w:val="9"/>
    <w:qFormat/>
    <w:rsid w:val="00F24D65"/>
    <w:pPr>
      <w:outlineLvl w:val="0"/>
    </w:pPr>
    <w:rPr>
      <w:b/>
      <w:color w:val="000000" w:themeColor="text1"/>
      <w:szCs w:val="28"/>
    </w:rPr>
  </w:style>
  <w:style w:type="paragraph" w:styleId="Heading2">
    <w:name w:val="heading 2"/>
    <w:basedOn w:val="Normal"/>
    <w:next w:val="Normal"/>
    <w:link w:val="Heading2Char"/>
    <w:uiPriority w:val="9"/>
    <w:unhideWhenUsed/>
    <w:qFormat/>
    <w:rsid w:val="008A2287"/>
    <w:pPr>
      <w:outlineLvl w:val="1"/>
    </w:pPr>
    <w:rPr>
      <w:i/>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6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619D"/>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C4619D"/>
    <w:pPr>
      <w:tabs>
        <w:tab w:val="center" w:pos="4680"/>
        <w:tab w:val="right" w:pos="9360"/>
      </w:tabs>
    </w:pPr>
  </w:style>
  <w:style w:type="character" w:customStyle="1" w:styleId="HeaderChar">
    <w:name w:val="Header Char"/>
    <w:basedOn w:val="DefaultParagraphFont"/>
    <w:link w:val="Header"/>
    <w:uiPriority w:val="99"/>
    <w:rsid w:val="00C4619D"/>
  </w:style>
  <w:style w:type="paragraph" w:styleId="Footer">
    <w:name w:val="footer"/>
    <w:basedOn w:val="Normal"/>
    <w:link w:val="FooterChar"/>
    <w:uiPriority w:val="99"/>
    <w:unhideWhenUsed/>
    <w:rsid w:val="00C4619D"/>
    <w:pPr>
      <w:tabs>
        <w:tab w:val="center" w:pos="4680"/>
        <w:tab w:val="right" w:pos="9360"/>
      </w:tabs>
    </w:pPr>
  </w:style>
  <w:style w:type="character" w:customStyle="1" w:styleId="FooterChar">
    <w:name w:val="Footer Char"/>
    <w:basedOn w:val="DefaultParagraphFont"/>
    <w:link w:val="Footer"/>
    <w:uiPriority w:val="99"/>
    <w:rsid w:val="00C4619D"/>
  </w:style>
  <w:style w:type="character" w:styleId="Hyperlink">
    <w:name w:val="Hyperlink"/>
    <w:basedOn w:val="DefaultParagraphFont"/>
    <w:uiPriority w:val="99"/>
    <w:unhideWhenUsed/>
    <w:rsid w:val="00C4619D"/>
    <w:rPr>
      <w:color w:val="0563C1" w:themeColor="hyperlink"/>
      <w:u w:val="single"/>
    </w:rPr>
  </w:style>
  <w:style w:type="paragraph" w:styleId="BalloonText">
    <w:name w:val="Balloon Text"/>
    <w:basedOn w:val="Normal"/>
    <w:link w:val="BalloonTextChar"/>
    <w:uiPriority w:val="99"/>
    <w:semiHidden/>
    <w:unhideWhenUsed/>
    <w:rsid w:val="00C461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19D"/>
    <w:rPr>
      <w:rFonts w:ascii="Segoe UI" w:hAnsi="Segoe UI" w:cs="Segoe UI"/>
      <w:sz w:val="18"/>
      <w:szCs w:val="18"/>
    </w:rPr>
  </w:style>
  <w:style w:type="character" w:styleId="PlaceholderText">
    <w:name w:val="Placeholder Text"/>
    <w:basedOn w:val="DefaultParagraphFont"/>
    <w:uiPriority w:val="99"/>
    <w:semiHidden/>
    <w:rsid w:val="004C54B7"/>
    <w:rPr>
      <w:color w:val="808080"/>
    </w:rPr>
  </w:style>
  <w:style w:type="character" w:customStyle="1" w:styleId="Heading1Char">
    <w:name w:val="Heading 1 Char"/>
    <w:basedOn w:val="DefaultParagraphFont"/>
    <w:link w:val="Heading1"/>
    <w:uiPriority w:val="9"/>
    <w:rsid w:val="00F24D65"/>
    <w:rPr>
      <w:b/>
      <w:color w:val="000000" w:themeColor="text1"/>
      <w:sz w:val="24"/>
      <w:szCs w:val="28"/>
    </w:rPr>
  </w:style>
  <w:style w:type="character" w:customStyle="1" w:styleId="Heading2Char">
    <w:name w:val="Heading 2 Char"/>
    <w:basedOn w:val="DefaultParagraphFont"/>
    <w:link w:val="Heading2"/>
    <w:uiPriority w:val="9"/>
    <w:rsid w:val="008A2287"/>
    <w:rPr>
      <w:i/>
      <w:sz w:val="26"/>
      <w:szCs w:val="24"/>
    </w:rPr>
  </w:style>
  <w:style w:type="paragraph" w:styleId="ListParagraph">
    <w:name w:val="List Paragraph"/>
    <w:basedOn w:val="Normal"/>
    <w:uiPriority w:val="34"/>
    <w:qFormat/>
    <w:rsid w:val="00C77556"/>
    <w:pPr>
      <w:ind w:left="720"/>
      <w:contextualSpacing/>
    </w:pPr>
  </w:style>
  <w:style w:type="paragraph" w:styleId="CommentText">
    <w:name w:val="annotation text"/>
    <w:basedOn w:val="Normal"/>
    <w:link w:val="CommentTextChar"/>
    <w:uiPriority w:val="99"/>
    <w:unhideWhenUsed/>
    <w:rsid w:val="006D0069"/>
    <w:rPr>
      <w:sz w:val="20"/>
      <w:szCs w:val="20"/>
    </w:rPr>
  </w:style>
  <w:style w:type="character" w:customStyle="1" w:styleId="CommentTextChar">
    <w:name w:val="Comment Text Char"/>
    <w:basedOn w:val="DefaultParagraphFont"/>
    <w:link w:val="CommentText"/>
    <w:uiPriority w:val="99"/>
    <w:rsid w:val="006D0069"/>
    <w:rPr>
      <w:sz w:val="20"/>
      <w:szCs w:val="20"/>
    </w:rPr>
  </w:style>
  <w:style w:type="character" w:styleId="CommentReference">
    <w:name w:val="annotation reference"/>
    <w:basedOn w:val="DefaultParagraphFont"/>
    <w:uiPriority w:val="99"/>
    <w:semiHidden/>
    <w:unhideWhenUsed/>
    <w:rsid w:val="005828C4"/>
    <w:rPr>
      <w:sz w:val="16"/>
      <w:szCs w:val="16"/>
    </w:rPr>
  </w:style>
  <w:style w:type="paragraph" w:styleId="CommentSubject">
    <w:name w:val="annotation subject"/>
    <w:basedOn w:val="CommentText"/>
    <w:next w:val="CommentText"/>
    <w:link w:val="CommentSubjectChar"/>
    <w:uiPriority w:val="99"/>
    <w:semiHidden/>
    <w:unhideWhenUsed/>
    <w:rsid w:val="005828C4"/>
    <w:rPr>
      <w:b/>
      <w:bCs/>
    </w:rPr>
  </w:style>
  <w:style w:type="character" w:customStyle="1" w:styleId="CommentSubjectChar">
    <w:name w:val="Comment Subject Char"/>
    <w:basedOn w:val="CommentTextChar"/>
    <w:link w:val="CommentSubject"/>
    <w:uiPriority w:val="99"/>
    <w:semiHidden/>
    <w:rsid w:val="005828C4"/>
    <w:rPr>
      <w:b/>
      <w:bCs/>
      <w:sz w:val="20"/>
      <w:szCs w:val="20"/>
    </w:rPr>
  </w:style>
  <w:style w:type="paragraph" w:styleId="Revision">
    <w:name w:val="Revision"/>
    <w:hidden/>
    <w:uiPriority w:val="99"/>
    <w:semiHidden/>
    <w:rsid w:val="00F87B09"/>
    <w:rPr>
      <w:sz w:val="24"/>
    </w:rPr>
  </w:style>
  <w:style w:type="character" w:styleId="UnresolvedMention">
    <w:name w:val="Unresolved Mention"/>
    <w:basedOn w:val="DefaultParagraphFont"/>
    <w:uiPriority w:val="99"/>
    <w:semiHidden/>
    <w:unhideWhenUsed/>
    <w:rsid w:val="005F500A"/>
    <w:rPr>
      <w:color w:val="605E5C"/>
      <w:shd w:val="clear" w:color="auto" w:fill="E1DFDD"/>
    </w:rPr>
  </w:style>
  <w:style w:type="character" w:styleId="FollowedHyperlink">
    <w:name w:val="FollowedHyperlink"/>
    <w:basedOn w:val="DefaultParagraphFont"/>
    <w:uiPriority w:val="99"/>
    <w:semiHidden/>
    <w:unhideWhenUsed/>
    <w:rsid w:val="00100C8E"/>
    <w:rPr>
      <w:color w:val="954F72" w:themeColor="followedHyperlink"/>
      <w:u w:val="single"/>
    </w:rPr>
  </w:style>
  <w:style w:type="character" w:customStyle="1" w:styleId="nounderlines">
    <w:name w:val="nounderlines"/>
    <w:basedOn w:val="DefaultParagraphFont"/>
    <w:rsid w:val="005F7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41278">
      <w:bodyDiv w:val="1"/>
      <w:marLeft w:val="0"/>
      <w:marRight w:val="0"/>
      <w:marTop w:val="0"/>
      <w:marBottom w:val="0"/>
      <w:divBdr>
        <w:top w:val="none" w:sz="0" w:space="0" w:color="auto"/>
        <w:left w:val="none" w:sz="0" w:space="0" w:color="auto"/>
        <w:bottom w:val="none" w:sz="0" w:space="0" w:color="auto"/>
        <w:right w:val="none" w:sz="0" w:space="0" w:color="auto"/>
      </w:divBdr>
    </w:div>
    <w:div w:id="209808218">
      <w:bodyDiv w:val="1"/>
      <w:marLeft w:val="0"/>
      <w:marRight w:val="0"/>
      <w:marTop w:val="0"/>
      <w:marBottom w:val="0"/>
      <w:divBdr>
        <w:top w:val="none" w:sz="0" w:space="0" w:color="auto"/>
        <w:left w:val="none" w:sz="0" w:space="0" w:color="auto"/>
        <w:bottom w:val="none" w:sz="0" w:space="0" w:color="auto"/>
        <w:right w:val="none" w:sz="0" w:space="0" w:color="auto"/>
      </w:divBdr>
    </w:div>
    <w:div w:id="472605751">
      <w:bodyDiv w:val="1"/>
      <w:marLeft w:val="0"/>
      <w:marRight w:val="0"/>
      <w:marTop w:val="0"/>
      <w:marBottom w:val="0"/>
      <w:divBdr>
        <w:top w:val="none" w:sz="0" w:space="0" w:color="auto"/>
        <w:left w:val="none" w:sz="0" w:space="0" w:color="auto"/>
        <w:bottom w:val="none" w:sz="0" w:space="0" w:color="auto"/>
        <w:right w:val="none" w:sz="0" w:space="0" w:color="auto"/>
      </w:divBdr>
    </w:div>
    <w:div w:id="475298583">
      <w:bodyDiv w:val="1"/>
      <w:marLeft w:val="0"/>
      <w:marRight w:val="0"/>
      <w:marTop w:val="0"/>
      <w:marBottom w:val="0"/>
      <w:divBdr>
        <w:top w:val="none" w:sz="0" w:space="0" w:color="auto"/>
        <w:left w:val="none" w:sz="0" w:space="0" w:color="auto"/>
        <w:bottom w:val="none" w:sz="0" w:space="0" w:color="auto"/>
        <w:right w:val="none" w:sz="0" w:space="0" w:color="auto"/>
      </w:divBdr>
    </w:div>
    <w:div w:id="601841317">
      <w:bodyDiv w:val="1"/>
      <w:marLeft w:val="0"/>
      <w:marRight w:val="0"/>
      <w:marTop w:val="0"/>
      <w:marBottom w:val="0"/>
      <w:divBdr>
        <w:top w:val="none" w:sz="0" w:space="0" w:color="auto"/>
        <w:left w:val="none" w:sz="0" w:space="0" w:color="auto"/>
        <w:bottom w:val="none" w:sz="0" w:space="0" w:color="auto"/>
        <w:right w:val="none" w:sz="0" w:space="0" w:color="auto"/>
      </w:divBdr>
    </w:div>
    <w:div w:id="645626267">
      <w:bodyDiv w:val="1"/>
      <w:marLeft w:val="0"/>
      <w:marRight w:val="0"/>
      <w:marTop w:val="0"/>
      <w:marBottom w:val="0"/>
      <w:divBdr>
        <w:top w:val="none" w:sz="0" w:space="0" w:color="auto"/>
        <w:left w:val="none" w:sz="0" w:space="0" w:color="auto"/>
        <w:bottom w:val="none" w:sz="0" w:space="0" w:color="auto"/>
        <w:right w:val="none" w:sz="0" w:space="0" w:color="auto"/>
      </w:divBdr>
    </w:div>
    <w:div w:id="676811966">
      <w:bodyDiv w:val="1"/>
      <w:marLeft w:val="0"/>
      <w:marRight w:val="0"/>
      <w:marTop w:val="0"/>
      <w:marBottom w:val="0"/>
      <w:divBdr>
        <w:top w:val="none" w:sz="0" w:space="0" w:color="auto"/>
        <w:left w:val="none" w:sz="0" w:space="0" w:color="auto"/>
        <w:bottom w:val="none" w:sz="0" w:space="0" w:color="auto"/>
        <w:right w:val="none" w:sz="0" w:space="0" w:color="auto"/>
      </w:divBdr>
    </w:div>
    <w:div w:id="967080940">
      <w:bodyDiv w:val="1"/>
      <w:marLeft w:val="0"/>
      <w:marRight w:val="0"/>
      <w:marTop w:val="0"/>
      <w:marBottom w:val="0"/>
      <w:divBdr>
        <w:top w:val="none" w:sz="0" w:space="0" w:color="auto"/>
        <w:left w:val="none" w:sz="0" w:space="0" w:color="auto"/>
        <w:bottom w:val="none" w:sz="0" w:space="0" w:color="auto"/>
        <w:right w:val="none" w:sz="0" w:space="0" w:color="auto"/>
      </w:divBdr>
    </w:div>
    <w:div w:id="1030303479">
      <w:bodyDiv w:val="1"/>
      <w:marLeft w:val="0"/>
      <w:marRight w:val="0"/>
      <w:marTop w:val="0"/>
      <w:marBottom w:val="0"/>
      <w:divBdr>
        <w:top w:val="none" w:sz="0" w:space="0" w:color="auto"/>
        <w:left w:val="none" w:sz="0" w:space="0" w:color="auto"/>
        <w:bottom w:val="none" w:sz="0" w:space="0" w:color="auto"/>
        <w:right w:val="none" w:sz="0" w:space="0" w:color="auto"/>
      </w:divBdr>
    </w:div>
    <w:div w:id="1037899869">
      <w:bodyDiv w:val="1"/>
      <w:marLeft w:val="0"/>
      <w:marRight w:val="0"/>
      <w:marTop w:val="0"/>
      <w:marBottom w:val="0"/>
      <w:divBdr>
        <w:top w:val="none" w:sz="0" w:space="0" w:color="auto"/>
        <w:left w:val="none" w:sz="0" w:space="0" w:color="auto"/>
        <w:bottom w:val="none" w:sz="0" w:space="0" w:color="auto"/>
        <w:right w:val="none" w:sz="0" w:space="0" w:color="auto"/>
      </w:divBdr>
    </w:div>
    <w:div w:id="1048185054">
      <w:bodyDiv w:val="1"/>
      <w:marLeft w:val="0"/>
      <w:marRight w:val="0"/>
      <w:marTop w:val="0"/>
      <w:marBottom w:val="0"/>
      <w:divBdr>
        <w:top w:val="none" w:sz="0" w:space="0" w:color="auto"/>
        <w:left w:val="none" w:sz="0" w:space="0" w:color="auto"/>
        <w:bottom w:val="none" w:sz="0" w:space="0" w:color="auto"/>
        <w:right w:val="none" w:sz="0" w:space="0" w:color="auto"/>
      </w:divBdr>
    </w:div>
    <w:div w:id="1063062134">
      <w:bodyDiv w:val="1"/>
      <w:marLeft w:val="0"/>
      <w:marRight w:val="0"/>
      <w:marTop w:val="0"/>
      <w:marBottom w:val="0"/>
      <w:divBdr>
        <w:top w:val="none" w:sz="0" w:space="0" w:color="auto"/>
        <w:left w:val="none" w:sz="0" w:space="0" w:color="auto"/>
        <w:bottom w:val="none" w:sz="0" w:space="0" w:color="auto"/>
        <w:right w:val="none" w:sz="0" w:space="0" w:color="auto"/>
      </w:divBdr>
    </w:div>
    <w:div w:id="1222718008">
      <w:bodyDiv w:val="1"/>
      <w:marLeft w:val="0"/>
      <w:marRight w:val="0"/>
      <w:marTop w:val="0"/>
      <w:marBottom w:val="0"/>
      <w:divBdr>
        <w:top w:val="none" w:sz="0" w:space="0" w:color="auto"/>
        <w:left w:val="none" w:sz="0" w:space="0" w:color="auto"/>
        <w:bottom w:val="none" w:sz="0" w:space="0" w:color="auto"/>
        <w:right w:val="none" w:sz="0" w:space="0" w:color="auto"/>
      </w:divBdr>
    </w:div>
    <w:div w:id="1379620404">
      <w:bodyDiv w:val="1"/>
      <w:marLeft w:val="0"/>
      <w:marRight w:val="0"/>
      <w:marTop w:val="0"/>
      <w:marBottom w:val="0"/>
      <w:divBdr>
        <w:top w:val="none" w:sz="0" w:space="0" w:color="auto"/>
        <w:left w:val="none" w:sz="0" w:space="0" w:color="auto"/>
        <w:bottom w:val="none" w:sz="0" w:space="0" w:color="auto"/>
        <w:right w:val="none" w:sz="0" w:space="0" w:color="auto"/>
      </w:divBdr>
    </w:div>
    <w:div w:id="1777408846">
      <w:bodyDiv w:val="1"/>
      <w:marLeft w:val="0"/>
      <w:marRight w:val="0"/>
      <w:marTop w:val="0"/>
      <w:marBottom w:val="0"/>
      <w:divBdr>
        <w:top w:val="none" w:sz="0" w:space="0" w:color="auto"/>
        <w:left w:val="none" w:sz="0" w:space="0" w:color="auto"/>
        <w:bottom w:val="none" w:sz="0" w:space="0" w:color="auto"/>
        <w:right w:val="none" w:sz="0" w:space="0" w:color="auto"/>
      </w:divBdr>
    </w:div>
    <w:div w:id="179728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edd.ca.gov/siteassets/files/jobs_and_training/pubs/wsd16-17.pdf" TargetMode="External"/><Relationship Id="rId26" Type="http://schemas.openxmlformats.org/officeDocument/2006/relationships/hyperlink" Target="https://www.dol.gov/agencies/eta/wioa/" TargetMode="External"/><Relationship Id="rId3" Type="http://schemas.openxmlformats.org/officeDocument/2006/relationships/customXml" Target="../customXml/item3.xml"/><Relationship Id="rId21" Type="http://schemas.openxmlformats.org/officeDocument/2006/relationships/hyperlink" Target="https://edd.ca.gov/en/Jobs_and_Training/Active_Directives" TargetMode="External"/><Relationship Id="rId34"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edd.ca.gov/siteassets/files/jobs_and_training/pubs/wsd23-03.pdf" TargetMode="External"/><Relationship Id="rId25" Type="http://schemas.openxmlformats.org/officeDocument/2006/relationships/hyperlink" Target="https://edd.ca.gov/en/Jobs_and_Training/Active_Directive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WSBSFP3@edd.ca.gov" TargetMode="External"/><Relationship Id="rId20" Type="http://schemas.openxmlformats.org/officeDocument/2006/relationships/hyperlink" Target="https://edd.ca.gov/en/Jobs_and_Training/Active_Directives" TargetMode="External"/><Relationship Id="rId29" Type="http://schemas.openxmlformats.org/officeDocument/2006/relationships/hyperlink" Target="https://www.caljobs.ca.gov/vosnet/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dd.ca.gov/en/Jobs_and_Training/Active_Directive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edd.ca.gov/en/Jobs_and_Training/Active_Directives" TargetMode="External"/><Relationship Id="rId28" Type="http://schemas.openxmlformats.org/officeDocument/2006/relationships/hyperlink" Target="https://edd.ca.gov/en/Jobs_and_Training/Active_Directives" TargetMode="External"/><Relationship Id="rId10" Type="http://schemas.openxmlformats.org/officeDocument/2006/relationships/endnotes" Target="endnotes.xml"/><Relationship Id="rId19" Type="http://schemas.openxmlformats.org/officeDocument/2006/relationships/hyperlink" Target="https://edd.ca.gov/en/Jobs_and_Training/Active_Directives"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edd.ca.gov/en/jobs_and_training/wdsfp_workforce_development_solicitations_for_proposals" TargetMode="External"/><Relationship Id="rId27" Type="http://schemas.openxmlformats.org/officeDocument/2006/relationships/hyperlink" Target="https://edd.ca.gov/en/Jobs_and_Training/Active_Directives" TargetMode="External"/><Relationship Id="rId30" Type="http://schemas.openxmlformats.org/officeDocument/2006/relationships/header" Target="head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75689A203CDA4CB3B5AF18CCC83AA0" ma:contentTypeVersion="33" ma:contentTypeDescription="Create a new document." ma:contentTypeScope="" ma:versionID="7b7912407f80cb3d26b59eb5b2e84162">
  <xsd:schema xmlns:xsd="http://www.w3.org/2001/XMLSchema" xmlns:xs="http://www.w3.org/2001/XMLSchema" xmlns:p="http://schemas.microsoft.com/office/2006/metadata/properties" xmlns:ns3="87723afd-882f-4d2a-a77d-9bd4bb59c539" targetNamespace="http://schemas.microsoft.com/office/2006/metadata/properties" ma:root="true" ma:fieldsID="4f176232f9988a5798cdc78d5182796a" ns3:_="">
    <xsd:import namespace="87723afd-882f-4d2a-a77d-9bd4bb59c539"/>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23afd-882f-4d2a-a77d-9bd4bb59c539"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68B5AE-C796-4A97-8A78-EF6AD6918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23afd-882f-4d2a-a77d-9bd4bb59c5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5D8BBD-2DCF-40F1-946C-4D7C304E1578}">
  <ds:schemaRefs>
    <ds:schemaRef ds:uri="http://schemas.microsoft.com/sharepoint/v3/contenttype/forms"/>
  </ds:schemaRefs>
</ds:datastoreItem>
</file>

<file path=customXml/itemProps3.xml><?xml version="1.0" encoding="utf-8"?>
<ds:datastoreItem xmlns:ds="http://schemas.openxmlformats.org/officeDocument/2006/customXml" ds:itemID="{B9EB95BF-8062-44FF-B4DB-3758EBE580F4}">
  <ds:schemaRefs>
    <ds:schemaRef ds:uri="http://schemas.openxmlformats.org/officeDocument/2006/bibliography"/>
  </ds:schemaRefs>
</ds:datastoreItem>
</file>

<file path=customXml/itemProps4.xml><?xml version="1.0" encoding="utf-8"?>
<ds:datastoreItem xmlns:ds="http://schemas.openxmlformats.org/officeDocument/2006/customXml" ds:itemID="{710ADBC4-D5A2-437F-94B5-BF32A94331C5}">
  <ds:schemaRefs>
    <ds:schemaRef ds:uri="http://purl.org/dc/dcmitype/"/>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87723afd-882f-4d2a-a77d-9bd4bb59c53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16</Pages>
  <Words>5802</Words>
  <Characters>33151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OYACPP PY 24-25 Q&amp;A</vt:lpstr>
    </vt:vector>
  </TitlesOfParts>
  <Manager/>
  <Company>Employment Development Department</Company>
  <LinksUpToDate>false</LinksUpToDate>
  <CharactersWithSpaces>38876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OYACPP PY 24-25 Q&amp;A</dc:title>
  <dc:subject/>
  <dc:creator>Workforce Services</dc:creator>
  <cp:keywords>SFP, grant funding</cp:keywords>
  <dc:description/>
  <cp:lastModifiedBy>Richardson, Jeffrey@EDD</cp:lastModifiedBy>
  <cp:revision>37</cp:revision>
  <cp:lastPrinted>2024-10-15T20:57:00Z</cp:lastPrinted>
  <dcterms:created xsi:type="dcterms:W3CDTF">2024-10-15T15:50:00Z</dcterms:created>
  <dcterms:modified xsi:type="dcterms:W3CDTF">2024-10-18T20:28:00Z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0x010100BE75689A203CDA4CB3B5AF18CCC83AA0</vt:lpwstr>
  </property>
  <property fmtid="{D5CDD505-2E9C-101B-9397-08002B2CF9AE}" pid="3" name="TaxKeywordTaxHTField">
    <vt:lpwstr>grant funding|24533338-b092-46de-9a94-240000df5e0b;SFP|450a614c-e2c0-40a1-8bc3-ae6ada1023fe</vt:lpwstr>
  </property>
  <property fmtid="{D5CDD505-2E9C-101B-9397-08002B2CF9AE}" pid="4" name="TaxKeyword">
    <vt:lpwstr>163;#grant funding|24533338-b092-46de-9a94-240000df5e0b;#162;#SFP|450a614c-e2c0-40a1-8bc3-ae6ada1023fe</vt:lpwstr>
  </property>
  <property fmtid="{D5CDD505-2E9C-101B-9397-08002B2CF9AE}" pid="5" name="TaxCatchAll">
    <vt:lpwstr>163;#grant funding;#162;#SFP</vt:lpwstr>
  </property>
  <property fmtid="{D5CDD505-2E9C-101B-9397-08002B2CF9AE}" pid="6" name="GrammarlyDocumentId">
    <vt:lpwstr>3c1f38d75282e33c93e7c2c407bf0bacfd88978368f5d098622faf167d0a367f</vt:lpwstr>
  </property>
</Properties>
</file>