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A623F" w14:textId="77777777" w:rsidR="00BB005D" w:rsidRDefault="00BB005D" w:rsidP="006A4442">
      <w:pPr>
        <w:pStyle w:val="Header"/>
        <w:cnfStyle w:val="101000000100" w:firstRow="1" w:lastRow="0" w:firstColumn="1" w:lastColumn="0" w:oddVBand="0" w:evenVBand="0" w:oddHBand="0" w:evenHBand="0" w:firstRowFirstColumn="1" w:firstRowLastColumn="0" w:lastRowFirstColumn="0" w:lastRowLastColumn="0"/>
      </w:pPr>
      <w:r w:rsidRPr="00C86589">
        <w:rPr>
          <w:noProof/>
        </w:rPr>
        <w:drawing>
          <wp:inline distT="0" distB="0" distL="0" distR="0" wp14:anchorId="6F5044CC" wp14:editId="765B43E7">
            <wp:extent cx="1641566" cy="594360"/>
            <wp:effectExtent l="0" t="0" r="0" b="0"/>
            <wp:docPr id="436725468" name="Picture 436725468" descr="EDD Employment Development Department State of California"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dnet/services/PA/MACS/EDD%20Logo%20BW.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3941" cy="595220"/>
                    </a:xfrm>
                    <a:prstGeom prst="rect">
                      <a:avLst/>
                    </a:prstGeom>
                    <a:noFill/>
                    <a:ln>
                      <a:noFill/>
                    </a:ln>
                  </pic:spPr>
                </pic:pic>
              </a:graphicData>
            </a:graphic>
          </wp:inline>
        </w:drawing>
      </w:r>
    </w:p>
    <w:p w14:paraId="0747D392" w14:textId="77777777" w:rsidR="00BB005D" w:rsidRPr="000959DC" w:rsidRDefault="00BB005D" w:rsidP="006A4442">
      <w:pPr>
        <w:pStyle w:val="Heading1"/>
        <w:cnfStyle w:val="100000000000" w:firstRow="1" w:lastRow="0" w:firstColumn="0" w:lastColumn="0" w:oddVBand="0" w:evenVBand="0" w:oddHBand="0" w:evenHBand="0" w:firstRowFirstColumn="0" w:firstRowLastColumn="0" w:lastRowFirstColumn="0" w:lastRowLastColumn="0"/>
        <w:rPr>
          <w:b w:val="0"/>
        </w:rPr>
      </w:pPr>
      <w:r>
        <w:t>Displaced oil and gas workers fund</w:t>
      </w:r>
    </w:p>
    <w:p w14:paraId="53D573C6" w14:textId="1067FBB1" w:rsidR="00BB005D" w:rsidRPr="00BB005D" w:rsidRDefault="00BB005D" w:rsidP="00BB005D">
      <w:pPr>
        <w:pStyle w:val="Heading1"/>
        <w:cnfStyle w:val="100000000000" w:firstRow="1" w:lastRow="0" w:firstColumn="0" w:lastColumn="0" w:oddVBand="0" w:evenVBand="0" w:oddHBand="0" w:evenHBand="0" w:firstRowFirstColumn="0" w:firstRowLastColumn="0" w:lastRowFirstColumn="0" w:lastRowLastColumn="0"/>
        <w:rPr>
          <w:lang w:val="en"/>
        </w:rPr>
        <w:sectPr w:rsidR="00BB005D" w:rsidRPr="00BB005D" w:rsidSect="00BB005D">
          <w:footerReference w:type="default" r:id="rId11"/>
          <w:footerReference w:type="first" r:id="rId12"/>
          <w:pgSz w:w="12240" w:h="15840"/>
          <w:pgMar w:top="1008" w:right="1008" w:bottom="1008" w:left="1008" w:header="720" w:footer="720" w:gutter="0"/>
          <w:cols w:num="2" w:space="144" w:equalWidth="0">
            <w:col w:w="2592" w:space="144"/>
            <w:col w:w="7488"/>
          </w:cols>
          <w:titlePg/>
          <w:docGrid w:linePitch="360"/>
        </w:sectPr>
      </w:pPr>
      <w:r w:rsidRPr="000959DC">
        <w:t>Evaluation</w:t>
      </w:r>
      <w:r>
        <w:t xml:space="preserve"> and </w:t>
      </w:r>
      <w:r>
        <w:t>T</w:t>
      </w:r>
      <w:r>
        <w:t xml:space="preserve">echnical </w:t>
      </w:r>
      <w:r>
        <w:t>A</w:t>
      </w:r>
      <w:r>
        <w:t>ssistance</w:t>
      </w:r>
      <w:r>
        <w:rPr>
          <w:bCs/>
          <w:caps/>
        </w:rPr>
        <w:t xml:space="preserve"> </w:t>
      </w:r>
      <w:r w:rsidRPr="00C246E9">
        <w:rPr>
          <w:lang w:val="en"/>
        </w:rPr>
        <w:t>P</w:t>
      </w:r>
      <w:r>
        <w:rPr>
          <w:lang w:val="en"/>
        </w:rPr>
        <w:t xml:space="preserve">rogram </w:t>
      </w:r>
      <w:r w:rsidRPr="00C246E9">
        <w:rPr>
          <w:lang w:val="en"/>
        </w:rPr>
        <w:t>Y</w:t>
      </w:r>
      <w:r>
        <w:rPr>
          <w:lang w:val="en"/>
        </w:rPr>
        <w:t>ear</w:t>
      </w:r>
      <w:r w:rsidRPr="00C246E9">
        <w:rPr>
          <w:lang w:val="en"/>
        </w:rPr>
        <w:t xml:space="preserve"> </w:t>
      </w:r>
      <w:r>
        <w:rPr>
          <w:lang w:val="en"/>
        </w:rPr>
        <w:t>2023-24</w:t>
      </w:r>
      <w:r>
        <w:rPr>
          <w:lang w:val="en"/>
        </w:rPr>
        <w:t xml:space="preserve"> Award List and Project Summaries</w:t>
      </w:r>
    </w:p>
    <w:p w14:paraId="795466F6" w14:textId="77777777" w:rsidR="00BB005D" w:rsidRPr="00BB005D" w:rsidRDefault="00BB005D" w:rsidP="00BB005D">
      <w:pPr>
        <w:pStyle w:val="Heading2"/>
        <w:pBdr>
          <w:bottom w:val="single" w:sz="4" w:space="1" w:color="auto"/>
        </w:pBdr>
        <w:rPr>
          <w:sz w:val="16"/>
          <w:szCs w:val="16"/>
        </w:rPr>
      </w:pPr>
    </w:p>
    <w:p w14:paraId="69682973" w14:textId="5DB8DD67" w:rsidR="00B617B8" w:rsidRPr="00BB005D" w:rsidRDefault="00B617B8" w:rsidP="00B617B8">
      <w:pPr>
        <w:pStyle w:val="Heading2"/>
        <w:rPr>
          <w:rFonts w:cstheme="minorHAnsi"/>
          <w:b w:val="0"/>
          <w:color w:val="auto"/>
          <w:sz w:val="24"/>
          <w:szCs w:val="24"/>
        </w:rPr>
      </w:pPr>
      <w:r w:rsidRPr="00BB005D">
        <w:rPr>
          <w:rFonts w:cstheme="minorHAnsi"/>
          <w:b w:val="0"/>
          <w:color w:val="auto"/>
          <w:sz w:val="24"/>
          <w:szCs w:val="24"/>
        </w:rPr>
        <w:t xml:space="preserve">On </w:t>
      </w:r>
      <w:r w:rsidR="00BB005D" w:rsidRPr="00BB005D">
        <w:rPr>
          <w:rFonts w:cstheme="minorHAnsi"/>
          <w:b w:val="0"/>
          <w:color w:val="auto"/>
          <w:sz w:val="24"/>
          <w:szCs w:val="24"/>
        </w:rPr>
        <w:t>October 22, 2024,</w:t>
      </w:r>
      <w:r w:rsidRPr="00BB005D">
        <w:rPr>
          <w:rFonts w:cstheme="minorHAnsi"/>
          <w:b w:val="0"/>
          <w:color w:val="auto"/>
          <w:sz w:val="24"/>
          <w:szCs w:val="24"/>
        </w:rPr>
        <w:t xml:space="preserve"> $</w:t>
      </w:r>
      <w:r w:rsidR="00A86BDE" w:rsidRPr="00BB005D">
        <w:rPr>
          <w:rFonts w:cstheme="minorHAnsi"/>
          <w:b w:val="0"/>
          <w:color w:val="auto"/>
          <w:sz w:val="24"/>
          <w:szCs w:val="24"/>
        </w:rPr>
        <w:t>999,764.76</w:t>
      </w:r>
      <w:r w:rsidRPr="00BB005D">
        <w:rPr>
          <w:rFonts w:cstheme="minorHAnsi"/>
          <w:b w:val="0"/>
          <w:color w:val="auto"/>
          <w:sz w:val="24"/>
          <w:szCs w:val="24"/>
        </w:rPr>
        <w:t xml:space="preserve"> f</w:t>
      </w:r>
      <w:r w:rsidR="002C35C8" w:rsidRPr="00BB005D">
        <w:rPr>
          <w:rFonts w:cstheme="minorHAnsi"/>
          <w:b w:val="0"/>
          <w:color w:val="auto"/>
          <w:sz w:val="24"/>
          <w:szCs w:val="24"/>
        </w:rPr>
        <w:t>rom</w:t>
      </w:r>
      <w:r w:rsidRPr="00BB005D">
        <w:rPr>
          <w:rFonts w:cstheme="minorHAnsi"/>
          <w:b w:val="0"/>
          <w:color w:val="auto"/>
          <w:sz w:val="24"/>
          <w:szCs w:val="24"/>
        </w:rPr>
        <w:t xml:space="preserve"> </w:t>
      </w:r>
      <w:r w:rsidR="0084049D" w:rsidRPr="00BB005D">
        <w:rPr>
          <w:rFonts w:cstheme="minorHAnsi"/>
          <w:b w:val="0"/>
          <w:color w:val="auto"/>
          <w:sz w:val="24"/>
          <w:szCs w:val="24"/>
        </w:rPr>
        <w:t xml:space="preserve">the </w:t>
      </w:r>
      <w:r w:rsidR="00BB005D" w:rsidRPr="00BB005D">
        <w:rPr>
          <w:rFonts w:cstheme="minorHAnsi"/>
          <w:b w:val="0"/>
          <w:color w:val="auto"/>
          <w:sz w:val="24"/>
          <w:szCs w:val="24"/>
        </w:rPr>
        <w:t>S</w:t>
      </w:r>
      <w:r w:rsidR="00F40AB7" w:rsidRPr="00BB005D">
        <w:rPr>
          <w:rFonts w:cstheme="minorHAnsi"/>
          <w:b w:val="0"/>
          <w:color w:val="auto"/>
          <w:sz w:val="24"/>
          <w:szCs w:val="24"/>
        </w:rPr>
        <w:t xml:space="preserve">tate of </w:t>
      </w:r>
      <w:r w:rsidR="000959DC" w:rsidRPr="00BB005D">
        <w:rPr>
          <w:rFonts w:cstheme="minorHAnsi"/>
          <w:b w:val="0"/>
          <w:color w:val="auto"/>
          <w:sz w:val="24"/>
          <w:szCs w:val="24"/>
        </w:rPr>
        <w:t>California</w:t>
      </w:r>
      <w:r w:rsidR="00BA7A5B" w:rsidRPr="00BB005D">
        <w:rPr>
          <w:rFonts w:cstheme="minorHAnsi"/>
          <w:b w:val="0"/>
          <w:color w:val="auto"/>
          <w:sz w:val="24"/>
          <w:szCs w:val="24"/>
        </w:rPr>
        <w:t>'</w:t>
      </w:r>
      <w:r w:rsidR="00F40AB7" w:rsidRPr="00BB005D">
        <w:rPr>
          <w:rFonts w:cstheme="minorHAnsi"/>
          <w:b w:val="0"/>
          <w:color w:val="auto"/>
          <w:sz w:val="24"/>
          <w:szCs w:val="24"/>
        </w:rPr>
        <w:t>s</w:t>
      </w:r>
      <w:r w:rsidR="000959DC" w:rsidRPr="00BB005D">
        <w:rPr>
          <w:rFonts w:cstheme="minorHAnsi"/>
          <w:b w:val="0"/>
          <w:color w:val="auto"/>
          <w:sz w:val="24"/>
          <w:szCs w:val="24"/>
        </w:rPr>
        <w:t xml:space="preserve"> general fund </w:t>
      </w:r>
      <w:r w:rsidRPr="00BB005D">
        <w:rPr>
          <w:rFonts w:cstheme="minorHAnsi"/>
          <w:b w:val="0"/>
          <w:color w:val="auto"/>
          <w:sz w:val="24"/>
          <w:szCs w:val="24"/>
        </w:rPr>
        <w:t>w</w:t>
      </w:r>
      <w:r w:rsidR="002C35C8" w:rsidRPr="00BB005D">
        <w:rPr>
          <w:rFonts w:cstheme="minorHAnsi"/>
          <w:b w:val="0"/>
          <w:color w:val="auto"/>
          <w:sz w:val="24"/>
          <w:szCs w:val="24"/>
        </w:rPr>
        <w:t>as</w:t>
      </w:r>
      <w:r w:rsidRPr="00BB005D">
        <w:rPr>
          <w:rFonts w:cstheme="minorHAnsi"/>
          <w:b w:val="0"/>
          <w:color w:val="auto"/>
          <w:sz w:val="24"/>
          <w:szCs w:val="24"/>
        </w:rPr>
        <w:t xml:space="preserve"> awarded to</w:t>
      </w:r>
      <w:r w:rsidR="004966B2" w:rsidRPr="00BB005D">
        <w:rPr>
          <w:rFonts w:cstheme="minorHAnsi"/>
          <w:b w:val="0"/>
          <w:color w:val="auto"/>
          <w:sz w:val="24"/>
          <w:szCs w:val="24"/>
        </w:rPr>
        <w:t xml:space="preserve"> one organization</w:t>
      </w:r>
      <w:r w:rsidRPr="00BB005D">
        <w:rPr>
          <w:rFonts w:cstheme="minorHAnsi"/>
          <w:b w:val="0"/>
          <w:color w:val="auto"/>
          <w:sz w:val="24"/>
          <w:szCs w:val="24"/>
        </w:rPr>
        <w:t xml:space="preserve"> under </w:t>
      </w:r>
      <w:r w:rsidR="007F1B33" w:rsidRPr="00BB005D">
        <w:rPr>
          <w:rFonts w:cstheme="minorHAnsi"/>
          <w:b w:val="0"/>
          <w:color w:val="auto"/>
          <w:sz w:val="24"/>
          <w:szCs w:val="24"/>
        </w:rPr>
        <w:t>the Displaced Oil and Gas Workers Fund (DOGWF)</w:t>
      </w:r>
      <w:r w:rsidR="00014880" w:rsidRPr="00BB005D">
        <w:rPr>
          <w:rFonts w:cstheme="minorHAnsi"/>
          <w:b w:val="0"/>
          <w:color w:val="auto"/>
          <w:sz w:val="24"/>
          <w:szCs w:val="24"/>
        </w:rPr>
        <w:t xml:space="preserve"> Program</w:t>
      </w:r>
      <w:r w:rsidR="007F1B33" w:rsidRPr="00BB005D">
        <w:rPr>
          <w:rFonts w:cstheme="minorHAnsi"/>
          <w:b w:val="0"/>
          <w:color w:val="auto"/>
          <w:sz w:val="24"/>
          <w:szCs w:val="24"/>
        </w:rPr>
        <w:t xml:space="preserve"> Evaluation and Technical Assistance (ETA)</w:t>
      </w:r>
      <w:r w:rsidR="000959DC" w:rsidRPr="00BB005D">
        <w:rPr>
          <w:rFonts w:cstheme="minorHAnsi"/>
          <w:b w:val="0"/>
          <w:color w:val="auto"/>
          <w:sz w:val="24"/>
          <w:szCs w:val="24"/>
        </w:rPr>
        <w:t xml:space="preserve"> </w:t>
      </w:r>
      <w:r w:rsidR="00014880" w:rsidRPr="00BB005D">
        <w:rPr>
          <w:rFonts w:cstheme="minorHAnsi"/>
          <w:b w:val="0"/>
          <w:color w:val="auto"/>
          <w:sz w:val="24"/>
          <w:szCs w:val="24"/>
        </w:rPr>
        <w:t xml:space="preserve">for </w:t>
      </w:r>
      <w:r w:rsidRPr="00BB005D">
        <w:rPr>
          <w:rFonts w:cstheme="minorHAnsi"/>
          <w:b w:val="0"/>
          <w:color w:val="auto"/>
          <w:sz w:val="24"/>
          <w:szCs w:val="24"/>
        </w:rPr>
        <w:t>Program Year 202</w:t>
      </w:r>
      <w:r w:rsidR="007F1B33" w:rsidRPr="00BB005D">
        <w:rPr>
          <w:rFonts w:cstheme="minorHAnsi"/>
          <w:b w:val="0"/>
          <w:color w:val="auto"/>
          <w:sz w:val="24"/>
          <w:szCs w:val="24"/>
        </w:rPr>
        <w:t>3</w:t>
      </w:r>
      <w:r w:rsidRPr="00BB005D">
        <w:rPr>
          <w:rFonts w:cstheme="minorHAnsi"/>
          <w:b w:val="0"/>
          <w:color w:val="auto"/>
          <w:sz w:val="24"/>
          <w:szCs w:val="24"/>
        </w:rPr>
        <w:t>-2</w:t>
      </w:r>
      <w:r w:rsidR="007F1B33" w:rsidRPr="00BB005D">
        <w:rPr>
          <w:rFonts w:cstheme="minorHAnsi"/>
          <w:b w:val="0"/>
          <w:color w:val="auto"/>
          <w:sz w:val="24"/>
          <w:szCs w:val="24"/>
        </w:rPr>
        <w:t>4</w:t>
      </w:r>
      <w:r w:rsidRPr="00BB005D">
        <w:rPr>
          <w:rFonts w:cstheme="minorHAnsi"/>
          <w:b w:val="0"/>
          <w:color w:val="auto"/>
          <w:sz w:val="24"/>
          <w:szCs w:val="24"/>
        </w:rPr>
        <w:t xml:space="preserve"> (PY 2</w:t>
      </w:r>
      <w:r w:rsidR="007F1B33" w:rsidRPr="00BB005D">
        <w:rPr>
          <w:rFonts w:cstheme="minorHAnsi"/>
          <w:b w:val="0"/>
          <w:color w:val="auto"/>
          <w:sz w:val="24"/>
          <w:szCs w:val="24"/>
        </w:rPr>
        <w:t>3</w:t>
      </w:r>
      <w:r w:rsidRPr="00BB005D">
        <w:rPr>
          <w:rFonts w:cstheme="minorHAnsi"/>
          <w:b w:val="0"/>
          <w:color w:val="auto"/>
          <w:sz w:val="24"/>
          <w:szCs w:val="24"/>
        </w:rPr>
        <w:t>-2</w:t>
      </w:r>
      <w:r w:rsidR="007F1B33" w:rsidRPr="00BB005D">
        <w:rPr>
          <w:rFonts w:cstheme="minorHAnsi"/>
          <w:b w:val="0"/>
          <w:color w:val="auto"/>
          <w:sz w:val="24"/>
          <w:szCs w:val="24"/>
        </w:rPr>
        <w:t>4</w:t>
      </w:r>
      <w:r w:rsidRPr="00BB005D">
        <w:rPr>
          <w:rFonts w:cstheme="minorHAnsi"/>
          <w:b w:val="0"/>
          <w:color w:val="auto"/>
          <w:sz w:val="24"/>
          <w:szCs w:val="24"/>
        </w:rPr>
        <w:t>) Solicitation for Proposals. The awardee and project summary are listed below. Funding decisions are final.</w:t>
      </w:r>
    </w:p>
    <w:p w14:paraId="2A7B1A58" w14:textId="687E4D65" w:rsidR="00C4619D" w:rsidRPr="00BB005D" w:rsidRDefault="007F1B33" w:rsidP="00B617B8">
      <w:pPr>
        <w:pStyle w:val="Heading2"/>
        <w:rPr>
          <w:rFonts w:cstheme="minorHAnsi"/>
          <w:sz w:val="28"/>
          <w:szCs w:val="28"/>
        </w:rPr>
      </w:pPr>
      <w:r w:rsidRPr="00BB005D">
        <w:rPr>
          <w:rFonts w:cstheme="minorHAnsi"/>
          <w:sz w:val="28"/>
          <w:szCs w:val="28"/>
        </w:rPr>
        <w:t>Award</w:t>
      </w:r>
      <w:r w:rsidR="00340557" w:rsidRPr="00BB005D">
        <w:rPr>
          <w:rFonts w:cstheme="minorHAnsi"/>
          <w:sz w:val="28"/>
          <w:szCs w:val="28"/>
        </w:rPr>
        <w:t xml:space="preserve"> List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980"/>
        <w:gridCol w:w="1980"/>
      </w:tblGrid>
      <w:tr w:rsidR="00F9480C" w:rsidRPr="00D9507B" w14:paraId="2A7B1A5C" w14:textId="77777777" w:rsidTr="0071078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9" w14:textId="68B4B750" w:rsidR="00F9480C" w:rsidRPr="00BB005D" w:rsidRDefault="00340557" w:rsidP="0094663B">
            <w:pPr>
              <w:pStyle w:val="Default"/>
              <w:rPr>
                <w:rFonts w:asciiTheme="minorHAnsi" w:hAnsiTheme="minorHAnsi" w:cstheme="minorHAnsi"/>
                <w:b/>
                <w:bCs/>
              </w:rPr>
            </w:pPr>
            <w:r w:rsidRPr="00BB005D">
              <w:rPr>
                <w:rFonts w:asciiTheme="minorHAnsi" w:hAnsiTheme="minorHAnsi" w:cstheme="minorHAnsi"/>
                <w:b/>
                <w:bCs/>
              </w:rPr>
              <w:t>Applicant Name</w:t>
            </w:r>
          </w:p>
        </w:tc>
        <w:tc>
          <w:tcPr>
            <w:tcW w:w="19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A" w14:textId="2D9E0AAA" w:rsidR="00F9480C" w:rsidRPr="00BB005D" w:rsidRDefault="00340557" w:rsidP="009A46BE">
            <w:pPr>
              <w:pStyle w:val="Default"/>
              <w:rPr>
                <w:rFonts w:asciiTheme="minorHAnsi" w:hAnsiTheme="minorHAnsi" w:cstheme="minorHAnsi"/>
                <w:b/>
                <w:bCs/>
              </w:rPr>
            </w:pPr>
            <w:r w:rsidRPr="00BB005D">
              <w:rPr>
                <w:rFonts w:asciiTheme="minorHAnsi" w:hAnsiTheme="minorHAnsi" w:cstheme="minorHAnsi"/>
                <w:b/>
                <w:bCs/>
              </w:rPr>
              <w:t>County</w:t>
            </w:r>
          </w:p>
        </w:tc>
        <w:tc>
          <w:tcPr>
            <w:tcW w:w="19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B" w14:textId="6C457329" w:rsidR="00F9480C" w:rsidRPr="00BB005D" w:rsidRDefault="00340557" w:rsidP="0094663B">
            <w:pPr>
              <w:pStyle w:val="Default"/>
              <w:jc w:val="right"/>
              <w:rPr>
                <w:rFonts w:asciiTheme="minorHAnsi" w:hAnsiTheme="minorHAnsi" w:cstheme="minorHAnsi"/>
                <w:b/>
              </w:rPr>
            </w:pPr>
            <w:r w:rsidRPr="00BB005D">
              <w:rPr>
                <w:rFonts w:asciiTheme="minorHAnsi" w:hAnsiTheme="minorHAnsi" w:cstheme="minorHAnsi"/>
                <w:b/>
              </w:rPr>
              <w:t>Award</w:t>
            </w:r>
          </w:p>
        </w:tc>
      </w:tr>
      <w:tr w:rsidR="00623BAB" w:rsidRPr="00D9507B" w14:paraId="2A7B1A60" w14:textId="77777777" w:rsidTr="00DC53B1">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2A7B1A5D" w14:textId="1AAA3815" w:rsidR="00623BAB" w:rsidRPr="00BB005D" w:rsidRDefault="00A86BDE" w:rsidP="00623BAB">
            <w:pPr>
              <w:pStyle w:val="Default"/>
              <w:rPr>
                <w:rFonts w:ascii="Calibri" w:hAnsi="Calibri" w:cs="Calibri"/>
                <w:bCs/>
              </w:rPr>
            </w:pPr>
            <w:r w:rsidRPr="00BB005D">
              <w:rPr>
                <w:rFonts w:ascii="Calibri" w:hAnsi="Calibri" w:cs="Calibri"/>
                <w:bCs/>
              </w:rPr>
              <w:t>Corporation for a Skilled Workforce</w:t>
            </w:r>
            <w:r w:rsidR="002C35C8" w:rsidRPr="00BB005D">
              <w:rPr>
                <w:rFonts w:ascii="Calibri" w:hAnsi="Calibri" w:cs="Calibri"/>
                <w:bCs/>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A7B1A5E" w14:textId="42DDBD59" w:rsidR="00623BAB" w:rsidRPr="00BB005D" w:rsidRDefault="002C35C8" w:rsidP="00623BAB">
            <w:pPr>
              <w:pStyle w:val="Default"/>
              <w:rPr>
                <w:rFonts w:ascii="Calibri" w:hAnsi="Calibri" w:cs="Calibri"/>
                <w:bCs/>
              </w:rPr>
            </w:pPr>
            <w:r w:rsidRPr="00BB005D">
              <w:rPr>
                <w:rFonts w:ascii="Calibri" w:hAnsi="Calibri" w:cs="Calibri"/>
                <w:bCs/>
              </w:rPr>
              <w:t>N/A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A7B1A5F" w14:textId="06C8689B" w:rsidR="00623BAB" w:rsidRPr="00BB005D" w:rsidRDefault="002C35C8" w:rsidP="00623BAB">
            <w:pPr>
              <w:pStyle w:val="Default"/>
              <w:jc w:val="right"/>
              <w:rPr>
                <w:rFonts w:asciiTheme="minorHAnsi" w:hAnsiTheme="minorHAnsi" w:cstheme="minorHAnsi"/>
              </w:rPr>
            </w:pPr>
            <w:r w:rsidRPr="00BB005D">
              <w:rPr>
                <w:rFonts w:asciiTheme="minorHAnsi" w:hAnsiTheme="minorHAnsi" w:cstheme="minorHAnsi"/>
              </w:rPr>
              <w:t>$</w:t>
            </w:r>
            <w:r w:rsidR="00A86BDE" w:rsidRPr="00BB005D">
              <w:rPr>
                <w:rFonts w:asciiTheme="minorHAnsi" w:hAnsiTheme="minorHAnsi" w:cstheme="minorHAnsi"/>
              </w:rPr>
              <w:t>999,764.76</w:t>
            </w:r>
          </w:p>
        </w:tc>
      </w:tr>
    </w:tbl>
    <w:p w14:paraId="38D2C807" w14:textId="77777777" w:rsidR="006D66AF" w:rsidRPr="00D9507B" w:rsidRDefault="006D66AF" w:rsidP="00C246E9">
      <w:pPr>
        <w:pStyle w:val="Heading2"/>
        <w:rPr>
          <w:rFonts w:cstheme="minorHAnsi"/>
        </w:rPr>
        <w:sectPr w:rsidR="006D66AF" w:rsidRPr="00D9507B" w:rsidSect="00BB005D">
          <w:type w:val="continuous"/>
          <w:pgSz w:w="12240" w:h="15840"/>
          <w:pgMar w:top="1008" w:right="1008" w:bottom="1008" w:left="1008" w:header="720" w:footer="720" w:gutter="0"/>
          <w:cols w:space="720"/>
          <w:titlePg/>
          <w:docGrid w:linePitch="360"/>
        </w:sect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4619D" w:rsidRPr="00D9507B" w14:paraId="2A7B1A6A" w14:textId="77777777" w:rsidTr="0071078A">
        <w:tc>
          <w:tcPr>
            <w:tcW w:w="9350" w:type="dxa"/>
          </w:tcPr>
          <w:p w14:paraId="2A7B1A69" w14:textId="77777777" w:rsidR="00C4619D" w:rsidRPr="00D9507B" w:rsidRDefault="0071078A" w:rsidP="00C246E9">
            <w:pPr>
              <w:pStyle w:val="Heading2"/>
              <w:rPr>
                <w:rFonts w:cstheme="minorHAnsi"/>
              </w:rPr>
            </w:pPr>
            <w:r w:rsidRPr="00BB005D">
              <w:rPr>
                <w:rFonts w:cstheme="minorHAnsi"/>
                <w:sz w:val="28"/>
                <w:szCs w:val="28"/>
              </w:rPr>
              <w:lastRenderedPageBreak/>
              <w:t>Project Summaries</w:t>
            </w:r>
          </w:p>
        </w:tc>
      </w:tr>
    </w:tbl>
    <w:p w14:paraId="576979A8" w14:textId="2F9C4C84" w:rsidR="00EF4E2D" w:rsidRPr="00D9507B" w:rsidRDefault="00EF4E2D" w:rsidP="00C4619D">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C4619D" w:rsidRPr="003942DF" w14:paraId="2A7B1A70" w14:textId="77777777" w:rsidTr="007538F6">
        <w:tc>
          <w:tcPr>
            <w:tcW w:w="1975" w:type="dxa"/>
          </w:tcPr>
          <w:p w14:paraId="2A7B1A6C" w14:textId="77777777" w:rsidR="00C4619D" w:rsidRPr="003942DF" w:rsidRDefault="00C4619D" w:rsidP="00B37BB7">
            <w:pPr>
              <w:rPr>
                <w:rFonts w:ascii="Calibri" w:hAnsi="Calibri" w:cs="Calibri"/>
                <w:b/>
                <w:sz w:val="24"/>
                <w:szCs w:val="24"/>
              </w:rPr>
            </w:pPr>
            <w:r w:rsidRPr="003942DF">
              <w:rPr>
                <w:rFonts w:ascii="Calibri" w:hAnsi="Calibri" w:cs="Calibri"/>
                <w:b/>
                <w:sz w:val="24"/>
                <w:szCs w:val="24"/>
              </w:rPr>
              <w:t>APPLICANT</w:t>
            </w:r>
          </w:p>
        </w:tc>
        <w:tc>
          <w:tcPr>
            <w:tcW w:w="7375" w:type="dxa"/>
          </w:tcPr>
          <w:p w14:paraId="3F7621E0" w14:textId="3CBA17C3" w:rsidR="00A465C4" w:rsidRPr="00A465C4" w:rsidRDefault="009E59C3" w:rsidP="007538F6">
            <w:pPr>
              <w:rPr>
                <w:rFonts w:ascii="Calibri" w:hAnsi="Calibri" w:cs="Calibri"/>
                <w:b/>
                <w:bCs/>
                <w:sz w:val="24"/>
                <w:szCs w:val="24"/>
              </w:rPr>
            </w:pPr>
            <w:r>
              <w:rPr>
                <w:rFonts w:ascii="Calibri" w:hAnsi="Calibri" w:cs="Calibri"/>
                <w:b/>
                <w:bCs/>
                <w:sz w:val="24"/>
                <w:szCs w:val="24"/>
              </w:rPr>
              <w:t>Corporation for a Skilled Workforce</w:t>
            </w:r>
          </w:p>
          <w:p w14:paraId="4BEE5B57" w14:textId="284C000B" w:rsidR="00B617B8" w:rsidRPr="00A465C4" w:rsidRDefault="009E59C3" w:rsidP="007538F6">
            <w:pPr>
              <w:rPr>
                <w:rFonts w:ascii="Calibri" w:hAnsi="Calibri" w:cs="Calibri"/>
                <w:sz w:val="24"/>
                <w:szCs w:val="24"/>
              </w:rPr>
            </w:pPr>
            <w:r>
              <w:rPr>
                <w:rFonts w:ascii="Calibri" w:hAnsi="Calibri" w:cs="Calibri"/>
                <w:sz w:val="24"/>
                <w:szCs w:val="24"/>
              </w:rPr>
              <w:t>10246 Crouse Road #17, PO Box 17</w:t>
            </w:r>
          </w:p>
          <w:p w14:paraId="7300AC84" w14:textId="5CAD97C0" w:rsidR="005E57E5" w:rsidRDefault="009E59C3" w:rsidP="00F7314C">
            <w:pPr>
              <w:rPr>
                <w:rFonts w:ascii="Calibri" w:hAnsi="Calibri" w:cs="Calibri"/>
                <w:sz w:val="24"/>
                <w:szCs w:val="24"/>
              </w:rPr>
            </w:pPr>
            <w:r>
              <w:rPr>
                <w:rFonts w:ascii="Calibri" w:hAnsi="Calibri" w:cs="Calibri"/>
                <w:sz w:val="24"/>
                <w:szCs w:val="24"/>
              </w:rPr>
              <w:t>Hartland, MI 48353</w:t>
            </w:r>
          </w:p>
          <w:p w14:paraId="2A7B1A6F" w14:textId="698A2029" w:rsidR="00B617B8" w:rsidRPr="003942DF" w:rsidRDefault="00B617B8" w:rsidP="00F7314C">
            <w:pPr>
              <w:rPr>
                <w:rFonts w:ascii="Calibri" w:hAnsi="Calibri" w:cs="Calibri"/>
                <w:sz w:val="24"/>
                <w:szCs w:val="24"/>
              </w:rPr>
            </w:pPr>
          </w:p>
        </w:tc>
      </w:tr>
      <w:tr w:rsidR="00C4619D" w:rsidRPr="003942DF" w14:paraId="2A7B1A76" w14:textId="77777777" w:rsidTr="007538F6">
        <w:tc>
          <w:tcPr>
            <w:tcW w:w="1975" w:type="dxa"/>
          </w:tcPr>
          <w:p w14:paraId="2A7B1A71" w14:textId="193C71E8" w:rsidR="00C4619D" w:rsidRPr="003942DF" w:rsidRDefault="00C4619D" w:rsidP="00B37BB7">
            <w:pPr>
              <w:rPr>
                <w:rFonts w:ascii="Calibri" w:hAnsi="Calibri" w:cs="Calibri"/>
                <w:b/>
                <w:sz w:val="24"/>
                <w:szCs w:val="24"/>
              </w:rPr>
            </w:pPr>
            <w:r w:rsidRPr="003942DF">
              <w:rPr>
                <w:rFonts w:ascii="Calibri" w:hAnsi="Calibri" w:cs="Calibri"/>
                <w:b/>
                <w:sz w:val="24"/>
                <w:szCs w:val="24"/>
              </w:rPr>
              <w:t>CONTACT</w:t>
            </w:r>
          </w:p>
        </w:tc>
        <w:tc>
          <w:tcPr>
            <w:tcW w:w="7375" w:type="dxa"/>
          </w:tcPr>
          <w:p w14:paraId="328DD203" w14:textId="72F14BA7" w:rsidR="00B617B8" w:rsidRPr="00BB005D" w:rsidRDefault="009E59C3" w:rsidP="004E109F">
            <w:pPr>
              <w:rPr>
                <w:rFonts w:ascii="Calibri" w:eastAsia="Calibri" w:hAnsi="Calibri" w:cs="Calibri"/>
                <w:bCs/>
                <w:noProof/>
                <w:sz w:val="24"/>
                <w:szCs w:val="24"/>
              </w:rPr>
            </w:pPr>
            <w:r w:rsidRPr="00BB005D">
              <w:rPr>
                <w:rFonts w:ascii="Calibri" w:eastAsia="Calibri" w:hAnsi="Calibri" w:cs="Calibri"/>
                <w:bCs/>
                <w:noProof/>
                <w:sz w:val="24"/>
                <w:szCs w:val="24"/>
              </w:rPr>
              <w:t>Amy Wallace</w:t>
            </w:r>
          </w:p>
          <w:p w14:paraId="1444993D" w14:textId="7DF5B098" w:rsidR="00B617B8" w:rsidRPr="00BB005D" w:rsidRDefault="006D7BE4" w:rsidP="004E109F">
            <w:pPr>
              <w:rPr>
                <w:rFonts w:ascii="Calibri" w:eastAsia="Calibri" w:hAnsi="Calibri" w:cs="Calibri"/>
                <w:sz w:val="24"/>
                <w:szCs w:val="24"/>
              </w:rPr>
            </w:pPr>
            <w:r w:rsidRPr="00BB005D">
              <w:rPr>
                <w:rFonts w:ascii="Calibri" w:eastAsia="Calibri" w:hAnsi="Calibri" w:cs="Calibri"/>
                <w:sz w:val="24"/>
                <w:szCs w:val="24"/>
              </w:rPr>
              <w:t>1-</w:t>
            </w:r>
            <w:r w:rsidR="009E59C3" w:rsidRPr="00BB005D">
              <w:rPr>
                <w:rFonts w:ascii="Calibri" w:eastAsia="Calibri" w:hAnsi="Calibri" w:cs="Calibri"/>
                <w:sz w:val="24"/>
                <w:szCs w:val="24"/>
              </w:rPr>
              <w:t>734-769-2900</w:t>
            </w:r>
          </w:p>
          <w:p w14:paraId="68458A02" w14:textId="0445F00C" w:rsidR="00826C66" w:rsidRPr="00BB005D" w:rsidRDefault="00BB005D" w:rsidP="007538F6">
            <w:pPr>
              <w:rPr>
                <w:sz w:val="24"/>
                <w:szCs w:val="24"/>
              </w:rPr>
            </w:pPr>
            <w:hyperlink r:id="rId13" w:history="1">
              <w:r w:rsidR="009E59C3" w:rsidRPr="00BB005D">
                <w:rPr>
                  <w:rStyle w:val="Hyperlink"/>
                  <w:sz w:val="24"/>
                  <w:szCs w:val="24"/>
                  <w:u w:val="none"/>
                </w:rPr>
                <w:t>awallace@skilledwork.org</w:t>
              </w:r>
            </w:hyperlink>
          </w:p>
          <w:p w14:paraId="2A7B1A75" w14:textId="08E22F84" w:rsidR="00B617B8" w:rsidRPr="003942DF" w:rsidRDefault="00B617B8" w:rsidP="007538F6">
            <w:pPr>
              <w:rPr>
                <w:rFonts w:ascii="Calibri" w:hAnsi="Calibri" w:cs="Calibri"/>
                <w:sz w:val="24"/>
                <w:szCs w:val="24"/>
              </w:rPr>
            </w:pPr>
          </w:p>
        </w:tc>
      </w:tr>
      <w:tr w:rsidR="00C4619D" w:rsidRPr="003942DF" w14:paraId="2A7B1A79" w14:textId="77777777" w:rsidTr="007538F6">
        <w:trPr>
          <w:trHeight w:val="432"/>
        </w:trPr>
        <w:tc>
          <w:tcPr>
            <w:tcW w:w="1975" w:type="dxa"/>
          </w:tcPr>
          <w:p w14:paraId="2A7B1A77" w14:textId="77777777" w:rsidR="00C4619D" w:rsidRPr="003942DF" w:rsidRDefault="00C4619D" w:rsidP="00B37BB7">
            <w:pPr>
              <w:rPr>
                <w:rFonts w:ascii="Calibri" w:hAnsi="Calibri" w:cs="Calibri"/>
                <w:b/>
                <w:sz w:val="24"/>
                <w:szCs w:val="24"/>
              </w:rPr>
            </w:pPr>
            <w:r w:rsidRPr="003942DF">
              <w:rPr>
                <w:rFonts w:ascii="Calibri" w:hAnsi="Calibri" w:cs="Calibri"/>
                <w:b/>
                <w:sz w:val="24"/>
                <w:szCs w:val="24"/>
              </w:rPr>
              <w:t>AWARD</w:t>
            </w:r>
          </w:p>
        </w:tc>
        <w:tc>
          <w:tcPr>
            <w:tcW w:w="7375" w:type="dxa"/>
          </w:tcPr>
          <w:p w14:paraId="2A7B1A78" w14:textId="0E5427AB" w:rsidR="00C4619D" w:rsidRPr="003942DF" w:rsidRDefault="00A92296" w:rsidP="00775A64">
            <w:pPr>
              <w:rPr>
                <w:rFonts w:ascii="Calibri" w:hAnsi="Calibri" w:cs="Calibri"/>
                <w:sz w:val="24"/>
                <w:szCs w:val="24"/>
              </w:rPr>
            </w:pPr>
            <w:r w:rsidRPr="00A92296">
              <w:rPr>
                <w:rFonts w:ascii="Calibri" w:hAnsi="Calibri" w:cs="Calibri"/>
                <w:sz w:val="24"/>
                <w:szCs w:val="24"/>
              </w:rPr>
              <w:t>$</w:t>
            </w:r>
            <w:r w:rsidR="009E59C3">
              <w:rPr>
                <w:rFonts w:ascii="Calibri" w:hAnsi="Calibri" w:cs="Calibri"/>
                <w:sz w:val="24"/>
                <w:szCs w:val="24"/>
              </w:rPr>
              <w:t>999,764.76</w:t>
            </w:r>
          </w:p>
        </w:tc>
      </w:tr>
      <w:tr w:rsidR="00C4619D" w:rsidRPr="003942DF" w14:paraId="2A7B1A7C" w14:textId="77777777" w:rsidTr="007538F6">
        <w:trPr>
          <w:trHeight w:val="567"/>
        </w:trPr>
        <w:tc>
          <w:tcPr>
            <w:tcW w:w="1975" w:type="dxa"/>
          </w:tcPr>
          <w:p w14:paraId="2A7B1A7A" w14:textId="370A1F27" w:rsidR="000C1656" w:rsidRPr="003942DF" w:rsidRDefault="000C1656" w:rsidP="00B37BB7">
            <w:pPr>
              <w:rPr>
                <w:rFonts w:ascii="Calibri" w:hAnsi="Calibri" w:cs="Calibri"/>
                <w:b/>
                <w:sz w:val="24"/>
                <w:szCs w:val="24"/>
              </w:rPr>
            </w:pPr>
            <w:r>
              <w:rPr>
                <w:rFonts w:ascii="Calibri" w:hAnsi="Calibri" w:cs="Calibri"/>
                <w:b/>
                <w:sz w:val="24"/>
                <w:szCs w:val="24"/>
              </w:rPr>
              <w:t>COUNTIES TO BE SERVED</w:t>
            </w:r>
          </w:p>
        </w:tc>
        <w:tc>
          <w:tcPr>
            <w:tcW w:w="7375" w:type="dxa"/>
          </w:tcPr>
          <w:p w14:paraId="2A7B1A7B" w14:textId="0228BDF2" w:rsidR="00C4619D" w:rsidRPr="003942DF" w:rsidRDefault="00F40AB7" w:rsidP="004F2406">
            <w:pPr>
              <w:rPr>
                <w:rFonts w:ascii="Calibri" w:hAnsi="Calibri" w:cs="Calibri"/>
                <w:sz w:val="24"/>
                <w:szCs w:val="24"/>
              </w:rPr>
            </w:pPr>
            <w:r>
              <w:rPr>
                <w:rFonts w:ascii="Calibri" w:hAnsi="Calibri" w:cs="Calibri"/>
                <w:sz w:val="24"/>
                <w:szCs w:val="24"/>
              </w:rPr>
              <w:t>N/A</w:t>
            </w:r>
          </w:p>
        </w:tc>
      </w:tr>
      <w:tr w:rsidR="00C4619D" w:rsidRPr="003942DF" w14:paraId="2A7B1A81" w14:textId="77777777" w:rsidTr="007538F6">
        <w:tc>
          <w:tcPr>
            <w:tcW w:w="1975" w:type="dxa"/>
          </w:tcPr>
          <w:p w14:paraId="2A7B1A7E" w14:textId="77777777" w:rsidR="007538F6" w:rsidRPr="003942DF" w:rsidRDefault="007538F6" w:rsidP="00B37BB7">
            <w:pPr>
              <w:rPr>
                <w:rFonts w:ascii="Calibri" w:hAnsi="Calibri" w:cs="Calibri"/>
                <w:b/>
                <w:sz w:val="24"/>
                <w:szCs w:val="24"/>
              </w:rPr>
            </w:pPr>
          </w:p>
        </w:tc>
        <w:tc>
          <w:tcPr>
            <w:tcW w:w="7375" w:type="dxa"/>
          </w:tcPr>
          <w:p w14:paraId="2A7B1A80" w14:textId="4799BC72" w:rsidR="007538F6" w:rsidRPr="003942DF" w:rsidRDefault="007538F6" w:rsidP="007538F6">
            <w:pPr>
              <w:rPr>
                <w:rFonts w:ascii="Calibri" w:hAnsi="Calibri" w:cs="Calibri"/>
                <w:sz w:val="24"/>
                <w:szCs w:val="24"/>
              </w:rPr>
            </w:pPr>
          </w:p>
        </w:tc>
      </w:tr>
      <w:tr w:rsidR="003D7D22" w:rsidRPr="003942DF" w14:paraId="2A7B1A85" w14:textId="77777777" w:rsidTr="000959DC">
        <w:trPr>
          <w:trHeight w:val="603"/>
        </w:trPr>
        <w:tc>
          <w:tcPr>
            <w:tcW w:w="1975" w:type="dxa"/>
          </w:tcPr>
          <w:p w14:paraId="67A54BAD" w14:textId="6C503A20" w:rsidR="003D7D22" w:rsidRDefault="003D7D22" w:rsidP="003D7D22">
            <w:pPr>
              <w:rPr>
                <w:rFonts w:ascii="Calibri" w:hAnsi="Calibri" w:cs="Calibri"/>
                <w:b/>
                <w:sz w:val="24"/>
                <w:szCs w:val="24"/>
              </w:rPr>
            </w:pPr>
            <w:r>
              <w:rPr>
                <w:rFonts w:ascii="Calibri" w:hAnsi="Calibri" w:cs="Calibri"/>
                <w:b/>
                <w:sz w:val="24"/>
                <w:szCs w:val="24"/>
              </w:rPr>
              <w:t>TARGETED POPULATION EXPERTISE</w:t>
            </w:r>
          </w:p>
          <w:p w14:paraId="2A7B1A82" w14:textId="4D7B9C30" w:rsidR="003D7D22" w:rsidRPr="003942DF" w:rsidRDefault="003D7D22" w:rsidP="003D7D22">
            <w:pPr>
              <w:rPr>
                <w:rFonts w:ascii="Calibri" w:hAnsi="Calibri" w:cs="Calibri"/>
                <w:b/>
                <w:sz w:val="24"/>
                <w:szCs w:val="24"/>
              </w:rPr>
            </w:pPr>
          </w:p>
        </w:tc>
        <w:tc>
          <w:tcPr>
            <w:tcW w:w="7375" w:type="dxa"/>
          </w:tcPr>
          <w:p w14:paraId="538D21EA" w14:textId="7B70582B" w:rsidR="003D7D22" w:rsidRDefault="003D7D22" w:rsidP="003D7D22">
            <w:pPr>
              <w:widowControl w:val="0"/>
              <w:autoSpaceDE w:val="0"/>
              <w:autoSpaceDN w:val="0"/>
              <w:adjustRightInd w:val="0"/>
              <w:contextualSpacing/>
              <w:rPr>
                <w:rFonts w:ascii="Calibri" w:eastAsia="Calibri" w:hAnsi="Calibri" w:cs="Calibri"/>
                <w:sz w:val="24"/>
                <w:szCs w:val="24"/>
              </w:rPr>
            </w:pPr>
            <w:r w:rsidRPr="003D7D22">
              <w:rPr>
                <w:rFonts w:ascii="Calibri" w:eastAsia="Calibri" w:hAnsi="Calibri" w:cs="Calibri"/>
                <w:sz w:val="24"/>
                <w:szCs w:val="24"/>
              </w:rPr>
              <w:t xml:space="preserve">Corporation for a Skilled Workforce (CSW) has experience providing comprehensive program improvement services across federal, state, and local levels. </w:t>
            </w:r>
            <w:r>
              <w:rPr>
                <w:rFonts w:ascii="Calibri" w:eastAsia="Calibri" w:hAnsi="Calibri" w:cs="Calibri"/>
                <w:sz w:val="24"/>
                <w:szCs w:val="24"/>
              </w:rPr>
              <w:t>They</w:t>
            </w:r>
            <w:r w:rsidRPr="003D7D22">
              <w:rPr>
                <w:rFonts w:ascii="Calibri" w:eastAsia="Calibri" w:hAnsi="Calibri" w:cs="Calibri"/>
                <w:sz w:val="24"/>
                <w:szCs w:val="24"/>
              </w:rPr>
              <w:t xml:space="preserve"> have delivered impactful solutions in diverse industries, including oil and gas technical assistance</w:t>
            </w:r>
            <w:r w:rsidR="005A7281">
              <w:rPr>
                <w:rFonts w:ascii="Calibri" w:eastAsia="Calibri" w:hAnsi="Calibri" w:cs="Calibri"/>
                <w:sz w:val="24"/>
                <w:szCs w:val="24"/>
              </w:rPr>
              <w:t xml:space="preserve"> (TA)</w:t>
            </w:r>
            <w:r w:rsidRPr="003D7D22">
              <w:rPr>
                <w:rFonts w:ascii="Calibri" w:eastAsia="Calibri" w:hAnsi="Calibri" w:cs="Calibri"/>
                <w:sz w:val="24"/>
                <w:szCs w:val="24"/>
              </w:rPr>
              <w:t xml:space="preserve"> in Alaska and occupational analysis in Texas. Furthermore, CSW has a proven track record supporting large-scale initiatives like the </w:t>
            </w:r>
            <w:r w:rsidRPr="003D7D22">
              <w:rPr>
                <w:rFonts w:ascii="Calibri" w:eastAsiaTheme="majorEastAsia" w:hAnsi="Calibri" w:cs="Calibri"/>
                <w:sz w:val="24"/>
                <w:szCs w:val="24"/>
              </w:rPr>
              <w:t xml:space="preserve">American Recovery and Reinvestment Act </w:t>
            </w:r>
            <w:r w:rsidRPr="003D7D22">
              <w:rPr>
                <w:rFonts w:ascii="Calibri" w:eastAsia="Calibri" w:hAnsi="Calibri" w:cs="Calibri"/>
                <w:sz w:val="24"/>
                <w:szCs w:val="24"/>
              </w:rPr>
              <w:t xml:space="preserve">program, Workforce Benchmarking Network, and the American Apprenticeship Initiative, demonstrating </w:t>
            </w:r>
            <w:r>
              <w:rPr>
                <w:rFonts w:ascii="Calibri" w:eastAsia="Calibri" w:hAnsi="Calibri" w:cs="Calibri"/>
                <w:sz w:val="24"/>
                <w:szCs w:val="24"/>
              </w:rPr>
              <w:t>their</w:t>
            </w:r>
            <w:r w:rsidRPr="003D7D22">
              <w:rPr>
                <w:rFonts w:ascii="Calibri" w:eastAsia="Calibri" w:hAnsi="Calibri" w:cs="Calibri"/>
                <w:sz w:val="24"/>
                <w:szCs w:val="24"/>
              </w:rPr>
              <w:t xml:space="preserve"> ability to deliver effective </w:t>
            </w:r>
            <w:r w:rsidR="00741850">
              <w:rPr>
                <w:rFonts w:ascii="Calibri" w:eastAsia="Calibri" w:hAnsi="Calibri" w:cs="Calibri"/>
                <w:sz w:val="24"/>
                <w:szCs w:val="24"/>
              </w:rPr>
              <w:t>TA</w:t>
            </w:r>
            <w:r w:rsidRPr="003D7D22">
              <w:rPr>
                <w:rFonts w:ascii="Calibri" w:eastAsia="Calibri" w:hAnsi="Calibri" w:cs="Calibri"/>
                <w:sz w:val="24"/>
                <w:szCs w:val="24"/>
              </w:rPr>
              <w:t xml:space="preserve"> across a wide range of contexts. </w:t>
            </w:r>
          </w:p>
          <w:p w14:paraId="2A7B1A84" w14:textId="2EA0DC64" w:rsidR="003D7D22" w:rsidRPr="003D7D22" w:rsidRDefault="003D7D22" w:rsidP="003D7D22">
            <w:pPr>
              <w:widowControl w:val="0"/>
              <w:autoSpaceDE w:val="0"/>
              <w:autoSpaceDN w:val="0"/>
              <w:adjustRightInd w:val="0"/>
              <w:contextualSpacing/>
              <w:rPr>
                <w:rFonts w:ascii="Calibri" w:hAnsi="Calibri" w:cs="Calibri"/>
                <w:sz w:val="24"/>
                <w:szCs w:val="24"/>
              </w:rPr>
            </w:pPr>
          </w:p>
        </w:tc>
      </w:tr>
      <w:tr w:rsidR="003D7D22" w:rsidRPr="003942DF" w14:paraId="2A7B1A8D" w14:textId="77777777" w:rsidTr="005D0481">
        <w:trPr>
          <w:trHeight w:val="61"/>
        </w:trPr>
        <w:tc>
          <w:tcPr>
            <w:tcW w:w="1975" w:type="dxa"/>
          </w:tcPr>
          <w:p w14:paraId="3C3C1F25" w14:textId="504407E7" w:rsidR="003D7D22" w:rsidRDefault="003D7D22" w:rsidP="003D7D22">
            <w:pPr>
              <w:rPr>
                <w:rFonts w:ascii="Calibri" w:hAnsi="Calibri" w:cs="Calibri"/>
                <w:b/>
                <w:sz w:val="24"/>
                <w:szCs w:val="24"/>
              </w:rPr>
            </w:pPr>
            <w:r>
              <w:rPr>
                <w:rFonts w:ascii="Calibri" w:hAnsi="Calibri" w:cs="Calibri"/>
                <w:b/>
                <w:sz w:val="24"/>
                <w:szCs w:val="24"/>
              </w:rPr>
              <w:t>KEY PARTNERS</w:t>
            </w:r>
          </w:p>
          <w:p w14:paraId="7BB619FF" w14:textId="77777777" w:rsidR="003D7D22" w:rsidRDefault="003D7D22" w:rsidP="003D7D22">
            <w:pPr>
              <w:rPr>
                <w:rFonts w:ascii="Calibri" w:hAnsi="Calibri" w:cs="Calibri"/>
                <w:b/>
                <w:sz w:val="24"/>
                <w:szCs w:val="24"/>
              </w:rPr>
            </w:pPr>
          </w:p>
          <w:p w14:paraId="67CCEADA" w14:textId="77777777" w:rsidR="003D7D22" w:rsidRDefault="003D7D22" w:rsidP="003D7D22">
            <w:pPr>
              <w:rPr>
                <w:rFonts w:ascii="Calibri" w:hAnsi="Calibri" w:cs="Calibri"/>
                <w:b/>
                <w:sz w:val="24"/>
                <w:szCs w:val="24"/>
              </w:rPr>
            </w:pPr>
          </w:p>
          <w:p w14:paraId="20845630" w14:textId="77777777" w:rsidR="003D7D22" w:rsidRDefault="003D7D22" w:rsidP="003D7D22">
            <w:pPr>
              <w:rPr>
                <w:rFonts w:ascii="Calibri" w:hAnsi="Calibri" w:cs="Calibri"/>
                <w:b/>
                <w:sz w:val="24"/>
                <w:szCs w:val="24"/>
              </w:rPr>
            </w:pPr>
          </w:p>
          <w:p w14:paraId="4AD25ABD" w14:textId="77777777" w:rsidR="003D7D22" w:rsidRDefault="003D7D22" w:rsidP="003D7D22">
            <w:pPr>
              <w:rPr>
                <w:rFonts w:ascii="Calibri" w:hAnsi="Calibri" w:cs="Calibri"/>
                <w:b/>
                <w:sz w:val="24"/>
                <w:szCs w:val="24"/>
              </w:rPr>
            </w:pPr>
          </w:p>
          <w:p w14:paraId="49626D36" w14:textId="77777777" w:rsidR="003D7D22" w:rsidRDefault="003D7D22" w:rsidP="003D7D22">
            <w:pPr>
              <w:rPr>
                <w:rFonts w:ascii="Calibri" w:hAnsi="Calibri" w:cs="Calibri"/>
                <w:b/>
                <w:sz w:val="24"/>
                <w:szCs w:val="24"/>
              </w:rPr>
            </w:pPr>
          </w:p>
          <w:p w14:paraId="2AB9223D" w14:textId="77777777" w:rsidR="003D7D22" w:rsidRDefault="003D7D22" w:rsidP="003D7D22">
            <w:pPr>
              <w:rPr>
                <w:rFonts w:ascii="Calibri" w:hAnsi="Calibri" w:cs="Calibri"/>
                <w:b/>
                <w:sz w:val="24"/>
                <w:szCs w:val="24"/>
              </w:rPr>
            </w:pPr>
          </w:p>
          <w:p w14:paraId="4B5C5EE2" w14:textId="77777777" w:rsidR="003D7D22" w:rsidRDefault="003D7D22" w:rsidP="003D7D22">
            <w:pPr>
              <w:rPr>
                <w:rFonts w:ascii="Calibri" w:hAnsi="Calibri" w:cs="Calibri"/>
                <w:b/>
                <w:sz w:val="24"/>
                <w:szCs w:val="24"/>
              </w:rPr>
            </w:pPr>
          </w:p>
          <w:p w14:paraId="66FA9258" w14:textId="77777777" w:rsidR="003D7D22" w:rsidRDefault="003D7D22" w:rsidP="003D7D22">
            <w:pPr>
              <w:rPr>
                <w:rFonts w:ascii="Calibri" w:hAnsi="Calibri" w:cs="Calibri"/>
                <w:b/>
                <w:sz w:val="24"/>
                <w:szCs w:val="24"/>
              </w:rPr>
            </w:pPr>
          </w:p>
          <w:p w14:paraId="0092280A" w14:textId="77777777" w:rsidR="003D7D22" w:rsidRDefault="003D7D22" w:rsidP="003D7D22">
            <w:pPr>
              <w:rPr>
                <w:rFonts w:ascii="Calibri" w:hAnsi="Calibri" w:cs="Calibri"/>
                <w:b/>
                <w:sz w:val="24"/>
                <w:szCs w:val="24"/>
              </w:rPr>
            </w:pPr>
          </w:p>
          <w:p w14:paraId="37F3B152" w14:textId="77777777" w:rsidR="005A7281" w:rsidRDefault="005A7281" w:rsidP="003D7D22">
            <w:pPr>
              <w:rPr>
                <w:rFonts w:ascii="Calibri" w:hAnsi="Calibri" w:cs="Calibri"/>
                <w:b/>
                <w:sz w:val="24"/>
                <w:szCs w:val="24"/>
              </w:rPr>
            </w:pPr>
          </w:p>
          <w:p w14:paraId="1B71905A" w14:textId="0DD177F5" w:rsidR="003D7D22" w:rsidRDefault="003D7D22" w:rsidP="003D7D22">
            <w:pPr>
              <w:rPr>
                <w:rFonts w:ascii="Calibri" w:hAnsi="Calibri" w:cs="Calibri"/>
                <w:b/>
                <w:sz w:val="24"/>
                <w:szCs w:val="24"/>
              </w:rPr>
            </w:pPr>
            <w:r>
              <w:rPr>
                <w:rFonts w:ascii="Calibri" w:hAnsi="Calibri" w:cs="Calibri"/>
                <w:b/>
                <w:sz w:val="24"/>
                <w:szCs w:val="24"/>
              </w:rPr>
              <w:t>PROJECT DESCRIPTION</w:t>
            </w:r>
          </w:p>
          <w:p w14:paraId="3A658939" w14:textId="77777777" w:rsidR="003D7D22" w:rsidRDefault="003D7D22" w:rsidP="003D7D22">
            <w:pPr>
              <w:rPr>
                <w:rFonts w:ascii="Calibri" w:hAnsi="Calibri" w:cs="Calibri"/>
                <w:b/>
                <w:sz w:val="24"/>
                <w:szCs w:val="24"/>
              </w:rPr>
            </w:pPr>
          </w:p>
          <w:p w14:paraId="7821FA75" w14:textId="77777777" w:rsidR="005D0481" w:rsidRDefault="005D0481" w:rsidP="003D7D22">
            <w:pPr>
              <w:rPr>
                <w:rFonts w:ascii="Calibri" w:hAnsi="Calibri" w:cs="Calibri"/>
                <w:b/>
                <w:sz w:val="24"/>
                <w:szCs w:val="24"/>
              </w:rPr>
            </w:pPr>
          </w:p>
          <w:p w14:paraId="6D01D43D" w14:textId="77777777" w:rsidR="005D0481" w:rsidRDefault="005D0481" w:rsidP="003D7D22">
            <w:pPr>
              <w:rPr>
                <w:rFonts w:ascii="Calibri" w:hAnsi="Calibri" w:cs="Calibri"/>
                <w:b/>
                <w:sz w:val="24"/>
                <w:szCs w:val="24"/>
              </w:rPr>
            </w:pPr>
          </w:p>
          <w:p w14:paraId="4A591050" w14:textId="77777777" w:rsidR="005D0481" w:rsidRDefault="005D0481" w:rsidP="003D7D22">
            <w:pPr>
              <w:rPr>
                <w:rFonts w:ascii="Calibri" w:hAnsi="Calibri" w:cs="Calibri"/>
                <w:b/>
                <w:sz w:val="24"/>
                <w:szCs w:val="24"/>
              </w:rPr>
            </w:pPr>
          </w:p>
          <w:p w14:paraId="2A7B1A8B" w14:textId="5E49A558" w:rsidR="003D7D22" w:rsidRPr="003942DF" w:rsidRDefault="003D7D22" w:rsidP="003D7D22">
            <w:pPr>
              <w:rPr>
                <w:rFonts w:ascii="Calibri" w:hAnsi="Calibri" w:cs="Calibri"/>
                <w:b/>
                <w:sz w:val="24"/>
                <w:szCs w:val="24"/>
              </w:rPr>
            </w:pPr>
            <w:r>
              <w:rPr>
                <w:rFonts w:ascii="Calibri" w:hAnsi="Calibri" w:cs="Calibri"/>
                <w:b/>
                <w:sz w:val="24"/>
                <w:szCs w:val="24"/>
              </w:rPr>
              <w:t xml:space="preserve">TECHNICAL ASSISTANCE PLAN FOR TARGETED </w:t>
            </w:r>
            <w:r>
              <w:rPr>
                <w:rFonts w:ascii="Calibri" w:hAnsi="Calibri" w:cs="Calibri"/>
                <w:b/>
                <w:sz w:val="24"/>
                <w:szCs w:val="24"/>
              </w:rPr>
              <w:lastRenderedPageBreak/>
              <w:t>POPULATIONS TO BE SERVE</w:t>
            </w:r>
            <w:r w:rsidR="005D0481">
              <w:rPr>
                <w:rFonts w:ascii="Calibri" w:hAnsi="Calibri" w:cs="Calibri"/>
                <w:b/>
                <w:sz w:val="24"/>
                <w:szCs w:val="24"/>
              </w:rPr>
              <w:t>D</w:t>
            </w:r>
          </w:p>
        </w:tc>
        <w:tc>
          <w:tcPr>
            <w:tcW w:w="7375" w:type="dxa"/>
          </w:tcPr>
          <w:p w14:paraId="2A51E026" w14:textId="16FEA29C" w:rsidR="003D7D22" w:rsidRDefault="003D7D22" w:rsidP="003D7D22">
            <w:pPr>
              <w:widowControl w:val="0"/>
              <w:autoSpaceDE w:val="0"/>
              <w:autoSpaceDN w:val="0"/>
              <w:adjustRightInd w:val="0"/>
              <w:contextualSpacing/>
              <w:rPr>
                <w:rFonts w:ascii="Calibri" w:hAnsi="Calibri" w:cs="Calibri"/>
                <w:sz w:val="24"/>
                <w:szCs w:val="24"/>
              </w:rPr>
            </w:pPr>
            <w:r w:rsidRPr="003D7D22">
              <w:rPr>
                <w:rFonts w:ascii="Calibri" w:hAnsi="Calibri" w:cs="Calibri"/>
                <w:sz w:val="24"/>
                <w:szCs w:val="24"/>
              </w:rPr>
              <w:lastRenderedPageBreak/>
              <w:t>CSW has a two-decade history of providing workforce development services to the State of California, working with local workforce boards, evaluating America</w:t>
            </w:r>
            <w:r w:rsidR="00BA7A5B">
              <w:rPr>
                <w:rFonts w:ascii="Calibri" w:hAnsi="Calibri" w:cs="Calibri"/>
                <w:sz w:val="24"/>
                <w:szCs w:val="24"/>
              </w:rPr>
              <w:t>'</w:t>
            </w:r>
            <w:r w:rsidRPr="003D7D22">
              <w:rPr>
                <w:rFonts w:ascii="Calibri" w:hAnsi="Calibri" w:cs="Calibri"/>
                <w:sz w:val="24"/>
                <w:szCs w:val="24"/>
              </w:rPr>
              <w:t>s Job Centers, and providing TA to sector partnerships. CSW</w:t>
            </w:r>
            <w:r w:rsidR="00BA7A5B">
              <w:rPr>
                <w:rFonts w:ascii="Calibri" w:hAnsi="Calibri" w:cs="Calibri"/>
                <w:sz w:val="24"/>
                <w:szCs w:val="24"/>
              </w:rPr>
              <w:t>'</w:t>
            </w:r>
            <w:r w:rsidRPr="003D7D22">
              <w:rPr>
                <w:rFonts w:ascii="Calibri" w:hAnsi="Calibri" w:cs="Calibri"/>
                <w:sz w:val="24"/>
                <w:szCs w:val="24"/>
              </w:rPr>
              <w:t xml:space="preserve">s work with the state and local workforce boards in Santa Barbara, Los Angeles, San Diego, San Francisco, and others has involved developing industry sector analyses, conducting business and job seeker surveys and focus groups, and facilitating strategic planning and service delivery plans with local board members, staff, and leadership. </w:t>
            </w:r>
            <w:r w:rsidR="005A7281" w:rsidRPr="005A7281">
              <w:rPr>
                <w:rFonts w:ascii="Calibri" w:hAnsi="Calibri" w:cs="Calibri"/>
                <w:sz w:val="24"/>
                <w:szCs w:val="24"/>
              </w:rPr>
              <w:t>CSW has also conducted numerous evaluations and provided technical support to the California Workforce Development Board.</w:t>
            </w:r>
          </w:p>
          <w:p w14:paraId="7D35B5BB" w14:textId="77777777" w:rsidR="005D0481" w:rsidRDefault="005D0481" w:rsidP="005D0481">
            <w:pPr>
              <w:rPr>
                <w:rFonts w:ascii="Calibri" w:hAnsi="Calibri" w:cs="Calibri"/>
                <w:sz w:val="24"/>
                <w:szCs w:val="24"/>
              </w:rPr>
            </w:pPr>
          </w:p>
          <w:p w14:paraId="5FAF4B4A" w14:textId="6F7D61DB" w:rsidR="005D0481" w:rsidRDefault="005D0481" w:rsidP="005D0481">
            <w:pPr>
              <w:pStyle w:val="NormalWeb"/>
              <w:spacing w:before="0" w:beforeAutospacing="0" w:after="0" w:afterAutospacing="0"/>
              <w:contextualSpacing/>
              <w:rPr>
                <w:rFonts w:ascii="Calibri" w:hAnsi="Calibri" w:cs="Calibri"/>
              </w:rPr>
            </w:pPr>
            <w:r>
              <w:rPr>
                <w:rFonts w:ascii="Calibri" w:hAnsi="Calibri" w:cs="Calibri"/>
              </w:rPr>
              <w:t>CSW</w:t>
            </w:r>
            <w:r w:rsidRPr="00633B5C">
              <w:rPr>
                <w:rFonts w:ascii="Calibri" w:hAnsi="Calibri" w:cs="Calibri"/>
              </w:rPr>
              <w:t xml:space="preserve"> will provide ongoing </w:t>
            </w:r>
            <w:r w:rsidR="005A7281">
              <w:rPr>
                <w:rFonts w:ascii="Calibri" w:hAnsi="Calibri" w:cs="Calibri"/>
              </w:rPr>
              <w:t>TA</w:t>
            </w:r>
            <w:r w:rsidRPr="00633B5C">
              <w:rPr>
                <w:rFonts w:ascii="Calibri" w:hAnsi="Calibri" w:cs="Calibri"/>
              </w:rPr>
              <w:t xml:space="preserve"> to DOGWF program grantees, focused on fostering equitable transitions to new employment with quality jobs and career pathways for the target populations, to ensure that all dislocated workers are offered opportunities to transition to new jobs with family-sustaining wages. </w:t>
            </w:r>
          </w:p>
          <w:p w14:paraId="5EF85BBF" w14:textId="77777777" w:rsidR="005D0481" w:rsidRDefault="005D0481" w:rsidP="005D0481">
            <w:pPr>
              <w:rPr>
                <w:rFonts w:ascii="Calibri" w:hAnsi="Calibri" w:cs="Calibri"/>
                <w:sz w:val="24"/>
                <w:szCs w:val="24"/>
              </w:rPr>
            </w:pPr>
          </w:p>
          <w:p w14:paraId="7054CB8E" w14:textId="503DADE5" w:rsidR="005D0481" w:rsidRPr="005D0481" w:rsidRDefault="005D0481" w:rsidP="005D0481">
            <w:pPr>
              <w:rPr>
                <w:rFonts w:ascii="Calibri" w:hAnsi="Calibri" w:cs="Calibri"/>
                <w:sz w:val="24"/>
                <w:szCs w:val="24"/>
              </w:rPr>
            </w:pPr>
            <w:r w:rsidRPr="005D0481">
              <w:rPr>
                <w:rFonts w:ascii="Calibri" w:hAnsi="Calibri" w:cs="Calibri"/>
                <w:sz w:val="24"/>
                <w:szCs w:val="24"/>
              </w:rPr>
              <w:t xml:space="preserve">The proposed </w:t>
            </w:r>
            <w:r w:rsidR="005A7281">
              <w:rPr>
                <w:rFonts w:ascii="Calibri" w:hAnsi="Calibri" w:cs="Calibri"/>
                <w:sz w:val="24"/>
                <w:szCs w:val="24"/>
              </w:rPr>
              <w:t>TA</w:t>
            </w:r>
            <w:r w:rsidRPr="005D0481">
              <w:rPr>
                <w:rFonts w:ascii="Calibri" w:hAnsi="Calibri" w:cs="Calibri"/>
                <w:sz w:val="24"/>
                <w:szCs w:val="24"/>
              </w:rPr>
              <w:t xml:space="preserve"> approach will build the capacity of the DOGWF grantees to develop the tools, systems, and strategies needed to assist </w:t>
            </w:r>
            <w:r w:rsidR="005A7281">
              <w:rPr>
                <w:rFonts w:ascii="Calibri" w:hAnsi="Calibri" w:cs="Calibri"/>
                <w:sz w:val="24"/>
                <w:szCs w:val="24"/>
              </w:rPr>
              <w:t>highly skilled</w:t>
            </w:r>
            <w:r w:rsidRPr="005D0481">
              <w:rPr>
                <w:rFonts w:ascii="Calibri" w:hAnsi="Calibri" w:cs="Calibri"/>
                <w:sz w:val="24"/>
                <w:szCs w:val="24"/>
              </w:rPr>
              <w:t xml:space="preserve"> workers </w:t>
            </w:r>
            <w:r w:rsidR="00BA7A5B">
              <w:rPr>
                <w:rFonts w:ascii="Calibri" w:hAnsi="Calibri" w:cs="Calibri"/>
                <w:sz w:val="24"/>
                <w:szCs w:val="24"/>
              </w:rPr>
              <w:t>in making</w:t>
            </w:r>
            <w:r w:rsidRPr="005D0481">
              <w:rPr>
                <w:rFonts w:ascii="Calibri" w:hAnsi="Calibri" w:cs="Calibri"/>
                <w:sz w:val="24"/>
                <w:szCs w:val="24"/>
              </w:rPr>
              <w:t xml:space="preserve"> equitable transitions to new quality jobs and career pathways:</w:t>
            </w:r>
          </w:p>
          <w:p w14:paraId="00120764" w14:textId="2C120FE8" w:rsidR="005D0481" w:rsidRPr="005A7281" w:rsidRDefault="005D0481" w:rsidP="005A7281">
            <w:pPr>
              <w:pStyle w:val="ListParagraph"/>
              <w:numPr>
                <w:ilvl w:val="0"/>
                <w:numId w:val="21"/>
              </w:numPr>
              <w:contextualSpacing w:val="0"/>
              <w:rPr>
                <w:rFonts w:ascii="Calibri" w:hAnsi="Calibri" w:cs="Calibri"/>
                <w:sz w:val="24"/>
                <w:szCs w:val="24"/>
              </w:rPr>
            </w:pPr>
            <w:r w:rsidRPr="005A7281">
              <w:rPr>
                <w:rFonts w:ascii="Calibri" w:hAnsi="Calibri" w:cs="Calibri"/>
                <w:sz w:val="24"/>
                <w:szCs w:val="24"/>
              </w:rPr>
              <w:lastRenderedPageBreak/>
              <w:t>Communities of Practice (CoPs)</w:t>
            </w:r>
            <w:r w:rsidR="006D7BE4">
              <w:rPr>
                <w:rFonts w:ascii="Calibri" w:hAnsi="Calibri" w:cs="Calibri"/>
                <w:sz w:val="24"/>
                <w:szCs w:val="24"/>
              </w:rPr>
              <w:t xml:space="preserve"> –</w:t>
            </w:r>
            <w:r w:rsidR="00787F26">
              <w:rPr>
                <w:rFonts w:ascii="Calibri" w:hAnsi="Calibri" w:cs="Calibri"/>
                <w:sz w:val="24"/>
                <w:szCs w:val="24"/>
              </w:rPr>
              <w:t xml:space="preserve"> </w:t>
            </w:r>
            <w:r w:rsidRPr="005A7281">
              <w:rPr>
                <w:rFonts w:ascii="Calibri" w:hAnsi="Calibri" w:cs="Calibri"/>
                <w:sz w:val="24"/>
                <w:szCs w:val="24"/>
              </w:rPr>
              <w:t>DOGWF CoPs and other convenings will work to create a dynamic, collaborative community that empowers DOGWF grantees to excel</w:t>
            </w:r>
            <w:r w:rsidR="005A7281">
              <w:rPr>
                <w:rFonts w:ascii="Calibri" w:hAnsi="Calibri" w:cs="Calibri"/>
                <w:sz w:val="24"/>
                <w:szCs w:val="24"/>
              </w:rPr>
              <w:t>.</w:t>
            </w:r>
          </w:p>
          <w:p w14:paraId="4EB24418" w14:textId="07A7A7EF" w:rsidR="005D0481" w:rsidRPr="005A7281" w:rsidRDefault="005D0481" w:rsidP="005A7281">
            <w:pPr>
              <w:pStyle w:val="ListParagraph"/>
              <w:numPr>
                <w:ilvl w:val="0"/>
                <w:numId w:val="21"/>
              </w:numPr>
              <w:contextualSpacing w:val="0"/>
              <w:rPr>
                <w:rFonts w:ascii="Calibri" w:hAnsi="Calibri" w:cs="Calibri"/>
                <w:sz w:val="24"/>
                <w:szCs w:val="24"/>
              </w:rPr>
            </w:pPr>
            <w:r w:rsidRPr="005A7281">
              <w:rPr>
                <w:rFonts w:ascii="Calibri" w:hAnsi="Calibri" w:cs="Calibri"/>
                <w:sz w:val="24"/>
                <w:szCs w:val="24"/>
              </w:rPr>
              <w:t>Capacity-Building &amp; Coaching</w:t>
            </w:r>
            <w:r w:rsidR="006D7BE4">
              <w:rPr>
                <w:rFonts w:ascii="Calibri" w:hAnsi="Calibri" w:cs="Calibri"/>
                <w:sz w:val="24"/>
                <w:szCs w:val="24"/>
              </w:rPr>
              <w:t xml:space="preserve"> –</w:t>
            </w:r>
            <w:r w:rsidRPr="005A7281">
              <w:rPr>
                <w:rFonts w:ascii="Calibri" w:hAnsi="Calibri" w:cs="Calibri"/>
                <w:sz w:val="24"/>
                <w:szCs w:val="24"/>
              </w:rPr>
              <w:t xml:space="preserve"> Working with staff and partners to enhance the ability to improve programs and worker outcomes, implement new tools and services, and contextualize best practices integration into program development.</w:t>
            </w:r>
          </w:p>
          <w:p w14:paraId="27EB3279" w14:textId="524AC5E7" w:rsidR="005D0481" w:rsidRPr="005A7281" w:rsidRDefault="005D0481" w:rsidP="005A7281">
            <w:pPr>
              <w:pStyle w:val="ListParagraph"/>
              <w:numPr>
                <w:ilvl w:val="0"/>
                <w:numId w:val="21"/>
              </w:numPr>
              <w:contextualSpacing w:val="0"/>
              <w:rPr>
                <w:rFonts w:ascii="Calibri" w:hAnsi="Calibri" w:cs="Calibri"/>
                <w:sz w:val="24"/>
                <w:szCs w:val="24"/>
              </w:rPr>
            </w:pPr>
            <w:r w:rsidRPr="005A7281">
              <w:rPr>
                <w:rFonts w:ascii="Calibri" w:hAnsi="Calibri" w:cs="Calibri"/>
                <w:sz w:val="24"/>
                <w:szCs w:val="24"/>
              </w:rPr>
              <w:t>Convenings</w:t>
            </w:r>
            <w:r w:rsidR="006D7BE4">
              <w:rPr>
                <w:rFonts w:ascii="Calibri" w:hAnsi="Calibri" w:cs="Calibri"/>
                <w:sz w:val="24"/>
                <w:szCs w:val="24"/>
              </w:rPr>
              <w:t xml:space="preserve"> –</w:t>
            </w:r>
            <w:r w:rsidRPr="005A7281">
              <w:rPr>
                <w:rFonts w:ascii="Calibri" w:hAnsi="Calibri" w:cs="Calibri"/>
                <w:sz w:val="24"/>
                <w:szCs w:val="24"/>
              </w:rPr>
              <w:t xml:space="preserve"> Host annual in-person convenings to provide face-to-face networking opportunities and collaborative workshops, deepening relationships among grantees.</w:t>
            </w:r>
          </w:p>
          <w:p w14:paraId="04FC26B3" w14:textId="5C46D006" w:rsidR="005D0481" w:rsidRPr="005A7281" w:rsidRDefault="005D0481" w:rsidP="005A7281">
            <w:pPr>
              <w:pStyle w:val="ListParagraph"/>
              <w:numPr>
                <w:ilvl w:val="0"/>
                <w:numId w:val="21"/>
              </w:numPr>
              <w:contextualSpacing w:val="0"/>
              <w:rPr>
                <w:rFonts w:ascii="Calibri" w:hAnsi="Calibri" w:cs="Calibri"/>
                <w:sz w:val="24"/>
                <w:szCs w:val="24"/>
              </w:rPr>
            </w:pPr>
            <w:r w:rsidRPr="005A7281">
              <w:rPr>
                <w:rFonts w:ascii="Calibri" w:hAnsi="Calibri" w:cs="Calibri"/>
                <w:sz w:val="24"/>
                <w:szCs w:val="24"/>
              </w:rPr>
              <w:t>Developmental evaluation and final repor</w:t>
            </w:r>
            <w:r w:rsidR="005A7281">
              <w:rPr>
                <w:rFonts w:ascii="Calibri" w:hAnsi="Calibri" w:cs="Calibri"/>
                <w:sz w:val="24"/>
                <w:szCs w:val="24"/>
              </w:rPr>
              <w:t>t</w:t>
            </w:r>
            <w:r w:rsidR="006D7BE4">
              <w:rPr>
                <w:rFonts w:ascii="Calibri" w:hAnsi="Calibri" w:cs="Calibri"/>
                <w:sz w:val="24"/>
                <w:szCs w:val="24"/>
              </w:rPr>
              <w:t xml:space="preserve"> –</w:t>
            </w:r>
            <w:r w:rsidRPr="005A7281">
              <w:rPr>
                <w:rFonts w:ascii="Calibri" w:hAnsi="Calibri" w:cs="Calibri"/>
                <w:sz w:val="24"/>
                <w:szCs w:val="24"/>
              </w:rPr>
              <w:t xml:space="preserve"> incorporate grantee, worker, and employer perspectives, document pivot points, and identify best practices for success. </w:t>
            </w:r>
          </w:p>
          <w:p w14:paraId="5865533A" w14:textId="679B0698" w:rsidR="005D0481" w:rsidRPr="005A7281" w:rsidRDefault="005D0481" w:rsidP="005A7281">
            <w:pPr>
              <w:pStyle w:val="ListParagraph"/>
              <w:numPr>
                <w:ilvl w:val="0"/>
                <w:numId w:val="21"/>
              </w:numPr>
              <w:contextualSpacing w:val="0"/>
              <w:rPr>
                <w:rFonts w:ascii="Calibri" w:hAnsi="Calibri" w:cs="Calibri"/>
                <w:sz w:val="24"/>
                <w:szCs w:val="24"/>
              </w:rPr>
            </w:pPr>
            <w:r w:rsidRPr="005A7281">
              <w:rPr>
                <w:rFonts w:ascii="Calibri" w:hAnsi="Calibri" w:cs="Calibri"/>
                <w:sz w:val="24"/>
                <w:szCs w:val="24"/>
              </w:rPr>
              <w:t>Skills Transferability Analysis</w:t>
            </w:r>
            <w:r w:rsidR="006D7BE4">
              <w:rPr>
                <w:rFonts w:ascii="Calibri" w:hAnsi="Calibri" w:cs="Calibri"/>
                <w:sz w:val="24"/>
                <w:szCs w:val="24"/>
              </w:rPr>
              <w:t xml:space="preserve"> –</w:t>
            </w:r>
            <w:r w:rsidRPr="005A7281">
              <w:rPr>
                <w:rFonts w:ascii="Calibri" w:hAnsi="Calibri" w:cs="Calibri"/>
                <w:sz w:val="24"/>
                <w:szCs w:val="24"/>
              </w:rPr>
              <w:t xml:space="preserve"> Conduct a comprehensive transferable skills analysis to assist program grantees in identifying</w:t>
            </w:r>
            <w:r w:rsidR="005A7281">
              <w:rPr>
                <w:rFonts w:ascii="Calibri" w:hAnsi="Calibri" w:cs="Calibri"/>
                <w:sz w:val="24"/>
                <w:szCs w:val="24"/>
              </w:rPr>
              <w:t xml:space="preserve"> existing skills, skill matches, and any necessary skill development gaps. </w:t>
            </w:r>
          </w:p>
          <w:p w14:paraId="07FFE5BF" w14:textId="5085FC24" w:rsidR="005D0481" w:rsidRPr="005A7281" w:rsidRDefault="005D0481" w:rsidP="005A7281">
            <w:pPr>
              <w:pStyle w:val="ListParagraph"/>
              <w:numPr>
                <w:ilvl w:val="0"/>
                <w:numId w:val="21"/>
              </w:numPr>
              <w:rPr>
                <w:rFonts w:ascii="Calibri" w:hAnsi="Calibri" w:cs="Calibri"/>
                <w:sz w:val="24"/>
                <w:szCs w:val="24"/>
              </w:rPr>
            </w:pPr>
            <w:r w:rsidRPr="005A7281">
              <w:rPr>
                <w:rFonts w:ascii="Calibri" w:hAnsi="Calibri" w:cs="Calibri"/>
                <w:sz w:val="24"/>
                <w:szCs w:val="24"/>
              </w:rPr>
              <w:t>Successful Skills Transfers</w:t>
            </w:r>
            <w:r w:rsidR="006D7BE4">
              <w:rPr>
                <w:rFonts w:ascii="Calibri" w:hAnsi="Calibri" w:cs="Calibri"/>
                <w:sz w:val="24"/>
                <w:szCs w:val="24"/>
              </w:rPr>
              <w:t xml:space="preserve"> –</w:t>
            </w:r>
            <w:r w:rsidRPr="005A7281">
              <w:rPr>
                <w:rFonts w:ascii="Calibri" w:hAnsi="Calibri" w:cs="Calibri"/>
                <w:sz w:val="24"/>
                <w:szCs w:val="24"/>
              </w:rPr>
              <w:t xml:space="preserve"> Support grantees in translating their oil and gas industry skillsets to new occupations in emerging clean energy sectors and other sectors and identify training and credentialing programs that lead to successful re-employment, leveraging workers' existing skills.</w:t>
            </w:r>
          </w:p>
          <w:p w14:paraId="7F1D7B04" w14:textId="104CC0C1" w:rsidR="005D0481" w:rsidRPr="005A7281" w:rsidRDefault="005D0481" w:rsidP="005A7281">
            <w:pPr>
              <w:pStyle w:val="ListParagraph"/>
              <w:numPr>
                <w:ilvl w:val="0"/>
                <w:numId w:val="21"/>
              </w:numPr>
              <w:rPr>
                <w:rFonts w:ascii="Calibri" w:hAnsi="Calibri" w:cs="Calibri"/>
                <w:sz w:val="24"/>
                <w:szCs w:val="24"/>
              </w:rPr>
            </w:pPr>
            <w:r w:rsidRPr="005A7281">
              <w:rPr>
                <w:rFonts w:ascii="Calibri" w:hAnsi="Calibri" w:cs="Calibri"/>
                <w:sz w:val="24"/>
                <w:szCs w:val="24"/>
              </w:rPr>
              <w:t>Successful Re-employment Strategies</w:t>
            </w:r>
            <w:r w:rsidR="006D7BE4">
              <w:rPr>
                <w:rFonts w:ascii="Calibri" w:hAnsi="Calibri" w:cs="Calibri"/>
                <w:sz w:val="24"/>
                <w:szCs w:val="24"/>
              </w:rPr>
              <w:t xml:space="preserve"> –</w:t>
            </w:r>
            <w:r w:rsidRPr="005A7281">
              <w:rPr>
                <w:rFonts w:ascii="Calibri" w:hAnsi="Calibri" w:cs="Calibri"/>
                <w:sz w:val="24"/>
                <w:szCs w:val="24"/>
              </w:rPr>
              <w:t xml:space="preserve"> Identifying successful training methodologies and programs leading to re-employment.</w:t>
            </w:r>
          </w:p>
          <w:p w14:paraId="2A7B1A8C" w14:textId="5183744B" w:rsidR="005D0481" w:rsidRPr="005A7281" w:rsidRDefault="005D0481" w:rsidP="005A7281">
            <w:pPr>
              <w:pStyle w:val="ListParagraph"/>
              <w:numPr>
                <w:ilvl w:val="0"/>
                <w:numId w:val="21"/>
              </w:numPr>
              <w:rPr>
                <w:rFonts w:ascii="Calibri" w:hAnsi="Calibri" w:cs="Calibri"/>
                <w:sz w:val="24"/>
                <w:szCs w:val="24"/>
              </w:rPr>
            </w:pPr>
            <w:r w:rsidRPr="005A7281">
              <w:rPr>
                <w:rFonts w:ascii="Calibri" w:hAnsi="Calibri" w:cs="Calibri"/>
                <w:sz w:val="24"/>
                <w:szCs w:val="24"/>
              </w:rPr>
              <w:t>Participant Recruitment &amp; Engagement</w:t>
            </w:r>
            <w:r w:rsidR="006D7BE4">
              <w:rPr>
                <w:rFonts w:ascii="Calibri" w:hAnsi="Calibri" w:cs="Calibri"/>
                <w:sz w:val="24"/>
                <w:szCs w:val="24"/>
              </w:rPr>
              <w:t xml:space="preserve"> –</w:t>
            </w:r>
            <w:r w:rsidRPr="005A7281">
              <w:rPr>
                <w:rFonts w:ascii="Calibri" w:hAnsi="Calibri" w:cs="Calibri"/>
                <w:sz w:val="24"/>
                <w:szCs w:val="24"/>
              </w:rPr>
              <w:t xml:space="preserve"> Identifying and lifting </w:t>
            </w:r>
            <w:r w:rsidR="00BA7A5B">
              <w:rPr>
                <w:rFonts w:ascii="Calibri" w:hAnsi="Calibri" w:cs="Calibri"/>
                <w:sz w:val="24"/>
                <w:szCs w:val="24"/>
              </w:rPr>
              <w:t>practical</w:t>
            </w:r>
            <w:r w:rsidRPr="005A7281">
              <w:rPr>
                <w:rFonts w:ascii="Calibri" w:hAnsi="Calibri" w:cs="Calibri"/>
                <w:sz w:val="24"/>
                <w:szCs w:val="24"/>
              </w:rPr>
              <w:t xml:space="preserve"> evidence-based and best practices for attracting and retaining workers in transition programs.</w:t>
            </w:r>
          </w:p>
        </w:tc>
      </w:tr>
      <w:tr w:rsidR="003D7D22" w:rsidRPr="003942DF" w14:paraId="2A7B1A93" w14:textId="77777777" w:rsidTr="00ED6F27">
        <w:tc>
          <w:tcPr>
            <w:tcW w:w="1975" w:type="dxa"/>
          </w:tcPr>
          <w:p w14:paraId="2DB0542E" w14:textId="77777777" w:rsidR="005D0481" w:rsidRDefault="005D0481" w:rsidP="003D7D22">
            <w:pPr>
              <w:rPr>
                <w:rFonts w:ascii="Calibri" w:hAnsi="Calibri" w:cs="Calibri"/>
                <w:b/>
                <w:sz w:val="24"/>
                <w:szCs w:val="24"/>
              </w:rPr>
            </w:pPr>
            <w:bookmarkStart w:id="0" w:name="_Hlk146284019"/>
          </w:p>
          <w:p w14:paraId="17A8D3CC" w14:textId="609A4073" w:rsidR="003D7D22" w:rsidRDefault="003D7D22" w:rsidP="003D7D22">
            <w:pPr>
              <w:rPr>
                <w:rFonts w:ascii="Calibri" w:hAnsi="Calibri" w:cs="Calibri"/>
                <w:b/>
                <w:sz w:val="24"/>
                <w:szCs w:val="24"/>
              </w:rPr>
            </w:pPr>
            <w:r>
              <w:rPr>
                <w:rFonts w:ascii="Calibri" w:hAnsi="Calibri" w:cs="Calibri"/>
                <w:b/>
                <w:sz w:val="24"/>
                <w:szCs w:val="24"/>
              </w:rPr>
              <w:t xml:space="preserve">PROPOSED </w:t>
            </w:r>
          </w:p>
          <w:p w14:paraId="2A7B1A8F" w14:textId="41849DDC" w:rsidR="003D7D22" w:rsidRPr="003942DF" w:rsidRDefault="003D7D22" w:rsidP="003D7D22">
            <w:pPr>
              <w:rPr>
                <w:rFonts w:ascii="Calibri" w:hAnsi="Calibri" w:cs="Calibri"/>
                <w:b/>
                <w:sz w:val="24"/>
                <w:szCs w:val="24"/>
              </w:rPr>
            </w:pPr>
            <w:r>
              <w:rPr>
                <w:rFonts w:ascii="Calibri" w:hAnsi="Calibri" w:cs="Calibri"/>
                <w:b/>
                <w:sz w:val="24"/>
                <w:szCs w:val="24"/>
              </w:rPr>
              <w:t>OUTCOME</w:t>
            </w:r>
          </w:p>
        </w:tc>
        <w:tc>
          <w:tcPr>
            <w:tcW w:w="7375" w:type="dxa"/>
          </w:tcPr>
          <w:p w14:paraId="570CEAAD" w14:textId="77777777" w:rsidR="005D0481" w:rsidRDefault="005D0481" w:rsidP="003D7D22">
            <w:pPr>
              <w:widowControl w:val="0"/>
              <w:autoSpaceDE w:val="0"/>
              <w:autoSpaceDN w:val="0"/>
              <w:adjustRightInd w:val="0"/>
              <w:contextualSpacing/>
              <w:jc w:val="both"/>
              <w:rPr>
                <w:rFonts w:cstheme="minorHAnsi"/>
                <w:bCs/>
                <w:sz w:val="24"/>
                <w:szCs w:val="24"/>
              </w:rPr>
            </w:pPr>
          </w:p>
          <w:p w14:paraId="125EF92F" w14:textId="4E80CE58" w:rsidR="003D7D22" w:rsidRPr="00653C18" w:rsidRDefault="003D7D22" w:rsidP="003D7D22">
            <w:pPr>
              <w:widowControl w:val="0"/>
              <w:autoSpaceDE w:val="0"/>
              <w:autoSpaceDN w:val="0"/>
              <w:adjustRightInd w:val="0"/>
              <w:contextualSpacing/>
              <w:jc w:val="both"/>
              <w:rPr>
                <w:rFonts w:cstheme="minorHAnsi"/>
                <w:bCs/>
                <w:sz w:val="24"/>
                <w:szCs w:val="24"/>
              </w:rPr>
            </w:pPr>
            <w:r w:rsidRPr="00653C18">
              <w:rPr>
                <w:rFonts w:cstheme="minorHAnsi"/>
                <w:bCs/>
                <w:sz w:val="24"/>
                <w:szCs w:val="24"/>
              </w:rPr>
              <w:t>Outcomes for the project include</w:t>
            </w:r>
            <w:r w:rsidR="006D7BE4">
              <w:rPr>
                <w:rFonts w:cstheme="minorHAnsi"/>
                <w:bCs/>
                <w:sz w:val="24"/>
                <w:szCs w:val="24"/>
              </w:rPr>
              <w:t xml:space="preserve"> the following</w:t>
            </w:r>
            <w:r w:rsidRPr="00653C18">
              <w:rPr>
                <w:rFonts w:cstheme="minorHAnsi"/>
                <w:bCs/>
                <w:sz w:val="24"/>
                <w:szCs w:val="24"/>
              </w:rPr>
              <w:t>:</w:t>
            </w:r>
          </w:p>
          <w:p w14:paraId="608A3EA3" w14:textId="77777777" w:rsidR="003D7D22" w:rsidRPr="00A7194F" w:rsidRDefault="003D7D22" w:rsidP="003D7D22">
            <w:pPr>
              <w:pStyle w:val="ListParagraph"/>
              <w:widowControl w:val="0"/>
              <w:numPr>
                <w:ilvl w:val="0"/>
                <w:numId w:val="17"/>
              </w:numPr>
              <w:autoSpaceDE w:val="0"/>
              <w:autoSpaceDN w:val="0"/>
              <w:adjustRightInd w:val="0"/>
              <w:jc w:val="both"/>
              <w:rPr>
                <w:rFonts w:cstheme="minorHAnsi"/>
                <w:bCs/>
                <w:sz w:val="24"/>
                <w:szCs w:val="24"/>
              </w:rPr>
            </w:pPr>
            <w:r w:rsidRPr="00A7194F">
              <w:rPr>
                <w:rFonts w:cstheme="minorHAnsi"/>
                <w:bCs/>
                <w:sz w:val="24"/>
                <w:szCs w:val="24"/>
              </w:rPr>
              <w:t>Helping oil and gas workers directly impacted in program grantee regions transition to good jobs.</w:t>
            </w:r>
          </w:p>
          <w:p w14:paraId="3291E6C1" w14:textId="2215EE17" w:rsidR="003D7D22" w:rsidRPr="00A7194F" w:rsidRDefault="003D7D22" w:rsidP="003D7D22">
            <w:pPr>
              <w:pStyle w:val="ListParagraph"/>
              <w:widowControl w:val="0"/>
              <w:numPr>
                <w:ilvl w:val="0"/>
                <w:numId w:val="17"/>
              </w:numPr>
              <w:autoSpaceDE w:val="0"/>
              <w:autoSpaceDN w:val="0"/>
              <w:adjustRightInd w:val="0"/>
              <w:jc w:val="both"/>
              <w:rPr>
                <w:rFonts w:cstheme="minorHAnsi"/>
                <w:bCs/>
                <w:sz w:val="24"/>
                <w:szCs w:val="24"/>
              </w:rPr>
            </w:pPr>
            <w:r w:rsidRPr="00A7194F">
              <w:rPr>
                <w:rFonts w:cstheme="minorHAnsi"/>
                <w:bCs/>
                <w:sz w:val="24"/>
                <w:szCs w:val="24"/>
              </w:rPr>
              <w:t xml:space="preserve">Assisting program grantees by developing the tools, systems, and strategies to </w:t>
            </w:r>
            <w:r w:rsidR="00BA7A5B">
              <w:rPr>
                <w:rFonts w:cstheme="minorHAnsi"/>
                <w:bCs/>
                <w:sz w:val="24"/>
                <w:szCs w:val="24"/>
              </w:rPr>
              <w:t>help</w:t>
            </w:r>
            <w:r w:rsidRPr="00A7194F">
              <w:rPr>
                <w:rFonts w:cstheme="minorHAnsi"/>
                <w:bCs/>
                <w:sz w:val="24"/>
                <w:szCs w:val="24"/>
              </w:rPr>
              <w:t xml:space="preserve"> oil and gas workers move into new quality jobs.</w:t>
            </w:r>
          </w:p>
          <w:p w14:paraId="224E5767" w14:textId="6A7E1C29" w:rsidR="003D7D22" w:rsidRPr="00A7194F" w:rsidRDefault="003D7D22" w:rsidP="003D7D22">
            <w:pPr>
              <w:pStyle w:val="ListParagraph"/>
              <w:widowControl w:val="0"/>
              <w:numPr>
                <w:ilvl w:val="0"/>
                <w:numId w:val="17"/>
              </w:numPr>
              <w:autoSpaceDE w:val="0"/>
              <w:autoSpaceDN w:val="0"/>
              <w:adjustRightInd w:val="0"/>
              <w:jc w:val="both"/>
              <w:rPr>
                <w:rFonts w:cstheme="minorHAnsi"/>
                <w:bCs/>
                <w:sz w:val="24"/>
                <w:szCs w:val="24"/>
              </w:rPr>
            </w:pPr>
            <w:r w:rsidRPr="00A7194F">
              <w:rPr>
                <w:rFonts w:cstheme="minorHAnsi"/>
                <w:bCs/>
                <w:sz w:val="24"/>
                <w:szCs w:val="24"/>
              </w:rPr>
              <w:t xml:space="preserve">Assisting program grantees in developing the knowledge and systems infrastructure </w:t>
            </w:r>
            <w:r w:rsidR="005D0481">
              <w:rPr>
                <w:rFonts w:cstheme="minorHAnsi"/>
                <w:bCs/>
                <w:sz w:val="24"/>
                <w:szCs w:val="24"/>
              </w:rPr>
              <w:t xml:space="preserve">to </w:t>
            </w:r>
            <w:r w:rsidRPr="00A7194F">
              <w:rPr>
                <w:rFonts w:cstheme="minorHAnsi"/>
                <w:bCs/>
                <w:sz w:val="24"/>
                <w:szCs w:val="24"/>
              </w:rPr>
              <w:t xml:space="preserve">do this work in other industries that are </w:t>
            </w:r>
            <w:r w:rsidR="00BA7A5B">
              <w:rPr>
                <w:rFonts w:cstheme="minorHAnsi"/>
                <w:bCs/>
                <w:sz w:val="24"/>
                <w:szCs w:val="24"/>
              </w:rPr>
              <w:t>transitioning</w:t>
            </w:r>
            <w:r w:rsidRPr="00A7194F">
              <w:rPr>
                <w:rFonts w:cstheme="minorHAnsi"/>
                <w:bCs/>
                <w:sz w:val="24"/>
                <w:szCs w:val="24"/>
              </w:rPr>
              <w:t xml:space="preserve"> now or in the future. </w:t>
            </w:r>
          </w:p>
          <w:p w14:paraId="2A7B1A92" w14:textId="5D16D94C" w:rsidR="003D7D22" w:rsidRPr="003942DF" w:rsidRDefault="003D7D22" w:rsidP="0043602B">
            <w:pPr>
              <w:pStyle w:val="ListParagraph"/>
              <w:widowControl w:val="0"/>
              <w:numPr>
                <w:ilvl w:val="0"/>
                <w:numId w:val="17"/>
              </w:numPr>
              <w:autoSpaceDE w:val="0"/>
              <w:autoSpaceDN w:val="0"/>
              <w:adjustRightInd w:val="0"/>
              <w:jc w:val="both"/>
              <w:rPr>
                <w:rFonts w:ascii="Calibri" w:hAnsi="Calibri" w:cs="Calibri"/>
                <w:sz w:val="24"/>
                <w:szCs w:val="24"/>
              </w:rPr>
            </w:pPr>
            <w:r w:rsidRPr="00A7194F">
              <w:rPr>
                <w:rFonts w:cstheme="minorHAnsi"/>
                <w:bCs/>
                <w:sz w:val="24"/>
                <w:szCs w:val="24"/>
              </w:rPr>
              <w:t xml:space="preserve">Document this process </w:t>
            </w:r>
            <w:r w:rsidR="005D0481">
              <w:rPr>
                <w:rFonts w:cstheme="minorHAnsi"/>
                <w:bCs/>
                <w:sz w:val="24"/>
                <w:szCs w:val="24"/>
              </w:rPr>
              <w:t>to</w:t>
            </w:r>
            <w:r>
              <w:rPr>
                <w:rFonts w:cstheme="minorHAnsi"/>
                <w:bCs/>
                <w:sz w:val="24"/>
                <w:szCs w:val="24"/>
              </w:rPr>
              <w:t xml:space="preserve"> learn from the project and share </w:t>
            </w:r>
            <w:r w:rsidR="00BA7A5B">
              <w:rPr>
                <w:rFonts w:cstheme="minorHAnsi"/>
                <w:bCs/>
                <w:sz w:val="24"/>
                <w:szCs w:val="24"/>
              </w:rPr>
              <w:t xml:space="preserve">it </w:t>
            </w:r>
            <w:r w:rsidRPr="00A7194F">
              <w:rPr>
                <w:rFonts w:cstheme="minorHAnsi"/>
                <w:bCs/>
                <w:sz w:val="24"/>
                <w:szCs w:val="24"/>
              </w:rPr>
              <w:t xml:space="preserve">with stakeholders. </w:t>
            </w:r>
          </w:p>
        </w:tc>
      </w:tr>
      <w:bookmarkEnd w:id="0"/>
    </w:tbl>
    <w:p w14:paraId="2A7B1AB1" w14:textId="77777777" w:rsidR="003A6798" w:rsidRPr="003942DF" w:rsidRDefault="003A6798" w:rsidP="00E81F29">
      <w:pPr>
        <w:rPr>
          <w:rFonts w:ascii="Calibri" w:hAnsi="Calibri" w:cs="Calibri"/>
          <w:sz w:val="24"/>
          <w:szCs w:val="24"/>
        </w:rPr>
      </w:pPr>
    </w:p>
    <w:p w14:paraId="6EC21210" w14:textId="0A86F21E" w:rsidR="006F6840" w:rsidRPr="003942DF" w:rsidRDefault="0043602B" w:rsidP="0043602B">
      <w:pPr>
        <w:tabs>
          <w:tab w:val="left" w:pos="1739"/>
        </w:tabs>
        <w:rPr>
          <w:rFonts w:ascii="Calibri" w:hAnsi="Calibri" w:cs="Calibri"/>
          <w:sz w:val="24"/>
          <w:szCs w:val="24"/>
        </w:rPr>
      </w:pPr>
      <w:r>
        <w:rPr>
          <w:rFonts w:ascii="Calibri" w:hAnsi="Calibri" w:cs="Calibri"/>
          <w:sz w:val="24"/>
          <w:szCs w:val="24"/>
        </w:rPr>
        <w:tab/>
      </w:r>
    </w:p>
    <w:sectPr w:rsidR="006F6840" w:rsidRPr="003942DF" w:rsidSect="00C246E9">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B1AB6" w14:textId="77777777" w:rsidR="00D248CB" w:rsidRDefault="00D248CB" w:rsidP="00C4619D">
      <w:pPr>
        <w:spacing w:after="0" w:line="240" w:lineRule="auto"/>
      </w:pPr>
      <w:r>
        <w:separator/>
      </w:r>
    </w:p>
  </w:endnote>
  <w:endnote w:type="continuationSeparator" w:id="0">
    <w:p w14:paraId="2A7B1AB7" w14:textId="77777777" w:rsidR="00D248CB" w:rsidRDefault="00D248CB" w:rsidP="00C4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0865509"/>
      <w:docPartObj>
        <w:docPartGallery w:val="Page Numbers (Bottom of Page)"/>
        <w:docPartUnique/>
      </w:docPartObj>
    </w:sdtPr>
    <w:sdtEndPr/>
    <w:sdtContent>
      <w:sdt>
        <w:sdtPr>
          <w:id w:val="1728636285"/>
          <w:docPartObj>
            <w:docPartGallery w:val="Page Numbers (Top of Page)"/>
            <w:docPartUnique/>
          </w:docPartObj>
        </w:sdtPr>
        <w:sdtEndPr/>
        <w:sdtContent>
          <w:p w14:paraId="413EE715" w14:textId="77BA804C" w:rsidR="00BD2D7B" w:rsidRPr="000959DC" w:rsidRDefault="003C0DC2" w:rsidP="003A6798">
            <w:pPr>
              <w:pStyle w:val="Footer"/>
              <w:rPr>
                <w:sz w:val="24"/>
                <w:szCs w:val="24"/>
              </w:rPr>
            </w:pPr>
            <w:r>
              <w:rPr>
                <w:sz w:val="24"/>
                <w:szCs w:val="24"/>
              </w:rPr>
              <w:t>DOGWF ETA PY 23-24</w:t>
            </w:r>
            <w:r w:rsidR="0043602B">
              <w:rPr>
                <w:sz w:val="24"/>
                <w:szCs w:val="24"/>
              </w:rPr>
              <w:t>-Re-Post</w:t>
            </w:r>
          </w:p>
          <w:p w14:paraId="2A7B1AB8" w14:textId="2533E53A" w:rsidR="00D248CB" w:rsidRDefault="00D248CB" w:rsidP="003A6798">
            <w:pPr>
              <w:pStyle w:val="Footer"/>
            </w:pPr>
            <w:r w:rsidRPr="00C246E9">
              <w:rPr>
                <w:sz w:val="24"/>
                <w:szCs w:val="24"/>
              </w:rPr>
              <w:tab/>
            </w:r>
            <w:r w:rsidRPr="00C246E9">
              <w:rPr>
                <w:sz w:val="24"/>
                <w:szCs w:val="24"/>
              </w:rPr>
              <w:tab/>
              <w:t xml:space="preserve">Page </w:t>
            </w:r>
            <w:r w:rsidRPr="00C246E9">
              <w:rPr>
                <w:bCs/>
                <w:sz w:val="24"/>
                <w:szCs w:val="24"/>
              </w:rPr>
              <w:fldChar w:fldCharType="begin"/>
            </w:r>
            <w:r w:rsidRPr="00C246E9">
              <w:rPr>
                <w:bCs/>
                <w:sz w:val="24"/>
                <w:szCs w:val="24"/>
              </w:rPr>
              <w:instrText xml:space="preserve"> PAGE </w:instrText>
            </w:r>
            <w:r w:rsidRPr="00C246E9">
              <w:rPr>
                <w:bCs/>
                <w:sz w:val="24"/>
                <w:szCs w:val="24"/>
              </w:rPr>
              <w:fldChar w:fldCharType="separate"/>
            </w:r>
            <w:r w:rsidR="00E336CE">
              <w:rPr>
                <w:bCs/>
                <w:noProof/>
                <w:sz w:val="24"/>
                <w:szCs w:val="24"/>
              </w:rPr>
              <w:t>2</w:t>
            </w:r>
            <w:r w:rsidRPr="00C246E9">
              <w:rPr>
                <w:bCs/>
                <w:sz w:val="24"/>
                <w:szCs w:val="24"/>
              </w:rPr>
              <w:fldChar w:fldCharType="end"/>
            </w:r>
            <w:r w:rsidRPr="00C246E9">
              <w:rPr>
                <w:sz w:val="24"/>
                <w:szCs w:val="24"/>
              </w:rPr>
              <w:t xml:space="preserve"> of </w:t>
            </w:r>
            <w:r w:rsidRPr="00C246E9">
              <w:rPr>
                <w:bCs/>
                <w:sz w:val="24"/>
                <w:szCs w:val="24"/>
              </w:rPr>
              <w:fldChar w:fldCharType="begin"/>
            </w:r>
            <w:r w:rsidRPr="00C246E9">
              <w:rPr>
                <w:bCs/>
                <w:sz w:val="24"/>
                <w:szCs w:val="24"/>
              </w:rPr>
              <w:instrText xml:space="preserve"> NUMPAGES  </w:instrText>
            </w:r>
            <w:r w:rsidRPr="00C246E9">
              <w:rPr>
                <w:bCs/>
                <w:sz w:val="24"/>
                <w:szCs w:val="24"/>
              </w:rPr>
              <w:fldChar w:fldCharType="separate"/>
            </w:r>
            <w:r w:rsidR="00E336CE">
              <w:rPr>
                <w:bCs/>
                <w:noProof/>
                <w:sz w:val="24"/>
                <w:szCs w:val="24"/>
              </w:rPr>
              <w:t>32</w:t>
            </w:r>
            <w:r w:rsidRPr="00C246E9">
              <w:rPr>
                <w:bCs/>
                <w:sz w:val="24"/>
                <w:szCs w:val="24"/>
              </w:rPr>
              <w:fldChar w:fldCharType="end"/>
            </w:r>
          </w:p>
        </w:sdtContent>
      </w:sdt>
    </w:sdtContent>
  </w:sdt>
  <w:p w14:paraId="2AEBB797" w14:textId="77777777" w:rsidR="00BB005D" w:rsidRDefault="00BB00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946887"/>
      <w:docPartObj>
        <w:docPartGallery w:val="Page Numbers (Top of Page)"/>
        <w:docPartUnique/>
      </w:docPartObj>
    </w:sdtPr>
    <w:sdtEndPr/>
    <w:sdtContent>
      <w:p w14:paraId="4CE14D80" w14:textId="79A2E6C4" w:rsidR="00D248CB" w:rsidRDefault="00BB005D" w:rsidP="00C246E9">
        <w:pPr>
          <w:pStyle w:val="Footer"/>
        </w:pPr>
        <w:r>
          <w:rPr>
            <w:sz w:val="24"/>
            <w:szCs w:val="24"/>
          </w:rPr>
          <w:t xml:space="preserve">DOGWF ETA PY 23-24 </w:t>
        </w:r>
        <w:proofErr w:type="gramStart"/>
        <w:r>
          <w:rPr>
            <w:sz w:val="24"/>
            <w:szCs w:val="24"/>
          </w:rPr>
          <w:t>Re-Post</w:t>
        </w:r>
        <w:r w:rsidR="00D248CB" w:rsidRPr="00C246E9">
          <w:rPr>
            <w:sz w:val="24"/>
            <w:szCs w:val="24"/>
          </w:rPr>
          <w:tab/>
        </w:r>
        <w:r w:rsidR="00D248CB" w:rsidRPr="00C246E9">
          <w:rPr>
            <w:sz w:val="24"/>
            <w:szCs w:val="24"/>
          </w:rPr>
          <w:tab/>
          <w:t>Page</w:t>
        </w:r>
        <w:proofErr w:type="gramEnd"/>
        <w:r w:rsidR="00D248CB" w:rsidRPr="00C246E9">
          <w:rPr>
            <w:sz w:val="24"/>
            <w:szCs w:val="24"/>
          </w:rPr>
          <w:t xml:space="preserve"> </w:t>
        </w:r>
        <w:r w:rsidR="00D248CB" w:rsidRPr="00C246E9">
          <w:rPr>
            <w:bCs/>
            <w:sz w:val="24"/>
            <w:szCs w:val="24"/>
          </w:rPr>
          <w:fldChar w:fldCharType="begin"/>
        </w:r>
        <w:r w:rsidR="00D248CB" w:rsidRPr="00C246E9">
          <w:rPr>
            <w:bCs/>
            <w:sz w:val="24"/>
            <w:szCs w:val="24"/>
          </w:rPr>
          <w:instrText xml:space="preserve"> PAGE </w:instrText>
        </w:r>
        <w:r w:rsidR="00D248CB" w:rsidRPr="00C246E9">
          <w:rPr>
            <w:bCs/>
            <w:sz w:val="24"/>
            <w:szCs w:val="24"/>
          </w:rPr>
          <w:fldChar w:fldCharType="separate"/>
        </w:r>
        <w:r w:rsidR="00E336CE">
          <w:rPr>
            <w:bCs/>
            <w:noProof/>
            <w:sz w:val="24"/>
            <w:szCs w:val="24"/>
          </w:rPr>
          <w:t>1</w:t>
        </w:r>
        <w:r w:rsidR="00D248CB" w:rsidRPr="00C246E9">
          <w:rPr>
            <w:bCs/>
            <w:sz w:val="24"/>
            <w:szCs w:val="24"/>
          </w:rPr>
          <w:fldChar w:fldCharType="end"/>
        </w:r>
        <w:r w:rsidR="00D248CB" w:rsidRPr="00C246E9">
          <w:rPr>
            <w:sz w:val="24"/>
            <w:szCs w:val="24"/>
          </w:rPr>
          <w:t xml:space="preserve"> of </w:t>
        </w:r>
        <w:r w:rsidR="00D248CB" w:rsidRPr="00C246E9">
          <w:rPr>
            <w:bCs/>
            <w:sz w:val="24"/>
            <w:szCs w:val="24"/>
          </w:rPr>
          <w:fldChar w:fldCharType="begin"/>
        </w:r>
        <w:r w:rsidR="00D248CB" w:rsidRPr="00C246E9">
          <w:rPr>
            <w:bCs/>
            <w:sz w:val="24"/>
            <w:szCs w:val="24"/>
          </w:rPr>
          <w:instrText xml:space="preserve"> NUMPAGES  </w:instrText>
        </w:r>
        <w:r w:rsidR="00D248CB" w:rsidRPr="00C246E9">
          <w:rPr>
            <w:bCs/>
            <w:sz w:val="24"/>
            <w:szCs w:val="24"/>
          </w:rPr>
          <w:fldChar w:fldCharType="separate"/>
        </w:r>
        <w:r w:rsidR="00E336CE">
          <w:rPr>
            <w:bCs/>
            <w:noProof/>
            <w:sz w:val="24"/>
            <w:szCs w:val="24"/>
          </w:rPr>
          <w:t>32</w:t>
        </w:r>
        <w:r w:rsidR="00D248CB" w:rsidRPr="00C246E9">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B1AB4" w14:textId="77777777" w:rsidR="00D248CB" w:rsidRDefault="00D248CB" w:rsidP="00C4619D">
      <w:pPr>
        <w:spacing w:after="0" w:line="240" w:lineRule="auto"/>
      </w:pPr>
      <w:r>
        <w:separator/>
      </w:r>
    </w:p>
  </w:footnote>
  <w:footnote w:type="continuationSeparator" w:id="0">
    <w:p w14:paraId="2A7B1AB5" w14:textId="77777777" w:rsidR="00D248CB" w:rsidRDefault="00D248CB" w:rsidP="00C46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6397"/>
    <w:multiLevelType w:val="hybridMultilevel"/>
    <w:tmpl w:val="EC38A8FA"/>
    <w:lvl w:ilvl="0" w:tplc="04090001">
      <w:start w:val="1"/>
      <w:numFmt w:val="bullet"/>
      <w:lvlText w:val=""/>
      <w:lvlJc w:val="left"/>
      <w:pPr>
        <w:ind w:left="360" w:hanging="360"/>
      </w:pPr>
      <w:rPr>
        <w:rFonts w:ascii="Symbol" w:hAnsi="Symbol" w:hint="default"/>
      </w:rPr>
    </w:lvl>
    <w:lvl w:ilvl="1" w:tplc="10780C60">
      <w:numFmt w:val="bullet"/>
      <w:lvlText w:val="•"/>
      <w:lvlJc w:val="left"/>
      <w:pPr>
        <w:ind w:left="1080" w:hanging="36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18103D"/>
    <w:multiLevelType w:val="hybridMultilevel"/>
    <w:tmpl w:val="E174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26CDA"/>
    <w:multiLevelType w:val="hybridMultilevel"/>
    <w:tmpl w:val="77906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BF4DBD"/>
    <w:multiLevelType w:val="hybridMultilevel"/>
    <w:tmpl w:val="1FFA297E"/>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B6C9F"/>
    <w:multiLevelType w:val="hybridMultilevel"/>
    <w:tmpl w:val="C26C3D68"/>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2299"/>
    <w:multiLevelType w:val="hybridMultilevel"/>
    <w:tmpl w:val="F3FA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571FA"/>
    <w:multiLevelType w:val="hybridMultilevel"/>
    <w:tmpl w:val="0486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E11D8"/>
    <w:multiLevelType w:val="hybridMultilevel"/>
    <w:tmpl w:val="6B0A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C6822"/>
    <w:multiLevelType w:val="hybridMultilevel"/>
    <w:tmpl w:val="EAB25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8330F"/>
    <w:multiLevelType w:val="hybridMultilevel"/>
    <w:tmpl w:val="0E42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4229"/>
    <w:multiLevelType w:val="hybridMultilevel"/>
    <w:tmpl w:val="4F969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5A493A"/>
    <w:multiLevelType w:val="hybridMultilevel"/>
    <w:tmpl w:val="CFB8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B3AFA"/>
    <w:multiLevelType w:val="hybridMultilevel"/>
    <w:tmpl w:val="73969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026AF"/>
    <w:multiLevelType w:val="hybridMultilevel"/>
    <w:tmpl w:val="D14ABE2E"/>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83429"/>
    <w:multiLevelType w:val="hybridMultilevel"/>
    <w:tmpl w:val="2C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B37BB"/>
    <w:multiLevelType w:val="hybridMultilevel"/>
    <w:tmpl w:val="7CBCD358"/>
    <w:lvl w:ilvl="0" w:tplc="10780C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D6B28"/>
    <w:multiLevelType w:val="hybridMultilevel"/>
    <w:tmpl w:val="5EC8744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875B7F"/>
    <w:multiLevelType w:val="hybridMultilevel"/>
    <w:tmpl w:val="D422D4C0"/>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94FD1"/>
    <w:multiLevelType w:val="hybridMultilevel"/>
    <w:tmpl w:val="FFFFFFFF"/>
    <w:lvl w:ilvl="0" w:tplc="44000D3A">
      <w:start w:val="1"/>
      <w:numFmt w:val="bullet"/>
      <w:lvlText w:val=""/>
      <w:lvlJc w:val="left"/>
      <w:pPr>
        <w:ind w:left="360" w:hanging="360"/>
      </w:pPr>
      <w:rPr>
        <w:rFonts w:ascii="Wingdings" w:hAnsi="Wingdings" w:hint="default"/>
      </w:rPr>
    </w:lvl>
    <w:lvl w:ilvl="1" w:tplc="D0026632">
      <w:start w:val="1"/>
      <w:numFmt w:val="bullet"/>
      <w:lvlText w:val="o"/>
      <w:lvlJc w:val="left"/>
      <w:pPr>
        <w:ind w:left="1080" w:hanging="360"/>
      </w:pPr>
      <w:rPr>
        <w:rFonts w:ascii="Courier New" w:hAnsi="Courier New" w:hint="default"/>
      </w:rPr>
    </w:lvl>
    <w:lvl w:ilvl="2" w:tplc="1FB6FBCC">
      <w:start w:val="1"/>
      <w:numFmt w:val="bullet"/>
      <w:lvlText w:val=""/>
      <w:lvlJc w:val="left"/>
      <w:pPr>
        <w:ind w:left="1800" w:hanging="360"/>
      </w:pPr>
      <w:rPr>
        <w:rFonts w:ascii="Wingdings" w:hAnsi="Wingdings" w:hint="default"/>
      </w:rPr>
    </w:lvl>
    <w:lvl w:ilvl="3" w:tplc="4D24B5B6">
      <w:start w:val="1"/>
      <w:numFmt w:val="bullet"/>
      <w:lvlText w:val=""/>
      <w:lvlJc w:val="left"/>
      <w:pPr>
        <w:ind w:left="2520" w:hanging="360"/>
      </w:pPr>
      <w:rPr>
        <w:rFonts w:ascii="Symbol" w:hAnsi="Symbol" w:hint="default"/>
      </w:rPr>
    </w:lvl>
    <w:lvl w:ilvl="4" w:tplc="81366CCC">
      <w:start w:val="1"/>
      <w:numFmt w:val="bullet"/>
      <w:lvlText w:val="o"/>
      <w:lvlJc w:val="left"/>
      <w:pPr>
        <w:ind w:left="3240" w:hanging="360"/>
      </w:pPr>
      <w:rPr>
        <w:rFonts w:ascii="Courier New" w:hAnsi="Courier New" w:hint="default"/>
      </w:rPr>
    </w:lvl>
    <w:lvl w:ilvl="5" w:tplc="5D84F7CC">
      <w:start w:val="1"/>
      <w:numFmt w:val="bullet"/>
      <w:lvlText w:val=""/>
      <w:lvlJc w:val="left"/>
      <w:pPr>
        <w:ind w:left="3960" w:hanging="360"/>
      </w:pPr>
      <w:rPr>
        <w:rFonts w:ascii="Wingdings" w:hAnsi="Wingdings" w:hint="default"/>
      </w:rPr>
    </w:lvl>
    <w:lvl w:ilvl="6" w:tplc="0C72BDD4">
      <w:start w:val="1"/>
      <w:numFmt w:val="bullet"/>
      <w:lvlText w:val=""/>
      <w:lvlJc w:val="left"/>
      <w:pPr>
        <w:ind w:left="4680" w:hanging="360"/>
      </w:pPr>
      <w:rPr>
        <w:rFonts w:ascii="Symbol" w:hAnsi="Symbol" w:hint="default"/>
      </w:rPr>
    </w:lvl>
    <w:lvl w:ilvl="7" w:tplc="FC804B46">
      <w:start w:val="1"/>
      <w:numFmt w:val="bullet"/>
      <w:lvlText w:val="o"/>
      <w:lvlJc w:val="left"/>
      <w:pPr>
        <w:ind w:left="5400" w:hanging="360"/>
      </w:pPr>
      <w:rPr>
        <w:rFonts w:ascii="Courier New" w:hAnsi="Courier New" w:hint="default"/>
      </w:rPr>
    </w:lvl>
    <w:lvl w:ilvl="8" w:tplc="40404410">
      <w:start w:val="1"/>
      <w:numFmt w:val="bullet"/>
      <w:lvlText w:val=""/>
      <w:lvlJc w:val="left"/>
      <w:pPr>
        <w:ind w:left="6120" w:hanging="360"/>
      </w:pPr>
      <w:rPr>
        <w:rFonts w:ascii="Wingdings" w:hAnsi="Wingdings" w:hint="default"/>
      </w:rPr>
    </w:lvl>
  </w:abstractNum>
  <w:abstractNum w:abstractNumId="19" w15:restartNumberingAfterBreak="0">
    <w:nsid w:val="798111ED"/>
    <w:multiLevelType w:val="hybridMultilevel"/>
    <w:tmpl w:val="A378BC80"/>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30A17"/>
    <w:multiLevelType w:val="hybridMultilevel"/>
    <w:tmpl w:val="0DDC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939904">
    <w:abstractNumId w:val="2"/>
  </w:num>
  <w:num w:numId="2" w16cid:durableId="689454078">
    <w:abstractNumId w:val="7"/>
  </w:num>
  <w:num w:numId="3" w16cid:durableId="878592664">
    <w:abstractNumId w:val="5"/>
  </w:num>
  <w:num w:numId="4" w16cid:durableId="662659529">
    <w:abstractNumId w:val="13"/>
  </w:num>
  <w:num w:numId="5" w16cid:durableId="1864830390">
    <w:abstractNumId w:val="3"/>
  </w:num>
  <w:num w:numId="6" w16cid:durableId="1689671826">
    <w:abstractNumId w:val="17"/>
  </w:num>
  <w:num w:numId="7" w16cid:durableId="1382482771">
    <w:abstractNumId w:val="4"/>
  </w:num>
  <w:num w:numId="8" w16cid:durableId="504587022">
    <w:abstractNumId w:val="19"/>
  </w:num>
  <w:num w:numId="9" w16cid:durableId="500395704">
    <w:abstractNumId w:val="15"/>
  </w:num>
  <w:num w:numId="10" w16cid:durableId="1327199481">
    <w:abstractNumId w:val="0"/>
  </w:num>
  <w:num w:numId="11" w16cid:durableId="1424035759">
    <w:abstractNumId w:val="10"/>
  </w:num>
  <w:num w:numId="12" w16cid:durableId="192698175">
    <w:abstractNumId w:val="11"/>
  </w:num>
  <w:num w:numId="13" w16cid:durableId="347561247">
    <w:abstractNumId w:val="19"/>
  </w:num>
  <w:num w:numId="14" w16cid:durableId="457994662">
    <w:abstractNumId w:val="9"/>
  </w:num>
  <w:num w:numId="15" w16cid:durableId="1263958561">
    <w:abstractNumId w:val="6"/>
  </w:num>
  <w:num w:numId="16" w16cid:durableId="1856117420">
    <w:abstractNumId w:val="20"/>
  </w:num>
  <w:num w:numId="17" w16cid:durableId="1289703961">
    <w:abstractNumId w:val="14"/>
  </w:num>
  <w:num w:numId="18" w16cid:durableId="1036001574">
    <w:abstractNumId w:val="12"/>
  </w:num>
  <w:num w:numId="19" w16cid:durableId="508133317">
    <w:abstractNumId w:val="1"/>
  </w:num>
  <w:num w:numId="20" w16cid:durableId="2143963001">
    <w:abstractNumId w:val="18"/>
  </w:num>
  <w:num w:numId="21" w16cid:durableId="1187135022">
    <w:abstractNumId w:val="8"/>
  </w:num>
  <w:num w:numId="22" w16cid:durableId="47264803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WwMDYxMDUzMjCwNDVX0lEKTi0uzszPAykwNKoFAKJX/TstAAAA"/>
  </w:docVars>
  <w:rsids>
    <w:rsidRoot w:val="00C4619D"/>
    <w:rsid w:val="00011FF6"/>
    <w:rsid w:val="00014880"/>
    <w:rsid w:val="000465F7"/>
    <w:rsid w:val="000604A2"/>
    <w:rsid w:val="00063D26"/>
    <w:rsid w:val="00064B6A"/>
    <w:rsid w:val="00070957"/>
    <w:rsid w:val="00077074"/>
    <w:rsid w:val="000907CE"/>
    <w:rsid w:val="00090C71"/>
    <w:rsid w:val="000959DC"/>
    <w:rsid w:val="000B770F"/>
    <w:rsid w:val="000C1656"/>
    <w:rsid w:val="000D41F4"/>
    <w:rsid w:val="000E4D62"/>
    <w:rsid w:val="00133F04"/>
    <w:rsid w:val="0014072C"/>
    <w:rsid w:val="00154CD4"/>
    <w:rsid w:val="00166463"/>
    <w:rsid w:val="001721FE"/>
    <w:rsid w:val="001B3587"/>
    <w:rsid w:val="001C6B3D"/>
    <w:rsid w:val="00222B18"/>
    <w:rsid w:val="00233C68"/>
    <w:rsid w:val="00240B61"/>
    <w:rsid w:val="00243E97"/>
    <w:rsid w:val="0024484A"/>
    <w:rsid w:val="0027732C"/>
    <w:rsid w:val="00291A68"/>
    <w:rsid w:val="0029566A"/>
    <w:rsid w:val="002A49F5"/>
    <w:rsid w:val="002A69E5"/>
    <w:rsid w:val="002B0D57"/>
    <w:rsid w:val="002C35C8"/>
    <w:rsid w:val="002C5993"/>
    <w:rsid w:val="002D2C9F"/>
    <w:rsid w:val="002E43F9"/>
    <w:rsid w:val="002F1B40"/>
    <w:rsid w:val="002F4F56"/>
    <w:rsid w:val="002F72EE"/>
    <w:rsid w:val="00302E1B"/>
    <w:rsid w:val="003074D7"/>
    <w:rsid w:val="003310CB"/>
    <w:rsid w:val="00340557"/>
    <w:rsid w:val="00340F8B"/>
    <w:rsid w:val="003460E9"/>
    <w:rsid w:val="003942DF"/>
    <w:rsid w:val="003A6798"/>
    <w:rsid w:val="003C0DC2"/>
    <w:rsid w:val="003D1304"/>
    <w:rsid w:val="003D7D22"/>
    <w:rsid w:val="003F4960"/>
    <w:rsid w:val="00400CB3"/>
    <w:rsid w:val="0043602B"/>
    <w:rsid w:val="00456522"/>
    <w:rsid w:val="004749D2"/>
    <w:rsid w:val="004844F0"/>
    <w:rsid w:val="00494234"/>
    <w:rsid w:val="004966B2"/>
    <w:rsid w:val="004C54B7"/>
    <w:rsid w:val="004C7A9D"/>
    <w:rsid w:val="004D2C52"/>
    <w:rsid w:val="004D4E7D"/>
    <w:rsid w:val="004E109F"/>
    <w:rsid w:val="004F2406"/>
    <w:rsid w:val="004F4F89"/>
    <w:rsid w:val="00514CE3"/>
    <w:rsid w:val="00523650"/>
    <w:rsid w:val="00524E7C"/>
    <w:rsid w:val="005346C5"/>
    <w:rsid w:val="00544538"/>
    <w:rsid w:val="00571C67"/>
    <w:rsid w:val="005745E9"/>
    <w:rsid w:val="005A7281"/>
    <w:rsid w:val="005B023E"/>
    <w:rsid w:val="005C4296"/>
    <w:rsid w:val="005C4514"/>
    <w:rsid w:val="005D0481"/>
    <w:rsid w:val="005E0BAA"/>
    <w:rsid w:val="005E4B40"/>
    <w:rsid w:val="005E57E5"/>
    <w:rsid w:val="005F6171"/>
    <w:rsid w:val="005F6CDB"/>
    <w:rsid w:val="00623BAB"/>
    <w:rsid w:val="00636158"/>
    <w:rsid w:val="00641E19"/>
    <w:rsid w:val="0064435D"/>
    <w:rsid w:val="00686543"/>
    <w:rsid w:val="00687E26"/>
    <w:rsid w:val="00693DDF"/>
    <w:rsid w:val="006A609C"/>
    <w:rsid w:val="006C49CC"/>
    <w:rsid w:val="006D1667"/>
    <w:rsid w:val="006D66AF"/>
    <w:rsid w:val="006D7BE4"/>
    <w:rsid w:val="006E33D0"/>
    <w:rsid w:val="006F5A0B"/>
    <w:rsid w:val="006F6840"/>
    <w:rsid w:val="00700933"/>
    <w:rsid w:val="0071078A"/>
    <w:rsid w:val="00716530"/>
    <w:rsid w:val="00716669"/>
    <w:rsid w:val="00741850"/>
    <w:rsid w:val="007538F6"/>
    <w:rsid w:val="00771FA8"/>
    <w:rsid w:val="00775A64"/>
    <w:rsid w:val="00781EB2"/>
    <w:rsid w:val="00784BC8"/>
    <w:rsid w:val="00787F26"/>
    <w:rsid w:val="007C0F9E"/>
    <w:rsid w:val="007D3711"/>
    <w:rsid w:val="007D58C7"/>
    <w:rsid w:val="007E5895"/>
    <w:rsid w:val="007F1B33"/>
    <w:rsid w:val="008049DD"/>
    <w:rsid w:val="008061A0"/>
    <w:rsid w:val="00821C18"/>
    <w:rsid w:val="00826C66"/>
    <w:rsid w:val="0084049D"/>
    <w:rsid w:val="0085022D"/>
    <w:rsid w:val="00861DD5"/>
    <w:rsid w:val="008650C0"/>
    <w:rsid w:val="008705AC"/>
    <w:rsid w:val="008909EA"/>
    <w:rsid w:val="008A02DA"/>
    <w:rsid w:val="008A230E"/>
    <w:rsid w:val="008C7368"/>
    <w:rsid w:val="008F25C4"/>
    <w:rsid w:val="008F5942"/>
    <w:rsid w:val="00925AA4"/>
    <w:rsid w:val="00927D78"/>
    <w:rsid w:val="0094663B"/>
    <w:rsid w:val="00962108"/>
    <w:rsid w:val="009632DF"/>
    <w:rsid w:val="009651E3"/>
    <w:rsid w:val="00982748"/>
    <w:rsid w:val="009A46BE"/>
    <w:rsid w:val="009A75A1"/>
    <w:rsid w:val="009B6098"/>
    <w:rsid w:val="009E59C3"/>
    <w:rsid w:val="00A05EF4"/>
    <w:rsid w:val="00A11416"/>
    <w:rsid w:val="00A20F6A"/>
    <w:rsid w:val="00A21B60"/>
    <w:rsid w:val="00A311B3"/>
    <w:rsid w:val="00A465C4"/>
    <w:rsid w:val="00A70F23"/>
    <w:rsid w:val="00A73267"/>
    <w:rsid w:val="00A74BA9"/>
    <w:rsid w:val="00A753B5"/>
    <w:rsid w:val="00A86BDE"/>
    <w:rsid w:val="00A86DD1"/>
    <w:rsid w:val="00A87636"/>
    <w:rsid w:val="00A87723"/>
    <w:rsid w:val="00A92296"/>
    <w:rsid w:val="00AC57FF"/>
    <w:rsid w:val="00AD568A"/>
    <w:rsid w:val="00AE047D"/>
    <w:rsid w:val="00B14D9C"/>
    <w:rsid w:val="00B37BB7"/>
    <w:rsid w:val="00B44FC5"/>
    <w:rsid w:val="00B462B4"/>
    <w:rsid w:val="00B535B4"/>
    <w:rsid w:val="00B617B8"/>
    <w:rsid w:val="00B61E64"/>
    <w:rsid w:val="00B71F39"/>
    <w:rsid w:val="00B775DE"/>
    <w:rsid w:val="00B829F0"/>
    <w:rsid w:val="00BA24B1"/>
    <w:rsid w:val="00BA7A5B"/>
    <w:rsid w:val="00BB005D"/>
    <w:rsid w:val="00BB00C9"/>
    <w:rsid w:val="00BC356A"/>
    <w:rsid w:val="00BD2D7B"/>
    <w:rsid w:val="00BD5FED"/>
    <w:rsid w:val="00BF7C9C"/>
    <w:rsid w:val="00BF7E4A"/>
    <w:rsid w:val="00C2293A"/>
    <w:rsid w:val="00C246E9"/>
    <w:rsid w:val="00C25776"/>
    <w:rsid w:val="00C438E6"/>
    <w:rsid w:val="00C4619D"/>
    <w:rsid w:val="00C606DA"/>
    <w:rsid w:val="00C659B4"/>
    <w:rsid w:val="00C83C7A"/>
    <w:rsid w:val="00C84B03"/>
    <w:rsid w:val="00C864F3"/>
    <w:rsid w:val="00CC6D87"/>
    <w:rsid w:val="00CE4E83"/>
    <w:rsid w:val="00CE7DBA"/>
    <w:rsid w:val="00CF3344"/>
    <w:rsid w:val="00D00615"/>
    <w:rsid w:val="00D248CB"/>
    <w:rsid w:val="00D37AB5"/>
    <w:rsid w:val="00D426EA"/>
    <w:rsid w:val="00D43839"/>
    <w:rsid w:val="00D531FE"/>
    <w:rsid w:val="00D7273E"/>
    <w:rsid w:val="00D847CF"/>
    <w:rsid w:val="00D84EC1"/>
    <w:rsid w:val="00D92336"/>
    <w:rsid w:val="00D9507B"/>
    <w:rsid w:val="00DD2A85"/>
    <w:rsid w:val="00DD5A7C"/>
    <w:rsid w:val="00DE3A9E"/>
    <w:rsid w:val="00DF04CB"/>
    <w:rsid w:val="00E11D10"/>
    <w:rsid w:val="00E22C01"/>
    <w:rsid w:val="00E23A28"/>
    <w:rsid w:val="00E336CE"/>
    <w:rsid w:val="00E45DDD"/>
    <w:rsid w:val="00E47FE8"/>
    <w:rsid w:val="00E52A71"/>
    <w:rsid w:val="00E5359A"/>
    <w:rsid w:val="00E62996"/>
    <w:rsid w:val="00E70543"/>
    <w:rsid w:val="00E77FE5"/>
    <w:rsid w:val="00E81F29"/>
    <w:rsid w:val="00E90290"/>
    <w:rsid w:val="00E93C01"/>
    <w:rsid w:val="00EA22D1"/>
    <w:rsid w:val="00EB7C33"/>
    <w:rsid w:val="00ED2643"/>
    <w:rsid w:val="00ED6F27"/>
    <w:rsid w:val="00EE29CE"/>
    <w:rsid w:val="00EE6F6A"/>
    <w:rsid w:val="00EF4E2D"/>
    <w:rsid w:val="00F11E1F"/>
    <w:rsid w:val="00F30065"/>
    <w:rsid w:val="00F40AB7"/>
    <w:rsid w:val="00F7314C"/>
    <w:rsid w:val="00F9480C"/>
    <w:rsid w:val="00FD56D3"/>
    <w:rsid w:val="00FE11C7"/>
    <w:rsid w:val="00FE16C5"/>
    <w:rsid w:val="00FE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A7B1A51"/>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B03"/>
  </w:style>
  <w:style w:type="paragraph" w:styleId="Heading1">
    <w:name w:val="heading 1"/>
    <w:basedOn w:val="Normal"/>
    <w:next w:val="Normal"/>
    <w:link w:val="Heading1Char"/>
    <w:uiPriority w:val="9"/>
    <w:qFormat/>
    <w:rsid w:val="00C246E9"/>
    <w:pPr>
      <w:spacing w:after="0" w:line="240" w:lineRule="auto"/>
      <w:outlineLvl w:val="0"/>
    </w:pPr>
    <w:rPr>
      <w:b/>
      <w:noProof/>
      <w:color w:val="1F4E79" w:themeColor="accent1" w:themeShade="80"/>
      <w:sz w:val="28"/>
      <w:szCs w:val="28"/>
    </w:rPr>
  </w:style>
  <w:style w:type="paragraph" w:styleId="Heading2">
    <w:name w:val="heading 2"/>
    <w:basedOn w:val="Normal"/>
    <w:next w:val="Normal"/>
    <w:link w:val="Heading2Char"/>
    <w:uiPriority w:val="9"/>
    <w:unhideWhenUsed/>
    <w:qFormat/>
    <w:rsid w:val="00C246E9"/>
    <w:pPr>
      <w:outlineLvl w:val="1"/>
    </w:pPr>
    <w:rPr>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4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C4619D"/>
    <w:rPr>
      <w:color w:val="0563C1" w:themeColor="hyperlink"/>
      <w:u w:val="single"/>
    </w:rPr>
  </w:style>
  <w:style w:type="paragraph" w:styleId="BalloonText">
    <w:name w:val="Balloon Text"/>
    <w:basedOn w:val="Normal"/>
    <w:link w:val="BalloonTextChar"/>
    <w:uiPriority w:val="99"/>
    <w:semiHidden/>
    <w:unhideWhenUsed/>
    <w:rsid w:val="00C4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C246E9"/>
    <w:rPr>
      <w:b/>
      <w:noProof/>
      <w:color w:val="1F4E79" w:themeColor="accent1" w:themeShade="80"/>
      <w:sz w:val="28"/>
      <w:szCs w:val="28"/>
    </w:rPr>
  </w:style>
  <w:style w:type="table" w:styleId="PlainTable3">
    <w:name w:val="Plain Table 3"/>
    <w:basedOn w:val="TableNormal"/>
    <w:uiPriority w:val="43"/>
    <w:rsid w:val="00C246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C246E9"/>
    <w:rPr>
      <w:b/>
      <w:color w:val="1F4E79" w:themeColor="accent1" w:themeShade="80"/>
    </w:rPr>
  </w:style>
  <w:style w:type="paragraph" w:styleId="ListParagraph">
    <w:name w:val="List Paragraph"/>
    <w:basedOn w:val="Normal"/>
    <w:uiPriority w:val="1"/>
    <w:qFormat/>
    <w:rsid w:val="004F2406"/>
    <w:pPr>
      <w:ind w:left="720"/>
      <w:contextualSpacing/>
    </w:pPr>
  </w:style>
  <w:style w:type="character" w:styleId="CommentReference">
    <w:name w:val="annotation reference"/>
    <w:basedOn w:val="DefaultParagraphFont"/>
    <w:uiPriority w:val="99"/>
    <w:semiHidden/>
    <w:unhideWhenUsed/>
    <w:rsid w:val="00B462B4"/>
    <w:rPr>
      <w:sz w:val="16"/>
      <w:szCs w:val="16"/>
    </w:rPr>
  </w:style>
  <w:style w:type="paragraph" w:styleId="CommentText">
    <w:name w:val="annotation text"/>
    <w:basedOn w:val="Normal"/>
    <w:link w:val="CommentTextChar"/>
    <w:uiPriority w:val="99"/>
    <w:semiHidden/>
    <w:unhideWhenUsed/>
    <w:rsid w:val="00B462B4"/>
    <w:pPr>
      <w:spacing w:line="240"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B462B4"/>
    <w:rPr>
      <w:rFonts w:eastAsiaTheme="minorEastAsia" w:cs="Times New Roman"/>
      <w:sz w:val="20"/>
      <w:szCs w:val="20"/>
    </w:rPr>
  </w:style>
  <w:style w:type="character" w:styleId="UnresolvedMention">
    <w:name w:val="Unresolved Mention"/>
    <w:basedOn w:val="DefaultParagraphFont"/>
    <w:uiPriority w:val="99"/>
    <w:semiHidden/>
    <w:unhideWhenUsed/>
    <w:rsid w:val="00826C66"/>
    <w:rPr>
      <w:color w:val="605E5C"/>
      <w:shd w:val="clear" w:color="auto" w:fill="E1DFDD"/>
    </w:rPr>
  </w:style>
  <w:style w:type="paragraph" w:styleId="NormalWeb">
    <w:name w:val="Normal (Web)"/>
    <w:basedOn w:val="Normal"/>
    <w:uiPriority w:val="99"/>
    <w:unhideWhenUsed/>
    <w:rsid w:val="00D37AB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87F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1278">
      <w:bodyDiv w:val="1"/>
      <w:marLeft w:val="0"/>
      <w:marRight w:val="0"/>
      <w:marTop w:val="0"/>
      <w:marBottom w:val="0"/>
      <w:divBdr>
        <w:top w:val="none" w:sz="0" w:space="0" w:color="auto"/>
        <w:left w:val="none" w:sz="0" w:space="0" w:color="auto"/>
        <w:bottom w:val="none" w:sz="0" w:space="0" w:color="auto"/>
        <w:right w:val="none" w:sz="0" w:space="0" w:color="auto"/>
      </w:divBdr>
    </w:div>
    <w:div w:id="636688914">
      <w:bodyDiv w:val="1"/>
      <w:marLeft w:val="0"/>
      <w:marRight w:val="0"/>
      <w:marTop w:val="0"/>
      <w:marBottom w:val="0"/>
      <w:divBdr>
        <w:top w:val="none" w:sz="0" w:space="0" w:color="auto"/>
        <w:left w:val="none" w:sz="0" w:space="0" w:color="auto"/>
        <w:bottom w:val="none" w:sz="0" w:space="0" w:color="auto"/>
        <w:right w:val="none" w:sz="0" w:space="0" w:color="auto"/>
      </w:divBdr>
    </w:div>
    <w:div w:id="777070223">
      <w:bodyDiv w:val="1"/>
      <w:marLeft w:val="0"/>
      <w:marRight w:val="0"/>
      <w:marTop w:val="0"/>
      <w:marBottom w:val="0"/>
      <w:divBdr>
        <w:top w:val="none" w:sz="0" w:space="0" w:color="auto"/>
        <w:left w:val="none" w:sz="0" w:space="0" w:color="auto"/>
        <w:bottom w:val="none" w:sz="0" w:space="0" w:color="auto"/>
        <w:right w:val="none" w:sz="0" w:space="0" w:color="auto"/>
      </w:divBdr>
    </w:div>
    <w:div w:id="803885747">
      <w:bodyDiv w:val="1"/>
      <w:marLeft w:val="0"/>
      <w:marRight w:val="0"/>
      <w:marTop w:val="0"/>
      <w:marBottom w:val="0"/>
      <w:divBdr>
        <w:top w:val="none" w:sz="0" w:space="0" w:color="auto"/>
        <w:left w:val="none" w:sz="0" w:space="0" w:color="auto"/>
        <w:bottom w:val="none" w:sz="0" w:space="0" w:color="auto"/>
        <w:right w:val="none" w:sz="0" w:space="0" w:color="auto"/>
      </w:divBdr>
    </w:div>
    <w:div w:id="879391921">
      <w:bodyDiv w:val="1"/>
      <w:marLeft w:val="0"/>
      <w:marRight w:val="0"/>
      <w:marTop w:val="0"/>
      <w:marBottom w:val="0"/>
      <w:divBdr>
        <w:top w:val="none" w:sz="0" w:space="0" w:color="auto"/>
        <w:left w:val="none" w:sz="0" w:space="0" w:color="auto"/>
        <w:bottom w:val="none" w:sz="0" w:space="0" w:color="auto"/>
        <w:right w:val="none" w:sz="0" w:space="0" w:color="auto"/>
      </w:divBdr>
    </w:div>
    <w:div w:id="1013529727">
      <w:bodyDiv w:val="1"/>
      <w:marLeft w:val="0"/>
      <w:marRight w:val="0"/>
      <w:marTop w:val="0"/>
      <w:marBottom w:val="0"/>
      <w:divBdr>
        <w:top w:val="none" w:sz="0" w:space="0" w:color="auto"/>
        <w:left w:val="none" w:sz="0" w:space="0" w:color="auto"/>
        <w:bottom w:val="none" w:sz="0" w:space="0" w:color="auto"/>
        <w:right w:val="none" w:sz="0" w:space="0" w:color="auto"/>
      </w:divBdr>
    </w:div>
    <w:div w:id="1062825961">
      <w:bodyDiv w:val="1"/>
      <w:marLeft w:val="0"/>
      <w:marRight w:val="0"/>
      <w:marTop w:val="0"/>
      <w:marBottom w:val="0"/>
      <w:divBdr>
        <w:top w:val="none" w:sz="0" w:space="0" w:color="auto"/>
        <w:left w:val="none" w:sz="0" w:space="0" w:color="auto"/>
        <w:bottom w:val="none" w:sz="0" w:space="0" w:color="auto"/>
        <w:right w:val="none" w:sz="0" w:space="0" w:color="auto"/>
      </w:divBdr>
    </w:div>
    <w:div w:id="1154830463">
      <w:bodyDiv w:val="1"/>
      <w:marLeft w:val="0"/>
      <w:marRight w:val="0"/>
      <w:marTop w:val="0"/>
      <w:marBottom w:val="0"/>
      <w:divBdr>
        <w:top w:val="none" w:sz="0" w:space="0" w:color="auto"/>
        <w:left w:val="none" w:sz="0" w:space="0" w:color="auto"/>
        <w:bottom w:val="none" w:sz="0" w:space="0" w:color="auto"/>
        <w:right w:val="none" w:sz="0" w:space="0" w:color="auto"/>
      </w:divBdr>
    </w:div>
    <w:div w:id="1687902754">
      <w:bodyDiv w:val="1"/>
      <w:marLeft w:val="0"/>
      <w:marRight w:val="0"/>
      <w:marTop w:val="0"/>
      <w:marBottom w:val="0"/>
      <w:divBdr>
        <w:top w:val="none" w:sz="0" w:space="0" w:color="auto"/>
        <w:left w:val="none" w:sz="0" w:space="0" w:color="auto"/>
        <w:bottom w:val="none" w:sz="0" w:space="0" w:color="auto"/>
        <w:right w:val="none" w:sz="0" w:space="0" w:color="auto"/>
      </w:divBdr>
    </w:div>
    <w:div w:id="1880317231">
      <w:bodyDiv w:val="1"/>
      <w:marLeft w:val="0"/>
      <w:marRight w:val="0"/>
      <w:marTop w:val="0"/>
      <w:marBottom w:val="0"/>
      <w:divBdr>
        <w:top w:val="none" w:sz="0" w:space="0" w:color="auto"/>
        <w:left w:val="none" w:sz="0" w:space="0" w:color="auto"/>
        <w:bottom w:val="none" w:sz="0" w:space="0" w:color="auto"/>
        <w:right w:val="none" w:sz="0" w:space="0" w:color="auto"/>
      </w:divBdr>
    </w:div>
    <w:div w:id="21296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rica.Bouris@rescu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Project Management" ma:contentTypeID="0x010100D571FD07E671E2489F449FDA63933F4100EB9405400B65984A9E7974DD7067B5E1" ma:contentTypeVersion="8" ma:contentTypeDescription="" ma:contentTypeScope="" ma:versionID="90554cac134d096597d38627d1904b9e">
  <xsd:schema xmlns:xsd="http://www.w3.org/2001/XMLSchema" xmlns:xs="http://www.w3.org/2001/XMLSchema" xmlns:p="http://schemas.microsoft.com/office/2006/metadata/properties" targetNamespace="http://schemas.microsoft.com/office/2006/metadata/properties" ma:root="true" ma:fieldsID="92a620696f3a486d1c15ca9c73122f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DF960-B91E-42A4-BF44-EB0FF909A7FF}">
  <ds:schemaRef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7C65A42-12BD-4968-938C-A576DB8A7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48D163-EF31-4114-B1BA-37B93560C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656</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Award List Template (for SFPs)</vt:lpstr>
    </vt:vector>
  </TitlesOfParts>
  <Company>Employment Development Department</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List Template (for SFPs)</dc:title>
  <dc:subject/>
  <dc:creator>EDD WSB</dc:creator>
  <cp:keywords>SFP, grant funding</cp:keywords>
  <dc:description/>
  <cp:lastModifiedBy>Richardson, Jeffrey@EDD</cp:lastModifiedBy>
  <cp:revision>16</cp:revision>
  <cp:lastPrinted>2017-06-15T19:41:00Z</cp:lastPrinted>
  <dcterms:created xsi:type="dcterms:W3CDTF">2024-04-09T18:15:00Z</dcterms:created>
  <dcterms:modified xsi:type="dcterms:W3CDTF">2024-10-22T15:46:00Z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0x010100D571FD07E671E2489F449FDA63933F4100EB9405400B65984A9E7974DD7067B5E1</vt:lpwstr>
  </property>
  <property fmtid="{D5CDD505-2E9C-101B-9397-08002B2CF9AE}" pid="3" name="GrammarlyDocumentId">
    <vt:lpwstr>849e5338b147d4998fd493dd46e517bc1094b42efd36989eb7c565959a1932ed</vt:lpwstr>
  </property>
  <property fmtid="{D5CDD505-2E9C-101B-9397-08002B2CF9AE}" pid="4" name="TaxKeywordTaxHTField">
    <vt:lpwstr>grant funding|24533338-b092-46de-9a94-240000df5e0b;SFP|450a614c-e2c0-40a1-8bc3-ae6ada1023fe</vt:lpwstr>
  </property>
  <property fmtid="{D5CDD505-2E9C-101B-9397-08002B2CF9AE}" pid="5" name="TaxKeyword">
    <vt:lpwstr>163;#grant funding|24533338-b092-46de-9a94-240000df5e0b;#162;#SFP|450a614c-e2c0-40a1-8bc3-ae6ada1023fe</vt:lpwstr>
  </property>
  <property fmtid="{D5CDD505-2E9C-101B-9397-08002B2CF9AE}" pid="6" name="TaxCatchAll">
    <vt:lpwstr>163;#grant funding;#162;#SFP</vt:lpwstr>
  </property>
</Properties>
</file>