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BD2C" w14:textId="0AC4FFBC" w:rsidR="005E3EFB" w:rsidRPr="005E3EFB" w:rsidRDefault="005E3EFB" w:rsidP="005E3EFB">
      <w:pPr>
        <w:pStyle w:val="Header"/>
        <w:rPr>
          <w:rFonts w:cstheme="minorHAnsi"/>
          <w:bCs/>
          <w:szCs w:val="24"/>
        </w:rPr>
      </w:pPr>
      <w:r>
        <w:rPr>
          <w:noProof/>
        </w:rPr>
        <w:drawing>
          <wp:inline distT="0" distB="0" distL="0" distR="0" wp14:anchorId="35DD537A" wp14:editId="06D842CB">
            <wp:extent cx="1753974" cy="638175"/>
            <wp:effectExtent l="0" t="0" r="0" b="0"/>
            <wp:docPr id="784037074" name="Picture 784037074"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00B0D934" w14:textId="77777777" w:rsidR="005E3EFB" w:rsidRDefault="005E3EFB" w:rsidP="005E3EFB">
      <w:pPr>
        <w:pStyle w:val="Header"/>
        <w:rPr>
          <w:rFonts w:cstheme="minorHAnsi"/>
          <w:b/>
          <w:color w:val="1F4E79" w:themeColor="accent1" w:themeShade="80"/>
          <w:sz w:val="28"/>
          <w:szCs w:val="28"/>
        </w:rPr>
      </w:pPr>
      <w:r>
        <w:rPr>
          <w:rFonts w:cstheme="minorHAnsi"/>
          <w:b/>
          <w:color w:val="1F4E79" w:themeColor="accent1" w:themeShade="80"/>
          <w:sz w:val="28"/>
          <w:szCs w:val="28"/>
        </w:rPr>
        <w:t xml:space="preserve">Campesino de California Outreach Grant – Radio Media </w:t>
      </w:r>
    </w:p>
    <w:p w14:paraId="1B895086" w14:textId="77777777" w:rsidR="005E3EFB" w:rsidRDefault="005E3EFB" w:rsidP="005E3EFB">
      <w:pPr>
        <w:pStyle w:val="Header"/>
        <w:rPr>
          <w:rFonts w:cstheme="minorHAnsi"/>
          <w:b/>
          <w:color w:val="1F4E79" w:themeColor="accent1" w:themeShade="80"/>
          <w:sz w:val="28"/>
          <w:szCs w:val="28"/>
        </w:rPr>
      </w:pPr>
      <w:r>
        <w:rPr>
          <w:rFonts w:cstheme="minorHAnsi"/>
          <w:b/>
          <w:color w:val="1F4E79" w:themeColor="accent1" w:themeShade="80"/>
          <w:sz w:val="28"/>
          <w:szCs w:val="28"/>
        </w:rPr>
        <w:t xml:space="preserve">Solicitation for Proposals </w:t>
      </w:r>
      <w:r w:rsidRPr="00DF7D10">
        <w:rPr>
          <w:rFonts w:cstheme="minorHAnsi"/>
          <w:b/>
          <w:color w:val="1F4E79" w:themeColor="accent1" w:themeShade="80"/>
          <w:sz w:val="28"/>
          <w:szCs w:val="28"/>
        </w:rPr>
        <w:t>P</w:t>
      </w:r>
      <w:r>
        <w:rPr>
          <w:rFonts w:cstheme="minorHAnsi"/>
          <w:b/>
          <w:color w:val="1F4E79" w:themeColor="accent1" w:themeShade="80"/>
          <w:sz w:val="28"/>
          <w:szCs w:val="28"/>
        </w:rPr>
        <w:t xml:space="preserve">rogram </w:t>
      </w:r>
      <w:r w:rsidRPr="00DF7D10">
        <w:rPr>
          <w:rFonts w:cstheme="minorHAnsi"/>
          <w:b/>
          <w:color w:val="1F4E79" w:themeColor="accent1" w:themeShade="80"/>
          <w:sz w:val="28"/>
          <w:szCs w:val="28"/>
        </w:rPr>
        <w:t>Y</w:t>
      </w:r>
      <w:r>
        <w:rPr>
          <w:rFonts w:cstheme="minorHAnsi"/>
          <w:b/>
          <w:color w:val="1F4E79" w:themeColor="accent1" w:themeShade="80"/>
          <w:sz w:val="28"/>
          <w:szCs w:val="28"/>
        </w:rPr>
        <w:t>ear</w:t>
      </w:r>
      <w:r w:rsidRPr="00DF7D10">
        <w:rPr>
          <w:rFonts w:cstheme="minorHAnsi"/>
          <w:b/>
          <w:color w:val="1F4E79" w:themeColor="accent1" w:themeShade="80"/>
          <w:sz w:val="28"/>
          <w:szCs w:val="28"/>
        </w:rPr>
        <w:t xml:space="preserve"> </w:t>
      </w:r>
      <w:r>
        <w:rPr>
          <w:rFonts w:cstheme="minorHAnsi"/>
          <w:b/>
          <w:color w:val="1F4E79" w:themeColor="accent1" w:themeShade="80"/>
          <w:sz w:val="28"/>
          <w:szCs w:val="28"/>
        </w:rPr>
        <w:t>2024-25</w:t>
      </w:r>
    </w:p>
    <w:p w14:paraId="6F0D702D" w14:textId="7DE2D3BB" w:rsidR="005E3EFB" w:rsidRDefault="005E3EFB" w:rsidP="005E3EFB">
      <w:pPr>
        <w:pStyle w:val="Header"/>
        <w:rPr>
          <w:rFonts w:cstheme="minorHAnsi"/>
          <w:b/>
          <w:color w:val="1F4E79" w:themeColor="accent1" w:themeShade="80"/>
          <w:sz w:val="28"/>
          <w:szCs w:val="28"/>
        </w:rPr>
      </w:pPr>
      <w:r>
        <w:rPr>
          <w:rFonts w:cstheme="minorHAnsi"/>
          <w:b/>
          <w:color w:val="1F4E79" w:themeColor="accent1" w:themeShade="80"/>
          <w:sz w:val="28"/>
          <w:szCs w:val="28"/>
        </w:rPr>
        <w:t>Questions and Answers</w:t>
      </w:r>
    </w:p>
    <w:p w14:paraId="76E67EEA" w14:textId="77777777" w:rsidR="005E3EFB" w:rsidRDefault="005E3EFB" w:rsidP="005E3EFB">
      <w:pPr>
        <w:sectPr w:rsidR="005E3EFB" w:rsidSect="005E3EFB">
          <w:footerReference w:type="default" r:id="rId12"/>
          <w:footerReference w:type="first" r:id="rId13"/>
          <w:pgSz w:w="12240" w:h="15840"/>
          <w:pgMar w:top="1008" w:right="1008" w:bottom="1008" w:left="1008" w:header="720" w:footer="720" w:gutter="0"/>
          <w:cols w:num="2" w:space="144" w:equalWidth="0">
            <w:col w:w="2880" w:space="144"/>
            <w:col w:w="7200"/>
          </w:cols>
          <w:titlePg/>
          <w:docGrid w:linePitch="360"/>
        </w:sectPr>
      </w:pPr>
    </w:p>
    <w:p w14:paraId="451712C6" w14:textId="77777777" w:rsidR="005E3EFB" w:rsidRPr="001A2FE1" w:rsidRDefault="005E3EFB" w:rsidP="005E3EFB">
      <w:pPr>
        <w:pBdr>
          <w:bottom w:val="single" w:sz="4" w:space="1" w:color="auto"/>
        </w:pBdr>
        <w:rPr>
          <w:b/>
          <w:sz w:val="16"/>
          <w:szCs w:val="16"/>
        </w:rPr>
      </w:pPr>
    </w:p>
    <w:p w14:paraId="65668EB3" w14:textId="1E88A234" w:rsidR="006D0069" w:rsidRPr="00915FAB" w:rsidRDefault="00DB1930" w:rsidP="7D74C942">
      <w:pPr>
        <w:pStyle w:val="ListParagraph"/>
        <w:numPr>
          <w:ilvl w:val="0"/>
          <w:numId w:val="16"/>
        </w:numPr>
        <w:spacing w:before="240"/>
      </w:pPr>
      <w:r w:rsidRPr="00915FAB">
        <w:rPr>
          <w:rStyle w:val="Heading1Char"/>
          <w:bCs/>
        </w:rPr>
        <w:t>What is the grant period of performance?</w:t>
      </w:r>
    </w:p>
    <w:p w14:paraId="2A7D462A" w14:textId="77777777" w:rsidR="006D0069" w:rsidRPr="000D27DB" w:rsidRDefault="006D0069" w:rsidP="003A1359">
      <w:pPr>
        <w:rPr>
          <w:rFonts w:cstheme="minorHAnsi"/>
          <w:szCs w:val="24"/>
        </w:rPr>
      </w:pPr>
    </w:p>
    <w:p w14:paraId="011E2A3A" w14:textId="3307A4C9" w:rsidR="002B6EEC" w:rsidRDefault="00DB1930" w:rsidP="00915FAB">
      <w:pPr>
        <w:ind w:left="360"/>
        <w:rPr>
          <w:rFonts w:cstheme="minorHAnsi"/>
          <w:szCs w:val="24"/>
        </w:rPr>
      </w:pPr>
      <w:r w:rsidRPr="000D27DB">
        <w:rPr>
          <w:rFonts w:cstheme="minorHAnsi"/>
          <w:szCs w:val="24"/>
        </w:rPr>
        <w:t xml:space="preserve">The </w:t>
      </w:r>
      <w:r w:rsidR="002B6EEC">
        <w:rPr>
          <w:rFonts w:cstheme="minorHAnsi"/>
          <w:szCs w:val="24"/>
        </w:rPr>
        <w:t>grant period of performance</w:t>
      </w:r>
      <w:r w:rsidRPr="000D27DB">
        <w:rPr>
          <w:rFonts w:cstheme="minorHAnsi"/>
          <w:szCs w:val="24"/>
        </w:rPr>
        <w:t xml:space="preserve"> is 12</w:t>
      </w:r>
      <w:r w:rsidR="009001AA">
        <w:rPr>
          <w:rFonts w:cstheme="minorHAnsi"/>
          <w:szCs w:val="24"/>
        </w:rPr>
        <w:t>-</w:t>
      </w:r>
      <w:r w:rsidRPr="000D27DB">
        <w:rPr>
          <w:rFonts w:cstheme="minorHAnsi"/>
          <w:szCs w:val="24"/>
        </w:rPr>
        <w:t>months</w:t>
      </w:r>
      <w:r w:rsidR="0046415E">
        <w:rPr>
          <w:rFonts w:cstheme="minorHAnsi"/>
          <w:szCs w:val="24"/>
        </w:rPr>
        <w:t xml:space="preserve">. The </w:t>
      </w:r>
      <w:r w:rsidR="009001AA">
        <w:rPr>
          <w:rFonts w:cstheme="minorHAnsi"/>
          <w:szCs w:val="24"/>
        </w:rPr>
        <w:t>anticipated start date</w:t>
      </w:r>
      <w:r w:rsidR="0046415E">
        <w:rPr>
          <w:rFonts w:cstheme="minorHAnsi"/>
          <w:szCs w:val="24"/>
        </w:rPr>
        <w:t xml:space="preserve"> is</w:t>
      </w:r>
      <w:r w:rsidR="009001AA">
        <w:rPr>
          <w:rFonts w:cstheme="minorHAnsi"/>
          <w:szCs w:val="24"/>
        </w:rPr>
        <w:t xml:space="preserve"> July 1, 2024, </w:t>
      </w:r>
      <w:r w:rsidR="0046415E">
        <w:rPr>
          <w:rFonts w:cstheme="minorHAnsi"/>
          <w:szCs w:val="24"/>
        </w:rPr>
        <w:t xml:space="preserve">and </w:t>
      </w:r>
      <w:r w:rsidR="0015040E" w:rsidRPr="000D27DB">
        <w:rPr>
          <w:rFonts w:cstheme="minorHAnsi"/>
          <w:szCs w:val="24"/>
        </w:rPr>
        <w:t>the end date</w:t>
      </w:r>
      <w:r w:rsidR="00EC4225">
        <w:rPr>
          <w:rFonts w:cstheme="minorHAnsi"/>
          <w:szCs w:val="24"/>
        </w:rPr>
        <w:t xml:space="preserve"> is</w:t>
      </w:r>
      <w:r w:rsidR="0015040E" w:rsidRPr="000D27DB">
        <w:rPr>
          <w:rFonts w:cstheme="minorHAnsi"/>
          <w:szCs w:val="24"/>
        </w:rPr>
        <w:t xml:space="preserve"> </w:t>
      </w:r>
      <w:r w:rsidR="00EC4225">
        <w:rPr>
          <w:rFonts w:cstheme="minorHAnsi"/>
          <w:szCs w:val="24"/>
        </w:rPr>
        <w:t>June</w:t>
      </w:r>
      <w:r w:rsidR="0015040E" w:rsidRPr="000D27DB">
        <w:rPr>
          <w:rFonts w:cstheme="minorHAnsi"/>
          <w:szCs w:val="24"/>
        </w:rPr>
        <w:t xml:space="preserve"> </w:t>
      </w:r>
      <w:r w:rsidR="00EC4225">
        <w:rPr>
          <w:rFonts w:cstheme="minorHAnsi"/>
          <w:szCs w:val="24"/>
        </w:rPr>
        <w:t>30</w:t>
      </w:r>
      <w:r w:rsidR="0015040E" w:rsidRPr="000D27DB">
        <w:rPr>
          <w:rFonts w:cstheme="minorHAnsi"/>
          <w:szCs w:val="24"/>
        </w:rPr>
        <w:t xml:space="preserve">, </w:t>
      </w:r>
      <w:r w:rsidR="00790155" w:rsidRPr="000D27DB">
        <w:rPr>
          <w:rFonts w:cstheme="minorHAnsi"/>
          <w:szCs w:val="24"/>
        </w:rPr>
        <w:t>202</w:t>
      </w:r>
      <w:r w:rsidR="00EC4225">
        <w:rPr>
          <w:rFonts w:cstheme="minorHAnsi"/>
          <w:szCs w:val="24"/>
        </w:rPr>
        <w:t>5</w:t>
      </w:r>
      <w:r w:rsidR="00790155">
        <w:rPr>
          <w:rFonts w:cstheme="minorHAnsi"/>
          <w:szCs w:val="24"/>
        </w:rPr>
        <w:t>.</w:t>
      </w:r>
      <w:r w:rsidR="002B6EEC">
        <w:rPr>
          <w:rFonts w:cstheme="minorHAnsi"/>
          <w:szCs w:val="24"/>
        </w:rPr>
        <w:t xml:space="preserve"> </w:t>
      </w:r>
      <w:r w:rsidR="004F3231" w:rsidRPr="004F3231">
        <w:rPr>
          <w:rFonts w:cstheme="minorHAnsi"/>
          <w:szCs w:val="24"/>
        </w:rPr>
        <w:t>For additional information, see Section 1.</w:t>
      </w:r>
      <w:r w:rsidR="004F3231">
        <w:rPr>
          <w:rFonts w:cstheme="minorHAnsi"/>
          <w:szCs w:val="24"/>
        </w:rPr>
        <w:t>B</w:t>
      </w:r>
      <w:r w:rsidR="004F3231" w:rsidRPr="004F3231">
        <w:rPr>
          <w:rFonts w:cstheme="minorHAnsi"/>
          <w:szCs w:val="24"/>
        </w:rPr>
        <w:t xml:space="preserve">. of the SFP, </w:t>
      </w:r>
      <w:r w:rsidR="004F3231" w:rsidRPr="00FB3FAA">
        <w:rPr>
          <w:rFonts w:cstheme="minorHAnsi"/>
          <w:szCs w:val="24"/>
        </w:rPr>
        <w:t>Availability</w:t>
      </w:r>
      <w:r w:rsidR="004F3231">
        <w:rPr>
          <w:rFonts w:cstheme="minorHAnsi"/>
          <w:szCs w:val="24"/>
        </w:rPr>
        <w:t>.</w:t>
      </w:r>
      <w:bookmarkStart w:id="0" w:name="_Hlk148600659"/>
    </w:p>
    <w:p w14:paraId="183F93C1" w14:textId="77777777" w:rsidR="002B6EEC" w:rsidRDefault="002B6EEC" w:rsidP="005672DE">
      <w:pPr>
        <w:rPr>
          <w:rFonts w:cstheme="minorHAnsi"/>
          <w:szCs w:val="24"/>
        </w:rPr>
      </w:pPr>
    </w:p>
    <w:p w14:paraId="515304AD" w14:textId="122AD65D" w:rsidR="005672DE" w:rsidRPr="000D27DB" w:rsidRDefault="002E1426" w:rsidP="00915FAB">
      <w:pPr>
        <w:ind w:left="360"/>
        <w:rPr>
          <w:rFonts w:cstheme="minorHAnsi"/>
          <w:szCs w:val="24"/>
        </w:rPr>
      </w:pPr>
      <w:r w:rsidRPr="000D27DB">
        <w:rPr>
          <w:rFonts w:cstheme="minorHAnsi"/>
          <w:szCs w:val="24"/>
        </w:rPr>
        <w:t>Please note that the project start date i</w:t>
      </w:r>
      <w:r w:rsidR="00331BF6" w:rsidRPr="000D27DB">
        <w:rPr>
          <w:rFonts w:cstheme="minorHAnsi"/>
          <w:szCs w:val="24"/>
        </w:rPr>
        <w:t>s</w:t>
      </w:r>
      <w:r w:rsidRPr="000D27DB">
        <w:rPr>
          <w:rFonts w:cstheme="minorHAnsi"/>
          <w:szCs w:val="24"/>
        </w:rPr>
        <w:t xml:space="preserve"> an estimated date pending exhibit and </w:t>
      </w:r>
      <w:r w:rsidR="00DB1930" w:rsidRPr="000D27DB">
        <w:rPr>
          <w:rFonts w:cstheme="minorHAnsi"/>
          <w:szCs w:val="24"/>
        </w:rPr>
        <w:t>sub</w:t>
      </w:r>
      <w:r w:rsidRPr="000D27DB">
        <w:rPr>
          <w:rFonts w:cstheme="minorHAnsi"/>
          <w:szCs w:val="24"/>
        </w:rPr>
        <w:t>contract approval</w:t>
      </w:r>
      <w:bookmarkEnd w:id="0"/>
      <w:r w:rsidR="00DB1930" w:rsidRPr="000D27DB">
        <w:rPr>
          <w:rFonts w:cstheme="minorHAnsi"/>
          <w:szCs w:val="24"/>
        </w:rPr>
        <w:t>.</w:t>
      </w:r>
    </w:p>
    <w:p w14:paraId="5BB5466D" w14:textId="77777777" w:rsidR="00DB1930" w:rsidRPr="000D27DB" w:rsidRDefault="00DB1930" w:rsidP="005672DE">
      <w:pPr>
        <w:rPr>
          <w:rFonts w:cstheme="minorHAnsi"/>
          <w:szCs w:val="24"/>
        </w:rPr>
      </w:pPr>
    </w:p>
    <w:p w14:paraId="1CF4C2DC" w14:textId="1F4C19F7" w:rsidR="006D0069" w:rsidRPr="000D27DB" w:rsidRDefault="009001AA" w:rsidP="00915FAB">
      <w:pPr>
        <w:pStyle w:val="Heading1"/>
        <w:numPr>
          <w:ilvl w:val="0"/>
          <w:numId w:val="16"/>
        </w:numPr>
        <w:rPr>
          <w:rFonts w:cstheme="minorHAnsi"/>
          <w:szCs w:val="24"/>
        </w:rPr>
      </w:pPr>
      <w:r w:rsidRPr="00A03777">
        <w:rPr>
          <w:rFonts w:cstheme="minorHAnsi"/>
          <w:szCs w:val="24"/>
        </w:rPr>
        <w:t>Are organizations required</w:t>
      </w:r>
      <w:r w:rsidRPr="00A03777">
        <w:rPr>
          <w:color w:val="000000"/>
          <w:szCs w:val="24"/>
        </w:rPr>
        <w:t xml:space="preserve"> to establish a contract with a radio station prior to applying, or can </w:t>
      </w:r>
      <w:r w:rsidR="007300AE">
        <w:rPr>
          <w:color w:val="000000"/>
          <w:szCs w:val="24"/>
        </w:rPr>
        <w:t>they</w:t>
      </w:r>
      <w:r w:rsidRPr="00A03777">
        <w:rPr>
          <w:color w:val="000000"/>
          <w:szCs w:val="24"/>
        </w:rPr>
        <w:t xml:space="preserve"> produce a podcast and distribute it on various social media platforms, such as YouTube, podcast platforms, and so on? Is it mandatory for it to be broadcast on a radio station?</w:t>
      </w:r>
    </w:p>
    <w:p w14:paraId="74E43C2C" w14:textId="56744C62" w:rsidR="006D0069" w:rsidRPr="000D27DB" w:rsidRDefault="006D0069" w:rsidP="003A1359">
      <w:pPr>
        <w:rPr>
          <w:rFonts w:cstheme="minorHAnsi"/>
          <w:szCs w:val="24"/>
        </w:rPr>
      </w:pPr>
    </w:p>
    <w:p w14:paraId="67B8E3B4" w14:textId="451EF278" w:rsidR="004F3231" w:rsidRPr="002B6EEC" w:rsidRDefault="007055EC" w:rsidP="00915FAB">
      <w:pPr>
        <w:ind w:left="360"/>
      </w:pPr>
      <w:r w:rsidRPr="1AD70DC9">
        <w:t xml:space="preserve">The awardee must be able to procure and contract with the appropriate broadcasting companies and repeater stations. </w:t>
      </w:r>
      <w:r w:rsidR="00E2374D" w:rsidRPr="002B6EEC">
        <w:t>In addition to the radio talk show,</w:t>
      </w:r>
      <w:r w:rsidR="00E2374D" w:rsidRPr="1AD70DC9">
        <w:t xml:space="preserve"> awardees must create complementing media posts on their website and use social media outlets to publicize the radio talk show videos. </w:t>
      </w:r>
      <w:bookmarkStart w:id="1" w:name="_Hlk166219770"/>
      <w:r w:rsidR="004F3231" w:rsidRPr="00426A75">
        <w:rPr>
          <w:rFonts w:cstheme="minorHAnsi"/>
          <w:szCs w:val="24"/>
        </w:rPr>
        <w:t xml:space="preserve">For additional information, see Section </w:t>
      </w:r>
      <w:r w:rsidR="004F3231">
        <w:rPr>
          <w:rFonts w:cstheme="minorHAnsi"/>
          <w:szCs w:val="24"/>
        </w:rPr>
        <w:t>2</w:t>
      </w:r>
      <w:r w:rsidR="004F3231" w:rsidRPr="00426A75">
        <w:rPr>
          <w:rFonts w:cstheme="minorHAnsi"/>
          <w:szCs w:val="24"/>
        </w:rPr>
        <w:t>.</w:t>
      </w:r>
      <w:r w:rsidR="004F3231">
        <w:rPr>
          <w:rFonts w:cstheme="minorHAnsi"/>
          <w:szCs w:val="24"/>
        </w:rPr>
        <w:t>B</w:t>
      </w:r>
      <w:r w:rsidR="004F3231" w:rsidRPr="00426A75">
        <w:rPr>
          <w:rFonts w:cstheme="minorHAnsi"/>
          <w:szCs w:val="24"/>
        </w:rPr>
        <w:t>. of the S</w:t>
      </w:r>
      <w:r w:rsidR="00605712">
        <w:rPr>
          <w:rFonts w:cstheme="minorHAnsi"/>
          <w:szCs w:val="24"/>
        </w:rPr>
        <w:t>olicitation for Proposals (S</w:t>
      </w:r>
      <w:r w:rsidR="004F3231" w:rsidRPr="00426A75">
        <w:rPr>
          <w:rFonts w:cstheme="minorHAnsi"/>
          <w:szCs w:val="24"/>
        </w:rPr>
        <w:t>FP</w:t>
      </w:r>
      <w:r w:rsidR="00605712">
        <w:rPr>
          <w:rFonts w:cstheme="minorHAnsi"/>
          <w:szCs w:val="24"/>
        </w:rPr>
        <w:t>)</w:t>
      </w:r>
      <w:r w:rsidR="004F3231" w:rsidRPr="00426A75">
        <w:rPr>
          <w:rFonts w:cstheme="minorHAnsi"/>
          <w:szCs w:val="24"/>
        </w:rPr>
        <w:t xml:space="preserve">, </w:t>
      </w:r>
      <w:bookmarkEnd w:id="1"/>
      <w:r w:rsidR="004F3231">
        <w:rPr>
          <w:rFonts w:cstheme="minorHAnsi"/>
          <w:szCs w:val="24"/>
        </w:rPr>
        <w:t>Goals and Objectives.</w:t>
      </w:r>
    </w:p>
    <w:p w14:paraId="0F4AE5F1" w14:textId="77777777" w:rsidR="00C873F3" w:rsidRDefault="00C873F3" w:rsidP="003A1359">
      <w:pPr>
        <w:rPr>
          <w:rFonts w:cstheme="minorHAnsi"/>
          <w:szCs w:val="24"/>
        </w:rPr>
      </w:pPr>
    </w:p>
    <w:p w14:paraId="4CBD27BA" w14:textId="5B7B2FEC" w:rsidR="00C873F3" w:rsidRPr="008629D3" w:rsidRDefault="00C873F3" w:rsidP="00915FAB">
      <w:pPr>
        <w:pStyle w:val="Heading1"/>
        <w:numPr>
          <w:ilvl w:val="0"/>
          <w:numId w:val="16"/>
        </w:numPr>
        <w:rPr>
          <w:rFonts w:cstheme="minorHAnsi"/>
          <w:szCs w:val="24"/>
        </w:rPr>
      </w:pPr>
      <w:r w:rsidRPr="008629D3">
        <w:rPr>
          <w:rFonts w:cstheme="minorHAnsi"/>
          <w:szCs w:val="24"/>
        </w:rPr>
        <w:t>What would meet the “Community of Practice” requirement mentioned on page 3 of the SFP?</w:t>
      </w:r>
    </w:p>
    <w:p w14:paraId="0FA9DFD8" w14:textId="77777777" w:rsidR="00C873F3" w:rsidRPr="008629D3" w:rsidRDefault="00C873F3" w:rsidP="00C873F3">
      <w:pPr>
        <w:rPr>
          <w:rFonts w:cstheme="minorHAnsi"/>
          <w:szCs w:val="24"/>
        </w:rPr>
      </w:pPr>
    </w:p>
    <w:p w14:paraId="02FD09B6" w14:textId="174F6431" w:rsidR="00C873F3" w:rsidRPr="008629D3" w:rsidRDefault="0035660C" w:rsidP="00915FAB">
      <w:pPr>
        <w:ind w:left="360"/>
        <w:rPr>
          <w:rFonts w:cstheme="minorHAnsi"/>
          <w:szCs w:val="24"/>
        </w:rPr>
      </w:pPr>
      <w:bookmarkStart w:id="2" w:name="_Hlk165551953"/>
      <w:r w:rsidRPr="008629D3">
        <w:rPr>
          <w:rFonts w:cstheme="minorHAnsi"/>
          <w:szCs w:val="24"/>
        </w:rPr>
        <w:t xml:space="preserve">Program awardees will collaborate with </w:t>
      </w:r>
      <w:r w:rsidR="00FB3FAA">
        <w:rPr>
          <w:rFonts w:cstheme="minorHAnsi"/>
          <w:szCs w:val="24"/>
        </w:rPr>
        <w:t xml:space="preserve">the </w:t>
      </w:r>
      <w:r w:rsidRPr="008629D3">
        <w:rPr>
          <w:rFonts w:cstheme="minorHAnsi"/>
          <w:szCs w:val="24"/>
        </w:rPr>
        <w:t>E</w:t>
      </w:r>
      <w:r w:rsidR="00FB3FAA">
        <w:rPr>
          <w:rFonts w:cstheme="minorHAnsi"/>
          <w:szCs w:val="24"/>
        </w:rPr>
        <w:t xml:space="preserve">mployment </w:t>
      </w:r>
      <w:r w:rsidRPr="008629D3">
        <w:rPr>
          <w:rFonts w:cstheme="minorHAnsi"/>
          <w:szCs w:val="24"/>
        </w:rPr>
        <w:t>D</w:t>
      </w:r>
      <w:r w:rsidR="00FB3FAA">
        <w:rPr>
          <w:rFonts w:cstheme="minorHAnsi"/>
          <w:szCs w:val="24"/>
        </w:rPr>
        <w:t xml:space="preserve">evelopment </w:t>
      </w:r>
      <w:r w:rsidRPr="008629D3">
        <w:rPr>
          <w:rFonts w:cstheme="minorHAnsi"/>
          <w:szCs w:val="24"/>
        </w:rPr>
        <w:t>D</w:t>
      </w:r>
      <w:r w:rsidR="00FB3FAA">
        <w:rPr>
          <w:rFonts w:cstheme="minorHAnsi"/>
          <w:szCs w:val="24"/>
        </w:rPr>
        <w:t>epartment (EDD)</w:t>
      </w:r>
      <w:r w:rsidRPr="008629D3">
        <w:rPr>
          <w:rFonts w:cstheme="minorHAnsi"/>
          <w:szCs w:val="24"/>
        </w:rPr>
        <w:t xml:space="preserve"> to develop connections between farmworker-serving programs and other Technical Assistance providers to coordinate a broader Joint Farmworker Services Communities of Practice (CoP). The Joint Farmworker Services CoP will bring together state-funded projects and programs serving farmworkers to (1) align goals and activities, (2) streamline outreach efforts to reduce duplication of efforts, and (3) provide opportunities for other unique collaborations between programs </w:t>
      </w:r>
      <w:r w:rsidR="00605712">
        <w:rPr>
          <w:rFonts w:cstheme="minorHAnsi"/>
          <w:szCs w:val="24"/>
        </w:rPr>
        <w:t>(</w:t>
      </w:r>
      <w:r w:rsidRPr="008629D3">
        <w:rPr>
          <w:rFonts w:cstheme="minorHAnsi"/>
          <w:szCs w:val="24"/>
        </w:rPr>
        <w:t>including referral, co-enrollment, and co-case management strategies</w:t>
      </w:r>
      <w:r w:rsidR="00605712">
        <w:rPr>
          <w:rFonts w:cstheme="minorHAnsi"/>
          <w:szCs w:val="24"/>
        </w:rPr>
        <w:t>)</w:t>
      </w:r>
      <w:r w:rsidRPr="008629D3">
        <w:rPr>
          <w:rFonts w:cstheme="minorHAnsi"/>
          <w:szCs w:val="24"/>
        </w:rPr>
        <w:t>.</w:t>
      </w:r>
    </w:p>
    <w:bookmarkEnd w:id="2"/>
    <w:p w14:paraId="09234FD0" w14:textId="77777777" w:rsidR="00C873F3" w:rsidRPr="008629D3" w:rsidRDefault="00C873F3" w:rsidP="00C873F3">
      <w:pPr>
        <w:rPr>
          <w:rFonts w:cstheme="minorHAnsi"/>
          <w:szCs w:val="24"/>
        </w:rPr>
      </w:pPr>
    </w:p>
    <w:p w14:paraId="4E71B5C7" w14:textId="1F6244B4" w:rsidR="00C873F3" w:rsidRPr="000D27DB" w:rsidRDefault="00C873F3" w:rsidP="00915FAB">
      <w:pPr>
        <w:pStyle w:val="Heading1"/>
        <w:numPr>
          <w:ilvl w:val="0"/>
          <w:numId w:val="16"/>
        </w:numPr>
        <w:rPr>
          <w:rFonts w:cstheme="minorHAnsi"/>
          <w:szCs w:val="24"/>
        </w:rPr>
      </w:pPr>
      <w:r w:rsidRPr="008629D3">
        <w:t>Is the Project Narrative (Exhibit A) limited to a total of 10 pages (as referenced</w:t>
      </w:r>
      <w:r w:rsidR="0090093C">
        <w:t xml:space="preserve"> </w:t>
      </w:r>
      <w:r w:rsidRPr="008629D3">
        <w:t xml:space="preserve">on page </w:t>
      </w:r>
      <w:r w:rsidR="004F2E30" w:rsidRPr="008629D3">
        <w:t>3</w:t>
      </w:r>
      <w:r w:rsidRPr="008629D3">
        <w:t xml:space="preserve"> of the SFP) or 15 pages as noted in the instructions for completing this exhibit?</w:t>
      </w:r>
    </w:p>
    <w:p w14:paraId="7B577539" w14:textId="77777777" w:rsidR="00C873F3" w:rsidRDefault="00C873F3" w:rsidP="00C873F3">
      <w:pPr>
        <w:rPr>
          <w:rFonts w:cstheme="minorHAnsi"/>
          <w:szCs w:val="24"/>
        </w:rPr>
      </w:pPr>
    </w:p>
    <w:p w14:paraId="6538F50E" w14:textId="270569BA" w:rsidR="00C873F3" w:rsidRPr="002B6EEC" w:rsidRDefault="00D40BBF" w:rsidP="00915FAB">
      <w:pPr>
        <w:ind w:left="360"/>
      </w:pPr>
      <w:bookmarkStart w:id="3" w:name="_Hlk165551970"/>
      <w:r w:rsidRPr="1AD70DC9">
        <w:t xml:space="preserve">There is a </w:t>
      </w:r>
      <w:r w:rsidR="10684CF4" w:rsidRPr="1AD70DC9">
        <w:t>15</w:t>
      </w:r>
      <w:r w:rsidRPr="1AD70DC9">
        <w:t xml:space="preserve">-page limit for Exhibit A. Anything beyond the 15-page limit will not be considered. The other required exhibits and attachments do not count towards this page limit. </w:t>
      </w:r>
      <w:bookmarkEnd w:id="3"/>
      <w:r w:rsidRPr="00D40BBF">
        <w:rPr>
          <w:rFonts w:cstheme="minorHAnsi"/>
          <w:szCs w:val="24"/>
        </w:rPr>
        <w:t xml:space="preserve">Refer to page </w:t>
      </w:r>
      <w:r>
        <w:rPr>
          <w:rFonts w:cstheme="minorHAnsi"/>
          <w:szCs w:val="24"/>
        </w:rPr>
        <w:t>22</w:t>
      </w:r>
      <w:r w:rsidRPr="00D40BBF">
        <w:rPr>
          <w:rFonts w:cstheme="minorHAnsi"/>
          <w:szCs w:val="24"/>
        </w:rPr>
        <w:t xml:space="preserve"> of the SFP for in</w:t>
      </w:r>
      <w:r>
        <w:rPr>
          <w:rFonts w:cstheme="minorHAnsi"/>
          <w:szCs w:val="24"/>
        </w:rPr>
        <w:t>structions for completing the Project Narrative (Exhibit A)</w:t>
      </w:r>
      <w:r w:rsidRPr="00D40BBF">
        <w:rPr>
          <w:rFonts w:cstheme="minorHAnsi"/>
          <w:szCs w:val="24"/>
        </w:rPr>
        <w:t>.</w:t>
      </w:r>
    </w:p>
    <w:p w14:paraId="2DE1E743" w14:textId="77777777" w:rsidR="00C873F3" w:rsidRDefault="00C873F3" w:rsidP="00C873F3">
      <w:pPr>
        <w:rPr>
          <w:rFonts w:eastAsia="Times New Roman" w:cstheme="minorHAnsi"/>
          <w:color w:val="000000"/>
          <w:szCs w:val="24"/>
        </w:rPr>
      </w:pPr>
    </w:p>
    <w:p w14:paraId="1628BA73" w14:textId="482B728D" w:rsidR="00C873F3" w:rsidRPr="000D27DB" w:rsidRDefault="003332AC" w:rsidP="00915FAB">
      <w:pPr>
        <w:pStyle w:val="Heading1"/>
        <w:numPr>
          <w:ilvl w:val="0"/>
          <w:numId w:val="16"/>
        </w:numPr>
        <w:rPr>
          <w:rFonts w:eastAsia="Times New Roman" w:cstheme="minorHAnsi"/>
          <w:color w:val="000000"/>
          <w:szCs w:val="24"/>
        </w:rPr>
      </w:pPr>
      <w:r w:rsidRPr="008629D3">
        <w:t xml:space="preserve">On page 16, the SFP notes “The awardee must submit one monthly expenditure invoice </w:t>
      </w:r>
      <w:r w:rsidR="00605712">
        <w:t>that</w:t>
      </w:r>
      <w:r w:rsidRPr="008629D3">
        <w:t xml:space="preserve"> details all expenses related to operating the Radio Media Program, along with reports, including subcontractors “Supplemental Budget” (Contractual Services)</w:t>
      </w:r>
      <w:r w:rsidR="00307122">
        <w:t xml:space="preserve">, </w:t>
      </w:r>
      <w:r w:rsidRPr="008629D3">
        <w:t>and “Partner Roles and Responsibilities” sheets</w:t>
      </w:r>
      <w:r w:rsidR="00307122">
        <w:t>.</w:t>
      </w:r>
      <w:r w:rsidRPr="008629D3">
        <w:t xml:space="preserve"> What specific detail would be reported for subcontractors, contractual services, and partner roles/responsibilities sheets?</w:t>
      </w:r>
    </w:p>
    <w:p w14:paraId="177C4349" w14:textId="77777777" w:rsidR="00C873F3" w:rsidRDefault="00C873F3" w:rsidP="00C873F3">
      <w:pPr>
        <w:rPr>
          <w:rFonts w:eastAsia="Times New Roman" w:cstheme="minorHAnsi"/>
          <w:color w:val="000000"/>
          <w:szCs w:val="24"/>
        </w:rPr>
      </w:pPr>
    </w:p>
    <w:p w14:paraId="5B889924" w14:textId="3B66E811" w:rsidR="7D74C942" w:rsidRDefault="00155F25" w:rsidP="00915FAB">
      <w:pPr>
        <w:ind w:left="360"/>
        <w:rPr>
          <w:rFonts w:eastAsia="Times New Roman"/>
        </w:rPr>
      </w:pPr>
      <w:r w:rsidRPr="1AD70DC9">
        <w:rPr>
          <w:rFonts w:eastAsia="Times New Roman"/>
        </w:rPr>
        <w:lastRenderedPageBreak/>
        <w:t xml:space="preserve">Upon award, a template for quarterly reports and invoices will be provided. </w:t>
      </w:r>
      <w:r w:rsidR="007355FB" w:rsidRPr="1AD70DC9">
        <w:rPr>
          <w:rFonts w:eastAsia="Times New Roman"/>
        </w:rPr>
        <w:t xml:space="preserve">With regard to the additional reports, the Supplemental Budget </w:t>
      </w:r>
      <w:r w:rsidR="00FB3FAA">
        <w:rPr>
          <w:rFonts w:eastAsia="Times New Roman"/>
        </w:rPr>
        <w:t xml:space="preserve">(Exhibit G) </w:t>
      </w:r>
      <w:r w:rsidR="007355FB" w:rsidRPr="1AD70DC9">
        <w:rPr>
          <w:rFonts w:eastAsia="Times New Roman"/>
        </w:rPr>
        <w:t xml:space="preserve">is only required to be submitted if the applicant is planning on a purchase of more than five thousand dollars per unit and a useful life of longer than one year, and the Partner Roles and Responsibilities sheet </w:t>
      </w:r>
      <w:r w:rsidR="00FB3FAA">
        <w:rPr>
          <w:rFonts w:eastAsia="Times New Roman"/>
        </w:rPr>
        <w:t xml:space="preserve">(Exhibit J) </w:t>
      </w:r>
      <w:r w:rsidR="007355FB" w:rsidRPr="1AD70DC9">
        <w:rPr>
          <w:rFonts w:eastAsia="Times New Roman"/>
        </w:rPr>
        <w:t xml:space="preserve">should detail what each partner will be responsible for, what services they will provide, and any cash or in-kind contribution if applicable. This information should be </w:t>
      </w:r>
      <w:r w:rsidR="26A51269" w:rsidRPr="1AD70DC9">
        <w:rPr>
          <w:rFonts w:eastAsia="Times New Roman"/>
        </w:rPr>
        <w:t>documented</w:t>
      </w:r>
      <w:r w:rsidR="007355FB" w:rsidRPr="1AD70DC9">
        <w:rPr>
          <w:rFonts w:eastAsia="Times New Roman"/>
        </w:rPr>
        <w:t xml:space="preserve"> in the respective </w:t>
      </w:r>
      <w:r w:rsidR="00FB3FAA">
        <w:rPr>
          <w:rFonts w:eastAsia="Times New Roman"/>
        </w:rPr>
        <w:t>E</w:t>
      </w:r>
      <w:r w:rsidR="007355FB" w:rsidRPr="1AD70DC9">
        <w:rPr>
          <w:rFonts w:eastAsia="Times New Roman"/>
        </w:rPr>
        <w:t>xhibit G and</w:t>
      </w:r>
      <w:r w:rsidR="00FB3FAA">
        <w:rPr>
          <w:rFonts w:eastAsia="Times New Roman"/>
        </w:rPr>
        <w:t xml:space="preserve"> Exhibit</w:t>
      </w:r>
      <w:r w:rsidR="007355FB" w:rsidRPr="1AD70DC9">
        <w:rPr>
          <w:rFonts w:eastAsia="Times New Roman"/>
        </w:rPr>
        <w:t xml:space="preserve"> J.</w:t>
      </w:r>
    </w:p>
    <w:p w14:paraId="5D1200E3" w14:textId="5A312C30" w:rsidR="1AD70DC9" w:rsidRDefault="1AD70DC9" w:rsidP="1AD70DC9">
      <w:pPr>
        <w:rPr>
          <w:rFonts w:eastAsia="Times New Roman"/>
        </w:rPr>
      </w:pPr>
    </w:p>
    <w:p w14:paraId="71D2FE23" w14:textId="068AE25B" w:rsidR="424282EF" w:rsidRPr="00915FAB" w:rsidRDefault="424282EF" w:rsidP="00915FAB">
      <w:pPr>
        <w:pStyle w:val="ListParagraph"/>
        <w:numPr>
          <w:ilvl w:val="0"/>
          <w:numId w:val="16"/>
        </w:numPr>
        <w:rPr>
          <w:rFonts w:eastAsia="Times New Roman"/>
          <w:b/>
          <w:bCs/>
        </w:rPr>
      </w:pPr>
      <w:r w:rsidRPr="00915FAB">
        <w:rPr>
          <w:rFonts w:eastAsia="Times New Roman"/>
          <w:b/>
          <w:bCs/>
        </w:rPr>
        <w:t xml:space="preserve">Can radio shows be in Spanish and Indigenous languages, like </w:t>
      </w:r>
      <w:proofErr w:type="spellStart"/>
      <w:r w:rsidRPr="00915FAB">
        <w:rPr>
          <w:rFonts w:eastAsia="Times New Roman"/>
          <w:b/>
          <w:bCs/>
        </w:rPr>
        <w:t>Mixteco</w:t>
      </w:r>
      <w:proofErr w:type="spellEnd"/>
      <w:r w:rsidRPr="00915FAB">
        <w:rPr>
          <w:rFonts w:eastAsia="Times New Roman"/>
          <w:b/>
          <w:bCs/>
        </w:rPr>
        <w:t>?</w:t>
      </w:r>
    </w:p>
    <w:p w14:paraId="1475D708" w14:textId="29BC0C3F" w:rsidR="7D74C942" w:rsidRDefault="7D74C942" w:rsidP="7D74C942">
      <w:pPr>
        <w:rPr>
          <w:rFonts w:eastAsia="Times New Roman"/>
          <w:b/>
          <w:bCs/>
        </w:rPr>
      </w:pPr>
    </w:p>
    <w:p w14:paraId="2C056060" w14:textId="6A58DE53" w:rsidR="7D74C942" w:rsidRDefault="004F3231" w:rsidP="00915FAB">
      <w:pPr>
        <w:ind w:left="360"/>
        <w:rPr>
          <w:rFonts w:eastAsia="Times New Roman"/>
        </w:rPr>
      </w:pPr>
      <w:r w:rsidRPr="004F3231">
        <w:rPr>
          <w:rFonts w:eastAsia="Times New Roman"/>
        </w:rPr>
        <w:t xml:space="preserve">The purpose of the program is to create and broadcast 24 semi-monthly, 30-minute hosted radio talk show programs in Spanish and recorded in video format media. The intent of the radio shows is to reach the maximum amount of MSFWs statewide and provide adequate content. The requirement is to create the radio shows in </w:t>
      </w:r>
      <w:r w:rsidR="003226AF" w:rsidRPr="004F3231">
        <w:rPr>
          <w:rFonts w:eastAsia="Times New Roman"/>
        </w:rPr>
        <w:t>Spanish</w:t>
      </w:r>
      <w:r w:rsidR="00373533">
        <w:rPr>
          <w:rFonts w:eastAsia="Times New Roman"/>
        </w:rPr>
        <w:t>.</w:t>
      </w:r>
      <w:r w:rsidRPr="004F3231">
        <w:rPr>
          <w:rFonts w:eastAsia="Times New Roman"/>
        </w:rPr>
        <w:t xml:space="preserve"> </w:t>
      </w:r>
      <w:r w:rsidR="00373533">
        <w:rPr>
          <w:rFonts w:eastAsia="Times New Roman"/>
        </w:rPr>
        <w:t>H</w:t>
      </w:r>
      <w:r w:rsidRPr="004F3231">
        <w:rPr>
          <w:rFonts w:eastAsia="Times New Roman"/>
        </w:rPr>
        <w:t xml:space="preserve">owever, the awardee may translate communications into a language they deem appropriate while adhering to the grant’s goals and objective, </w:t>
      </w:r>
      <w:r w:rsidR="00173288" w:rsidRPr="004F3231">
        <w:rPr>
          <w:rFonts w:eastAsia="Times New Roman"/>
        </w:rPr>
        <w:t>strategies,</w:t>
      </w:r>
      <w:r w:rsidRPr="004F3231">
        <w:rPr>
          <w:rFonts w:eastAsia="Times New Roman"/>
        </w:rPr>
        <w:t xml:space="preserve"> and funding requirements.</w:t>
      </w:r>
    </w:p>
    <w:p w14:paraId="42D8EE56" w14:textId="77777777" w:rsidR="004F3231" w:rsidRDefault="004F3231" w:rsidP="7D74C942">
      <w:pPr>
        <w:rPr>
          <w:rFonts w:eastAsia="Times New Roman"/>
        </w:rPr>
      </w:pPr>
    </w:p>
    <w:p w14:paraId="0AAACFFB" w14:textId="6F2A7E76" w:rsidR="6E37D716" w:rsidRPr="00915FAB" w:rsidRDefault="6E37D716" w:rsidP="00915FAB">
      <w:pPr>
        <w:pStyle w:val="ListParagraph"/>
        <w:numPr>
          <w:ilvl w:val="0"/>
          <w:numId w:val="16"/>
        </w:numPr>
        <w:rPr>
          <w:rFonts w:eastAsia="Times New Roman"/>
        </w:rPr>
      </w:pPr>
      <w:r w:rsidRPr="00915FAB">
        <w:rPr>
          <w:rFonts w:eastAsia="Times New Roman"/>
          <w:b/>
          <w:bCs/>
        </w:rPr>
        <w:t>What is considered “peak listening times”?</w:t>
      </w:r>
    </w:p>
    <w:p w14:paraId="73B52320" w14:textId="475403E9" w:rsidR="7D74C942" w:rsidRDefault="7D74C942" w:rsidP="7D74C942">
      <w:pPr>
        <w:rPr>
          <w:rFonts w:eastAsia="Times New Roman"/>
          <w:b/>
          <w:bCs/>
        </w:rPr>
      </w:pPr>
    </w:p>
    <w:p w14:paraId="78745D46" w14:textId="4108CCF5" w:rsidR="1C926916" w:rsidRPr="00373533" w:rsidRDefault="1057A78A" w:rsidP="00915FAB">
      <w:pPr>
        <w:ind w:left="360"/>
        <w:rPr>
          <w:rFonts w:eastAsia="Times New Roman"/>
        </w:rPr>
      </w:pPr>
      <w:r w:rsidRPr="003226AF">
        <w:rPr>
          <w:rFonts w:eastAsia="Times New Roman"/>
        </w:rPr>
        <w:t>The awardee will secure a broadcasting schedule for the radio programs to air at the peak of the M</w:t>
      </w:r>
      <w:r w:rsidR="6D5CAD0D" w:rsidRPr="003226AF">
        <w:rPr>
          <w:rFonts w:eastAsia="Times New Roman"/>
        </w:rPr>
        <w:t xml:space="preserve">igrant </w:t>
      </w:r>
      <w:r w:rsidR="052E79D5" w:rsidRPr="003226AF">
        <w:rPr>
          <w:rFonts w:eastAsia="Times New Roman"/>
        </w:rPr>
        <w:t>and</w:t>
      </w:r>
      <w:r w:rsidR="6D5CAD0D" w:rsidRPr="003226AF">
        <w:rPr>
          <w:rFonts w:eastAsia="Times New Roman"/>
        </w:rPr>
        <w:t xml:space="preserve"> </w:t>
      </w:r>
      <w:r w:rsidRPr="003226AF">
        <w:rPr>
          <w:rFonts w:eastAsia="Times New Roman"/>
        </w:rPr>
        <w:t>S</w:t>
      </w:r>
      <w:r w:rsidR="25DB4F90" w:rsidRPr="003226AF">
        <w:rPr>
          <w:rFonts w:eastAsia="Times New Roman"/>
        </w:rPr>
        <w:t xml:space="preserve">easonal </w:t>
      </w:r>
      <w:r w:rsidRPr="003226AF">
        <w:rPr>
          <w:rFonts w:eastAsia="Times New Roman"/>
        </w:rPr>
        <w:t>F</w:t>
      </w:r>
      <w:r w:rsidR="0F6C32F0" w:rsidRPr="003226AF">
        <w:rPr>
          <w:rFonts w:eastAsia="Times New Roman"/>
        </w:rPr>
        <w:t>armworker</w:t>
      </w:r>
      <w:r w:rsidR="028083F5" w:rsidRPr="003226AF">
        <w:rPr>
          <w:rFonts w:eastAsia="Times New Roman"/>
        </w:rPr>
        <w:t xml:space="preserve"> (MSFW)</w:t>
      </w:r>
      <w:r w:rsidR="21289429" w:rsidRPr="003226AF">
        <w:rPr>
          <w:rFonts w:eastAsia="Times New Roman"/>
        </w:rPr>
        <w:t xml:space="preserve"> </w:t>
      </w:r>
      <w:r w:rsidRPr="003226AF">
        <w:rPr>
          <w:rFonts w:eastAsia="Times New Roman"/>
        </w:rPr>
        <w:t>population listening times</w:t>
      </w:r>
      <w:r w:rsidR="3A13C7D8" w:rsidRPr="003226AF">
        <w:rPr>
          <w:rFonts w:eastAsia="Times New Roman"/>
        </w:rPr>
        <w:t xml:space="preserve">, which should be backed by data to support the suggested schedule. </w:t>
      </w:r>
      <w:r w:rsidR="1C926916" w:rsidRPr="003226AF">
        <w:t>For additional information, see Section 2</w:t>
      </w:r>
      <w:r w:rsidR="00173288">
        <w:t>.B.</w:t>
      </w:r>
      <w:r w:rsidR="1C926916" w:rsidRPr="003226AF">
        <w:t xml:space="preserve"> of the SFP, Schedule</w:t>
      </w:r>
      <w:r w:rsidR="1C926916" w:rsidRPr="003226AF">
        <w:rPr>
          <w:i/>
          <w:iCs/>
        </w:rPr>
        <w:t>.</w:t>
      </w:r>
    </w:p>
    <w:p w14:paraId="7CC088F9" w14:textId="1F7D4F3F" w:rsidR="7D74C942" w:rsidRDefault="7D74C942" w:rsidP="7D74C942">
      <w:pPr>
        <w:rPr>
          <w:rFonts w:eastAsia="Times New Roman"/>
        </w:rPr>
      </w:pPr>
    </w:p>
    <w:p w14:paraId="5523AA13" w14:textId="5557B3ED" w:rsidR="6E37D716" w:rsidRPr="00915FAB" w:rsidRDefault="6E37D716" w:rsidP="00915FAB">
      <w:pPr>
        <w:pStyle w:val="ListParagraph"/>
        <w:numPr>
          <w:ilvl w:val="0"/>
          <w:numId w:val="16"/>
        </w:numPr>
        <w:rPr>
          <w:rFonts w:eastAsia="Times New Roman"/>
        </w:rPr>
      </w:pPr>
      <w:r w:rsidRPr="00915FAB">
        <w:rPr>
          <w:rFonts w:eastAsia="Times New Roman"/>
          <w:b/>
          <w:bCs/>
        </w:rPr>
        <w:t>Does the agency/grantee have to own a radio station, or can this be broadcast via social media/</w:t>
      </w:r>
      <w:r w:rsidR="00173288" w:rsidRPr="00915FAB">
        <w:rPr>
          <w:rFonts w:eastAsia="Times New Roman"/>
          <w:b/>
          <w:bCs/>
        </w:rPr>
        <w:t>YouTube</w:t>
      </w:r>
      <w:r w:rsidRPr="00915FAB">
        <w:rPr>
          <w:rFonts w:eastAsia="Times New Roman"/>
          <w:b/>
          <w:bCs/>
        </w:rPr>
        <w:t>?</w:t>
      </w:r>
    </w:p>
    <w:p w14:paraId="45A89B34" w14:textId="7D397BFB" w:rsidR="7D74C942" w:rsidRDefault="7D74C942" w:rsidP="7D74C942">
      <w:pPr>
        <w:rPr>
          <w:rFonts w:eastAsia="Times New Roman"/>
          <w:b/>
          <w:bCs/>
        </w:rPr>
      </w:pPr>
    </w:p>
    <w:p w14:paraId="2E6015BB" w14:textId="129B7F24" w:rsidR="00173288" w:rsidRPr="002B6EEC" w:rsidRDefault="3D4726DB" w:rsidP="00915FAB">
      <w:pPr>
        <w:ind w:left="360"/>
      </w:pPr>
      <w:r w:rsidRPr="7D74C942">
        <w:rPr>
          <w:rFonts w:eastAsia="Times New Roman"/>
        </w:rPr>
        <w:t>Although the awardee does not have to own the radio station, they must be able to</w:t>
      </w:r>
      <w:r w:rsidRPr="7D74C942">
        <w:t xml:space="preserve"> procure and contract with the appropriate broadcasting companies and repeater stations. </w:t>
      </w:r>
      <w:r w:rsidR="00173288" w:rsidRPr="00426A75">
        <w:rPr>
          <w:rFonts w:cstheme="minorHAnsi"/>
          <w:szCs w:val="24"/>
        </w:rPr>
        <w:t xml:space="preserve">For additional information, see Section </w:t>
      </w:r>
      <w:r w:rsidR="00173288">
        <w:rPr>
          <w:rFonts w:cstheme="minorHAnsi"/>
          <w:szCs w:val="24"/>
        </w:rPr>
        <w:t>2</w:t>
      </w:r>
      <w:r w:rsidR="00173288" w:rsidRPr="00426A75">
        <w:rPr>
          <w:rFonts w:cstheme="minorHAnsi"/>
          <w:szCs w:val="24"/>
        </w:rPr>
        <w:t>.</w:t>
      </w:r>
      <w:r w:rsidR="00173288">
        <w:rPr>
          <w:rFonts w:cstheme="minorHAnsi"/>
          <w:szCs w:val="24"/>
        </w:rPr>
        <w:t>B</w:t>
      </w:r>
      <w:r w:rsidR="00173288" w:rsidRPr="00426A75">
        <w:rPr>
          <w:rFonts w:cstheme="minorHAnsi"/>
          <w:szCs w:val="24"/>
        </w:rPr>
        <w:t xml:space="preserve">. of the SFP, </w:t>
      </w:r>
      <w:r w:rsidR="00173288">
        <w:rPr>
          <w:rFonts w:cstheme="minorHAnsi"/>
          <w:szCs w:val="24"/>
        </w:rPr>
        <w:t>Radio Talk Show.</w:t>
      </w:r>
    </w:p>
    <w:p w14:paraId="6B272829" w14:textId="409445EE" w:rsidR="7D74C942" w:rsidRDefault="7D74C942" w:rsidP="7D74C942">
      <w:pPr>
        <w:rPr>
          <w:rFonts w:eastAsia="Times New Roman"/>
        </w:rPr>
      </w:pPr>
    </w:p>
    <w:p w14:paraId="3708AE2D" w14:textId="0345F29A" w:rsidR="1EDEBFEB" w:rsidRPr="00915FAB" w:rsidRDefault="1EDEBFEB" w:rsidP="00915FAB">
      <w:pPr>
        <w:pStyle w:val="ListParagraph"/>
        <w:numPr>
          <w:ilvl w:val="0"/>
          <w:numId w:val="16"/>
        </w:numPr>
        <w:rPr>
          <w:rFonts w:eastAsia="Times New Roman"/>
          <w:b/>
          <w:bCs/>
        </w:rPr>
      </w:pPr>
      <w:r w:rsidRPr="00915FAB">
        <w:rPr>
          <w:rFonts w:eastAsia="Times New Roman"/>
          <w:b/>
          <w:bCs/>
        </w:rPr>
        <w:t>Can funding be used for other marketing materials and initiatives to help promote the show?</w:t>
      </w:r>
    </w:p>
    <w:p w14:paraId="2A7A6687" w14:textId="1F4A3B23" w:rsidR="7D74C942" w:rsidRDefault="7D74C942" w:rsidP="7D74C942">
      <w:pPr>
        <w:rPr>
          <w:rFonts w:eastAsia="Times New Roman"/>
          <w:b/>
          <w:bCs/>
        </w:rPr>
      </w:pPr>
    </w:p>
    <w:p w14:paraId="166A77A9" w14:textId="7942684B" w:rsidR="00907350" w:rsidRPr="00915FAB" w:rsidRDefault="003226AF" w:rsidP="00915FAB">
      <w:pPr>
        <w:ind w:left="360"/>
        <w:rPr>
          <w:rFonts w:ascii="Calibri" w:eastAsia="Calibri" w:hAnsi="Calibri" w:cs="Calibri"/>
          <w:szCs w:val="24"/>
        </w:rPr>
      </w:pPr>
      <w:r w:rsidRPr="003226AF">
        <w:rPr>
          <w:rFonts w:eastAsia="Times New Roman"/>
        </w:rPr>
        <w:t>It is the intent of this SFP to fund an outreach radio media project that can leverage other resources (web, online, and other social media) to maximize the impact of the project, earn the maximum return on investment, and foster project sustainability.</w:t>
      </w:r>
      <w:r w:rsidR="002B6EEC">
        <w:rPr>
          <w:rFonts w:eastAsia="Times New Roman"/>
        </w:rPr>
        <w:t xml:space="preserve"> </w:t>
      </w:r>
      <w:r w:rsidR="1589AE5E" w:rsidRPr="003226AF">
        <w:rPr>
          <w:rFonts w:ascii="Calibri" w:eastAsia="Calibri" w:hAnsi="Calibri" w:cs="Calibri"/>
          <w:szCs w:val="24"/>
        </w:rPr>
        <w:t>All costs</w:t>
      </w:r>
      <w:r w:rsidR="12D378C1" w:rsidRPr="003226AF">
        <w:rPr>
          <w:rFonts w:ascii="Calibri" w:eastAsia="Calibri" w:hAnsi="Calibri" w:cs="Calibri"/>
          <w:szCs w:val="24"/>
        </w:rPr>
        <w:t xml:space="preserve"> for the project</w:t>
      </w:r>
      <w:r w:rsidR="1589AE5E" w:rsidRPr="003226AF">
        <w:rPr>
          <w:rFonts w:ascii="Calibri" w:eastAsia="Calibri" w:hAnsi="Calibri" w:cs="Calibri"/>
          <w:szCs w:val="24"/>
        </w:rPr>
        <w:t xml:space="preserve"> listed in the proposal</w:t>
      </w:r>
      <w:r w:rsidR="18B5DD03" w:rsidRPr="003226AF">
        <w:rPr>
          <w:rFonts w:ascii="Calibri" w:eastAsia="Calibri" w:hAnsi="Calibri" w:cs="Calibri"/>
          <w:szCs w:val="24"/>
        </w:rPr>
        <w:t xml:space="preserve">’s Budget Summary (Exhibit F) </w:t>
      </w:r>
      <w:r w:rsidR="1589AE5E" w:rsidRPr="003226AF">
        <w:rPr>
          <w:rFonts w:ascii="Calibri" w:eastAsia="Calibri" w:hAnsi="Calibri" w:cs="Calibri"/>
          <w:szCs w:val="24"/>
        </w:rPr>
        <w:t>must be accompanied by an</w:t>
      </w:r>
      <w:r w:rsidR="542E938F" w:rsidRPr="003226AF">
        <w:rPr>
          <w:rFonts w:ascii="Calibri" w:eastAsia="Calibri" w:hAnsi="Calibri" w:cs="Calibri"/>
          <w:szCs w:val="24"/>
        </w:rPr>
        <w:t xml:space="preserve"> </w:t>
      </w:r>
      <w:r w:rsidR="1589AE5E" w:rsidRPr="003226AF">
        <w:rPr>
          <w:rFonts w:ascii="Calibri" w:eastAsia="Calibri" w:hAnsi="Calibri" w:cs="Calibri"/>
          <w:szCs w:val="24"/>
        </w:rPr>
        <w:t>explanation</w:t>
      </w:r>
      <w:r w:rsidR="012C21D1" w:rsidRPr="003226AF">
        <w:rPr>
          <w:rFonts w:ascii="Calibri" w:eastAsia="Calibri" w:hAnsi="Calibri" w:cs="Calibri"/>
          <w:szCs w:val="24"/>
        </w:rPr>
        <w:t xml:space="preserve"> of how </w:t>
      </w:r>
      <w:r w:rsidR="1589AE5E" w:rsidRPr="003226AF">
        <w:rPr>
          <w:rFonts w:ascii="Calibri" w:eastAsia="Calibri" w:hAnsi="Calibri" w:cs="Calibri"/>
          <w:szCs w:val="24"/>
        </w:rPr>
        <w:t>proposed costs are necessary and reasonable in terms of benefits to participants</w:t>
      </w:r>
      <w:r w:rsidR="0631E3C0" w:rsidRPr="003226AF">
        <w:rPr>
          <w:rFonts w:ascii="Calibri" w:eastAsia="Calibri" w:hAnsi="Calibri" w:cs="Calibri"/>
          <w:szCs w:val="24"/>
        </w:rPr>
        <w:t xml:space="preserve"> in the Budget Narrative (Exhibit F2)</w:t>
      </w:r>
      <w:r w:rsidR="1589AE5E" w:rsidRPr="003226AF">
        <w:rPr>
          <w:rFonts w:ascii="Calibri" w:eastAsia="Calibri" w:hAnsi="Calibri" w:cs="Calibri"/>
          <w:szCs w:val="24"/>
        </w:rPr>
        <w:t>.</w:t>
      </w:r>
      <w:r w:rsidR="1E854AE2" w:rsidRPr="003226AF">
        <w:rPr>
          <w:rFonts w:ascii="Calibri" w:eastAsia="Calibri" w:hAnsi="Calibri" w:cs="Calibri"/>
          <w:szCs w:val="24"/>
        </w:rPr>
        <w:t xml:space="preserve"> </w:t>
      </w:r>
      <w:r w:rsidR="3EC8CCE8" w:rsidRPr="003226AF">
        <w:rPr>
          <w:rFonts w:ascii="Calibri" w:eastAsia="Calibri" w:hAnsi="Calibri" w:cs="Calibri"/>
          <w:szCs w:val="24"/>
        </w:rPr>
        <w:t>Funds may not be used to</w:t>
      </w:r>
      <w:r w:rsidR="00373533">
        <w:rPr>
          <w:rFonts w:ascii="Calibri" w:eastAsia="Calibri" w:hAnsi="Calibri" w:cs="Calibri"/>
          <w:szCs w:val="24"/>
        </w:rPr>
        <w:t xml:space="preserve"> do any of the following</w:t>
      </w:r>
      <w:r w:rsidR="3EC8CCE8" w:rsidRPr="003226AF">
        <w:rPr>
          <w:rFonts w:ascii="Calibri" w:eastAsia="Calibri" w:hAnsi="Calibri" w:cs="Calibri"/>
          <w:szCs w:val="24"/>
        </w:rPr>
        <w:t>:</w:t>
      </w:r>
    </w:p>
    <w:p w14:paraId="7BC72E2F" w14:textId="33ED7C38" w:rsidR="3EC8CCE8" w:rsidRPr="003226AF" w:rsidRDefault="3EC8CCE8" w:rsidP="003226AF">
      <w:pPr>
        <w:pStyle w:val="ListParagraph"/>
        <w:numPr>
          <w:ilvl w:val="0"/>
          <w:numId w:val="14"/>
        </w:numPr>
        <w:rPr>
          <w:rFonts w:ascii="Calibri" w:eastAsia="Calibri" w:hAnsi="Calibri" w:cs="Calibri"/>
          <w:szCs w:val="24"/>
        </w:rPr>
      </w:pPr>
      <w:r w:rsidRPr="003226AF">
        <w:rPr>
          <w:rFonts w:ascii="Calibri" w:eastAsia="Calibri" w:hAnsi="Calibri" w:cs="Calibri"/>
          <w:szCs w:val="24"/>
        </w:rPr>
        <w:t xml:space="preserve">Replace funding used for already established activities and services. </w:t>
      </w:r>
    </w:p>
    <w:p w14:paraId="25F2FE72" w14:textId="25B09844" w:rsidR="3EC8CCE8" w:rsidRPr="003226AF" w:rsidRDefault="3EC8CCE8" w:rsidP="003226AF">
      <w:pPr>
        <w:pStyle w:val="ListParagraph"/>
        <w:numPr>
          <w:ilvl w:val="0"/>
          <w:numId w:val="14"/>
        </w:numPr>
        <w:rPr>
          <w:rFonts w:ascii="Calibri" w:eastAsia="Calibri" w:hAnsi="Calibri" w:cs="Calibri"/>
          <w:szCs w:val="24"/>
        </w:rPr>
      </w:pPr>
      <w:r w:rsidRPr="003226AF">
        <w:rPr>
          <w:rFonts w:ascii="Calibri" w:eastAsia="Calibri" w:hAnsi="Calibri" w:cs="Calibri"/>
          <w:szCs w:val="24"/>
        </w:rPr>
        <w:t xml:space="preserve">Finance activities that are outside the scope of the focused method of service. </w:t>
      </w:r>
    </w:p>
    <w:p w14:paraId="4E37ACA7" w14:textId="77777777" w:rsidR="003226AF" w:rsidRPr="003226AF" w:rsidRDefault="3EC8CCE8" w:rsidP="003226AF">
      <w:pPr>
        <w:pStyle w:val="ListParagraph"/>
        <w:numPr>
          <w:ilvl w:val="0"/>
          <w:numId w:val="14"/>
        </w:numPr>
        <w:rPr>
          <w:rFonts w:ascii="Calibri" w:eastAsia="Calibri" w:hAnsi="Calibri" w:cs="Calibri"/>
          <w:szCs w:val="24"/>
        </w:rPr>
      </w:pPr>
      <w:r w:rsidRPr="003226AF">
        <w:rPr>
          <w:rFonts w:ascii="Calibri" w:eastAsia="Calibri" w:hAnsi="Calibri" w:cs="Calibri"/>
          <w:szCs w:val="24"/>
        </w:rPr>
        <w:t>Acquire equipment which is not necessary for the operation of the grant.</w:t>
      </w:r>
    </w:p>
    <w:p w14:paraId="7D83C16D" w14:textId="4B1AF69F" w:rsidR="003226AF" w:rsidRPr="003226AF" w:rsidRDefault="003226AF" w:rsidP="003226AF">
      <w:pPr>
        <w:pStyle w:val="ListParagraph"/>
        <w:numPr>
          <w:ilvl w:val="0"/>
          <w:numId w:val="14"/>
        </w:numPr>
        <w:rPr>
          <w:rFonts w:ascii="Calibri" w:eastAsia="Calibri" w:hAnsi="Calibri" w:cs="Calibri"/>
          <w:szCs w:val="24"/>
        </w:rPr>
      </w:pPr>
      <w:r w:rsidRPr="003226AF">
        <w:rPr>
          <w:rFonts w:ascii="Calibri" w:eastAsia="Calibri" w:hAnsi="Calibri" w:cs="Calibri"/>
          <w:szCs w:val="24"/>
        </w:rPr>
        <w:t>To</w:t>
      </w:r>
      <w:r w:rsidR="3EC8CCE8" w:rsidRPr="003226AF">
        <w:rPr>
          <w:rFonts w:ascii="Calibri" w:eastAsia="Calibri" w:hAnsi="Calibri" w:cs="Calibri"/>
          <w:szCs w:val="24"/>
        </w:rPr>
        <w:t xml:space="preserve"> </w:t>
      </w:r>
      <w:r w:rsidRPr="003226AF">
        <w:rPr>
          <w:rFonts w:ascii="Calibri" w:eastAsia="Calibri" w:hAnsi="Calibri" w:cs="Calibri"/>
          <w:szCs w:val="24"/>
        </w:rPr>
        <w:t>purchase real property or to construct buildings</w:t>
      </w:r>
      <w:r w:rsidR="0011364B">
        <w:rPr>
          <w:rFonts w:ascii="Calibri" w:eastAsia="Calibri" w:hAnsi="Calibri" w:cs="Calibri"/>
          <w:szCs w:val="24"/>
        </w:rPr>
        <w:t xml:space="preserve">. </w:t>
      </w:r>
    </w:p>
    <w:p w14:paraId="35A2B22C" w14:textId="77777777" w:rsidR="00915FAB" w:rsidRDefault="3EC8CCE8" w:rsidP="00915FAB">
      <w:pPr>
        <w:pStyle w:val="ListParagraph"/>
        <w:numPr>
          <w:ilvl w:val="0"/>
          <w:numId w:val="14"/>
        </w:numPr>
        <w:rPr>
          <w:rFonts w:ascii="Calibri" w:eastAsia="Calibri" w:hAnsi="Calibri" w:cs="Calibri"/>
          <w:szCs w:val="24"/>
        </w:rPr>
      </w:pPr>
      <w:r w:rsidRPr="003226AF">
        <w:rPr>
          <w:rFonts w:ascii="Calibri" w:eastAsia="Calibri" w:hAnsi="Calibri" w:cs="Calibri"/>
          <w:szCs w:val="24"/>
        </w:rPr>
        <w:t>Reimburse project-related costs incurred prior to the effective date of the award.</w:t>
      </w:r>
    </w:p>
    <w:p w14:paraId="392989DB" w14:textId="77777777" w:rsidR="00915FAB" w:rsidRDefault="00915FAB" w:rsidP="00915FAB">
      <w:pPr>
        <w:rPr>
          <w:rFonts w:ascii="Calibri" w:eastAsia="Calibri" w:hAnsi="Calibri" w:cs="Calibri"/>
          <w:szCs w:val="24"/>
        </w:rPr>
      </w:pPr>
    </w:p>
    <w:p w14:paraId="56F9D920" w14:textId="7B9C605B" w:rsidR="3EC8CCE8" w:rsidRPr="00915FAB" w:rsidRDefault="3EC8CCE8" w:rsidP="00915FAB">
      <w:pPr>
        <w:ind w:left="360"/>
        <w:rPr>
          <w:rFonts w:ascii="Calibri" w:eastAsia="Calibri" w:hAnsi="Calibri" w:cs="Calibri"/>
          <w:szCs w:val="24"/>
        </w:rPr>
      </w:pPr>
      <w:r w:rsidRPr="00915FAB">
        <w:rPr>
          <w:rFonts w:ascii="Calibri" w:eastAsia="Calibri" w:hAnsi="Calibri" w:cs="Calibri"/>
          <w:szCs w:val="24"/>
        </w:rPr>
        <w:lastRenderedPageBreak/>
        <w:t>For additional information, see Section 4</w:t>
      </w:r>
      <w:r w:rsidR="00D2699C" w:rsidRPr="00915FAB">
        <w:rPr>
          <w:rFonts w:ascii="Calibri" w:eastAsia="Calibri" w:hAnsi="Calibri" w:cs="Calibri"/>
          <w:szCs w:val="24"/>
        </w:rPr>
        <w:t>.C.</w:t>
      </w:r>
      <w:r w:rsidRPr="00915FAB">
        <w:rPr>
          <w:rFonts w:ascii="Calibri" w:eastAsia="Calibri" w:hAnsi="Calibri" w:cs="Calibri"/>
          <w:szCs w:val="24"/>
        </w:rPr>
        <w:t xml:space="preserve"> Allowable Us</w:t>
      </w:r>
      <w:r w:rsidR="019B14A5" w:rsidRPr="00915FAB">
        <w:rPr>
          <w:rFonts w:ascii="Calibri" w:eastAsia="Calibri" w:hAnsi="Calibri" w:cs="Calibri"/>
          <w:szCs w:val="24"/>
        </w:rPr>
        <w:t>es of Funds</w:t>
      </w:r>
      <w:r w:rsidR="009C0375" w:rsidRPr="00915FAB">
        <w:rPr>
          <w:rFonts w:ascii="Calibri" w:eastAsia="Calibri" w:hAnsi="Calibri" w:cs="Calibri"/>
          <w:szCs w:val="24"/>
        </w:rPr>
        <w:t>,</w:t>
      </w:r>
      <w:r w:rsidR="019B14A5" w:rsidRPr="00915FAB">
        <w:rPr>
          <w:rFonts w:ascii="Calibri" w:eastAsia="Calibri" w:hAnsi="Calibri" w:cs="Calibri"/>
          <w:szCs w:val="24"/>
        </w:rPr>
        <w:t xml:space="preserve"> and Section 7</w:t>
      </w:r>
      <w:r w:rsidR="00D2699C" w:rsidRPr="00915FAB">
        <w:rPr>
          <w:rFonts w:ascii="Calibri" w:eastAsia="Calibri" w:hAnsi="Calibri" w:cs="Calibri"/>
          <w:szCs w:val="24"/>
        </w:rPr>
        <w:t>.D.</w:t>
      </w:r>
      <w:r w:rsidR="019B14A5" w:rsidRPr="00915FAB">
        <w:rPr>
          <w:rFonts w:ascii="Calibri" w:eastAsia="Calibri" w:hAnsi="Calibri" w:cs="Calibri"/>
          <w:szCs w:val="24"/>
        </w:rPr>
        <w:t xml:space="preserve"> Constraints</w:t>
      </w:r>
      <w:r w:rsidR="00D2699C" w:rsidRPr="00915FAB">
        <w:rPr>
          <w:rFonts w:ascii="Calibri" w:eastAsia="Calibri" w:hAnsi="Calibri" w:cs="Calibri"/>
          <w:szCs w:val="24"/>
        </w:rPr>
        <w:t>, of the SFP</w:t>
      </w:r>
      <w:r w:rsidR="019B14A5" w:rsidRPr="00915FAB">
        <w:rPr>
          <w:rFonts w:ascii="Calibri" w:eastAsia="Calibri" w:hAnsi="Calibri" w:cs="Calibri"/>
          <w:szCs w:val="24"/>
        </w:rPr>
        <w:t>.</w:t>
      </w:r>
    </w:p>
    <w:p w14:paraId="660C1539" w14:textId="61D76886" w:rsidR="7D74C942" w:rsidRDefault="7D74C942" w:rsidP="7D74C942">
      <w:pPr>
        <w:rPr>
          <w:rFonts w:eastAsia="Times New Roman"/>
          <w:b/>
          <w:bCs/>
        </w:rPr>
      </w:pPr>
    </w:p>
    <w:p w14:paraId="29DE08FB" w14:textId="2A5F6407" w:rsidR="1EDEBFEB" w:rsidRPr="00915FAB" w:rsidRDefault="1EDEBFEB" w:rsidP="00915FAB">
      <w:pPr>
        <w:pStyle w:val="ListParagraph"/>
        <w:numPr>
          <w:ilvl w:val="0"/>
          <w:numId w:val="16"/>
        </w:numPr>
        <w:rPr>
          <w:rFonts w:eastAsia="Times New Roman"/>
          <w:b/>
          <w:bCs/>
        </w:rPr>
      </w:pPr>
      <w:r w:rsidRPr="00915FAB">
        <w:rPr>
          <w:rFonts w:eastAsia="Times New Roman"/>
          <w:b/>
          <w:bCs/>
        </w:rPr>
        <w:t>Is the page limit single-spaced or double-spaced?</w:t>
      </w:r>
    </w:p>
    <w:p w14:paraId="36F36AFD" w14:textId="41904CDE" w:rsidR="7D74C942" w:rsidRDefault="7D74C942" w:rsidP="7D74C942">
      <w:pPr>
        <w:rPr>
          <w:rFonts w:eastAsia="Times New Roman"/>
          <w:b/>
          <w:bCs/>
        </w:rPr>
      </w:pPr>
    </w:p>
    <w:p w14:paraId="6F42F310" w14:textId="02D42EF5" w:rsidR="395C61AE" w:rsidRDefault="395C61AE" w:rsidP="00915FAB">
      <w:pPr>
        <w:spacing w:line="259" w:lineRule="auto"/>
        <w:ind w:left="360"/>
        <w:rPr>
          <w:rFonts w:ascii="Calibri" w:eastAsia="Calibri" w:hAnsi="Calibri" w:cs="Calibri"/>
          <w:szCs w:val="24"/>
        </w:rPr>
      </w:pPr>
      <w:r w:rsidRPr="7D74C942">
        <w:rPr>
          <w:rFonts w:ascii="Calibri" w:eastAsia="Calibri" w:hAnsi="Calibri" w:cs="Calibri"/>
          <w:szCs w:val="24"/>
        </w:rPr>
        <w:t xml:space="preserve">The Project Narrative </w:t>
      </w:r>
      <w:r w:rsidR="00D2699C">
        <w:rPr>
          <w:rFonts w:ascii="Calibri" w:eastAsia="Calibri" w:hAnsi="Calibri" w:cs="Calibri"/>
          <w:szCs w:val="24"/>
        </w:rPr>
        <w:t xml:space="preserve">(Exhibit A) </w:t>
      </w:r>
      <w:r w:rsidRPr="7D74C942">
        <w:rPr>
          <w:rFonts w:ascii="Calibri" w:eastAsia="Calibri" w:hAnsi="Calibri" w:cs="Calibri"/>
          <w:szCs w:val="24"/>
        </w:rPr>
        <w:t xml:space="preserve">must be submitted </w:t>
      </w:r>
      <w:r w:rsidR="0090093C">
        <w:rPr>
          <w:rFonts w:ascii="Calibri" w:eastAsia="Calibri" w:hAnsi="Calibri" w:cs="Calibri"/>
          <w:szCs w:val="24"/>
        </w:rPr>
        <w:t>as a</w:t>
      </w:r>
      <w:r w:rsidRPr="7D74C942">
        <w:rPr>
          <w:rFonts w:ascii="Calibri" w:eastAsia="Calibri" w:hAnsi="Calibri" w:cs="Calibri"/>
          <w:szCs w:val="24"/>
        </w:rPr>
        <w:t xml:space="preserve"> M</w:t>
      </w:r>
      <w:r w:rsidR="00D2699C">
        <w:rPr>
          <w:rFonts w:ascii="Calibri" w:eastAsia="Calibri" w:hAnsi="Calibri" w:cs="Calibri"/>
          <w:szCs w:val="24"/>
        </w:rPr>
        <w:t>icrosoft</w:t>
      </w:r>
      <w:r w:rsidRPr="7D74C942">
        <w:rPr>
          <w:rFonts w:ascii="Calibri" w:eastAsia="Calibri" w:hAnsi="Calibri" w:cs="Calibri"/>
          <w:szCs w:val="24"/>
        </w:rPr>
        <w:t xml:space="preserve"> Word</w:t>
      </w:r>
      <w:r w:rsidR="0090093C">
        <w:rPr>
          <w:rFonts w:ascii="Calibri" w:eastAsia="Calibri" w:hAnsi="Calibri" w:cs="Calibri"/>
          <w:szCs w:val="24"/>
        </w:rPr>
        <w:t xml:space="preserve"> document,</w:t>
      </w:r>
      <w:r w:rsidRPr="7D74C942">
        <w:rPr>
          <w:rFonts w:ascii="Calibri" w:eastAsia="Calibri" w:hAnsi="Calibri" w:cs="Calibri"/>
          <w:szCs w:val="24"/>
        </w:rPr>
        <w:t xml:space="preserve"> single-spaced, in Calibri 12-point font, and adhere to a 15-page limit.</w:t>
      </w:r>
      <w:bookmarkStart w:id="4" w:name="_Hlk166236188"/>
      <w:r w:rsidR="002B6EEC">
        <w:rPr>
          <w:rFonts w:ascii="Calibri" w:eastAsia="Calibri" w:hAnsi="Calibri" w:cs="Calibri"/>
          <w:szCs w:val="24"/>
        </w:rPr>
        <w:t xml:space="preserve"> </w:t>
      </w:r>
      <w:r w:rsidRPr="7D74C942">
        <w:rPr>
          <w:rFonts w:ascii="Calibri" w:eastAsia="Calibri" w:hAnsi="Calibri" w:cs="Calibri"/>
          <w:szCs w:val="24"/>
        </w:rPr>
        <w:t>For additional information, see Appendix A</w:t>
      </w:r>
      <w:r w:rsidR="00D2699C">
        <w:rPr>
          <w:rFonts w:ascii="Calibri" w:eastAsia="Calibri" w:hAnsi="Calibri" w:cs="Calibri"/>
          <w:szCs w:val="24"/>
        </w:rPr>
        <w:t xml:space="preserve">. </w:t>
      </w:r>
      <w:r w:rsidR="009C0375">
        <w:rPr>
          <w:rFonts w:ascii="Calibri" w:eastAsia="Calibri" w:hAnsi="Calibri" w:cs="Calibri"/>
          <w:szCs w:val="24"/>
        </w:rPr>
        <w:t xml:space="preserve">of the SFP, </w:t>
      </w:r>
      <w:r w:rsidR="00D2699C">
        <w:rPr>
          <w:rFonts w:ascii="Calibri" w:eastAsia="Calibri" w:hAnsi="Calibri" w:cs="Calibri"/>
          <w:szCs w:val="24"/>
        </w:rPr>
        <w:t>Proposal Package Instructions</w:t>
      </w:r>
      <w:bookmarkEnd w:id="4"/>
      <w:r w:rsidRPr="7D74C942">
        <w:rPr>
          <w:rFonts w:ascii="Calibri" w:eastAsia="Calibri" w:hAnsi="Calibri" w:cs="Calibri"/>
          <w:szCs w:val="24"/>
        </w:rPr>
        <w:t>.</w:t>
      </w:r>
    </w:p>
    <w:p w14:paraId="34496D51" w14:textId="287D9A2E" w:rsidR="7D74C942" w:rsidRDefault="7D74C942" w:rsidP="7D74C942">
      <w:pPr>
        <w:rPr>
          <w:rFonts w:eastAsia="Times New Roman"/>
          <w:b/>
          <w:bCs/>
        </w:rPr>
      </w:pPr>
    </w:p>
    <w:p w14:paraId="55C71365" w14:textId="4C7A9120" w:rsidR="1EDEBFEB" w:rsidRPr="00915FAB" w:rsidRDefault="1EDEBFEB" w:rsidP="00915FAB">
      <w:pPr>
        <w:pStyle w:val="ListParagraph"/>
        <w:numPr>
          <w:ilvl w:val="0"/>
          <w:numId w:val="16"/>
        </w:numPr>
        <w:rPr>
          <w:rFonts w:eastAsia="Times New Roman"/>
          <w:b/>
          <w:bCs/>
        </w:rPr>
      </w:pPr>
      <w:r w:rsidRPr="00915FAB">
        <w:rPr>
          <w:rFonts w:eastAsia="Times New Roman"/>
          <w:b/>
          <w:bCs/>
        </w:rPr>
        <w:t>Will the Department accept a formal contract or MOU with a partner instead of a letter of partnershi</w:t>
      </w:r>
      <w:r w:rsidR="0F5B5D86" w:rsidRPr="00915FAB">
        <w:rPr>
          <w:rFonts w:eastAsia="Times New Roman"/>
          <w:b/>
          <w:bCs/>
        </w:rPr>
        <w:t>p/commitment?</w:t>
      </w:r>
    </w:p>
    <w:p w14:paraId="46E007D4" w14:textId="03A207D5" w:rsidR="7D74C942" w:rsidRDefault="7D74C942" w:rsidP="7D74C942">
      <w:pPr>
        <w:rPr>
          <w:rFonts w:eastAsia="Times New Roman"/>
          <w:b/>
          <w:bCs/>
          <w:highlight w:val="yellow"/>
        </w:rPr>
      </w:pPr>
    </w:p>
    <w:p w14:paraId="21A89F23" w14:textId="4A46D7B7" w:rsidR="003226AF" w:rsidRPr="003226AF" w:rsidRDefault="003226AF" w:rsidP="00915FAB">
      <w:pPr>
        <w:ind w:left="360"/>
        <w:rPr>
          <w:rFonts w:eastAsia="Times New Roman"/>
        </w:rPr>
      </w:pPr>
      <w:r>
        <w:rPr>
          <w:rFonts w:eastAsia="Times New Roman"/>
        </w:rPr>
        <w:t xml:space="preserve">To </w:t>
      </w:r>
      <w:r w:rsidRPr="003226AF">
        <w:rPr>
          <w:rFonts w:eastAsia="Times New Roman"/>
        </w:rPr>
        <w:t>demonstrate the required capacity to leverage other resources applicants must describe proposed and existent partnerships including any in-kind or funding attained to benefit this grant. Additionally, applicants must attach a signed Partnership Agreement Letter with a description of each proposed or existing partner’s parameters and level of commitment. A Partnership Agreement Letter must be submitted for each proposed partner. Applicants must submit letters of agreement from all partners. Each partnership agreement letter must</w:t>
      </w:r>
      <w:r w:rsidR="009D0107">
        <w:rPr>
          <w:rFonts w:eastAsia="Times New Roman"/>
        </w:rPr>
        <w:t xml:space="preserve"> do the following</w:t>
      </w:r>
      <w:r w:rsidRPr="003226AF">
        <w:rPr>
          <w:rFonts w:eastAsia="Times New Roman"/>
        </w:rPr>
        <w:t>:</w:t>
      </w:r>
    </w:p>
    <w:p w14:paraId="29FE9FED" w14:textId="0FF70553" w:rsidR="003226AF" w:rsidRPr="003226AF" w:rsidRDefault="003226AF" w:rsidP="003226AF">
      <w:pPr>
        <w:pStyle w:val="ListParagraph"/>
        <w:numPr>
          <w:ilvl w:val="0"/>
          <w:numId w:val="15"/>
        </w:numPr>
        <w:rPr>
          <w:rFonts w:eastAsia="Times New Roman"/>
        </w:rPr>
      </w:pPr>
      <w:r w:rsidRPr="003226AF">
        <w:rPr>
          <w:rFonts w:eastAsia="Times New Roman"/>
        </w:rPr>
        <w:t xml:space="preserve">Describe in detail the specific roles and responsibilities of each of the partners. </w:t>
      </w:r>
    </w:p>
    <w:p w14:paraId="3CD62045" w14:textId="12940650" w:rsidR="003226AF" w:rsidRPr="003226AF" w:rsidRDefault="003226AF" w:rsidP="003226AF">
      <w:pPr>
        <w:pStyle w:val="ListParagraph"/>
        <w:numPr>
          <w:ilvl w:val="0"/>
          <w:numId w:val="15"/>
        </w:numPr>
        <w:rPr>
          <w:rFonts w:eastAsia="Times New Roman"/>
        </w:rPr>
      </w:pPr>
      <w:r w:rsidRPr="003226AF">
        <w:rPr>
          <w:rFonts w:eastAsia="Times New Roman"/>
        </w:rPr>
        <w:t xml:space="preserve">Describe how the services will differ from what already exists locally. </w:t>
      </w:r>
    </w:p>
    <w:p w14:paraId="1A36AB97" w14:textId="53C2F7A3" w:rsidR="003226AF" w:rsidRPr="003226AF" w:rsidRDefault="003226AF" w:rsidP="003226AF">
      <w:pPr>
        <w:pStyle w:val="ListParagraph"/>
        <w:numPr>
          <w:ilvl w:val="0"/>
          <w:numId w:val="15"/>
        </w:numPr>
        <w:rPr>
          <w:rFonts w:eastAsia="Times New Roman"/>
        </w:rPr>
      </w:pPr>
      <w:r w:rsidRPr="003226AF">
        <w:rPr>
          <w:rFonts w:eastAsia="Times New Roman"/>
        </w:rPr>
        <w:t xml:space="preserve">Identify an agency contact person and telephone number. </w:t>
      </w:r>
    </w:p>
    <w:p w14:paraId="3D0244FF" w14:textId="79A31A7A" w:rsidR="003226AF" w:rsidRPr="003226AF" w:rsidRDefault="003226AF" w:rsidP="003226AF">
      <w:pPr>
        <w:pStyle w:val="ListParagraph"/>
        <w:numPr>
          <w:ilvl w:val="0"/>
          <w:numId w:val="15"/>
        </w:numPr>
        <w:rPr>
          <w:rFonts w:eastAsia="Times New Roman"/>
        </w:rPr>
      </w:pPr>
      <w:r w:rsidRPr="003226AF">
        <w:rPr>
          <w:rFonts w:eastAsia="Times New Roman"/>
        </w:rPr>
        <w:t xml:space="preserve">Be signed by an authorized signatory representative of the partner agency. </w:t>
      </w:r>
    </w:p>
    <w:p w14:paraId="6165FE36" w14:textId="013BBA9A" w:rsidR="003226AF" w:rsidRPr="003226AF" w:rsidRDefault="003226AF" w:rsidP="003226AF">
      <w:pPr>
        <w:pStyle w:val="ListParagraph"/>
        <w:numPr>
          <w:ilvl w:val="0"/>
          <w:numId w:val="15"/>
        </w:numPr>
        <w:rPr>
          <w:rFonts w:eastAsia="Times New Roman"/>
        </w:rPr>
      </w:pPr>
      <w:r w:rsidRPr="003226AF">
        <w:rPr>
          <w:rFonts w:eastAsia="Times New Roman"/>
        </w:rPr>
        <w:t xml:space="preserve">Describe the extent of the partnership and its anticipated outcomes. </w:t>
      </w:r>
    </w:p>
    <w:p w14:paraId="52444EA7" w14:textId="006E769B" w:rsidR="00A9372B" w:rsidRPr="009C0375" w:rsidRDefault="003226AF" w:rsidP="003226AF">
      <w:pPr>
        <w:pStyle w:val="ListParagraph"/>
        <w:numPr>
          <w:ilvl w:val="0"/>
          <w:numId w:val="15"/>
        </w:numPr>
        <w:rPr>
          <w:rFonts w:eastAsia="Times New Roman"/>
        </w:rPr>
      </w:pPr>
      <w:r w:rsidRPr="003226AF">
        <w:rPr>
          <w:rFonts w:eastAsia="Times New Roman"/>
        </w:rPr>
        <w:t xml:space="preserve">Be dated within the grant competition period, between </w:t>
      </w:r>
      <w:r w:rsidRPr="009C0375">
        <w:rPr>
          <w:rFonts w:eastAsia="Times New Roman"/>
        </w:rPr>
        <w:t xml:space="preserve">April 3, </w:t>
      </w:r>
      <w:proofErr w:type="gramStart"/>
      <w:r w:rsidRPr="009C0375">
        <w:rPr>
          <w:rFonts w:eastAsia="Times New Roman"/>
        </w:rPr>
        <w:t>2024</w:t>
      </w:r>
      <w:proofErr w:type="gramEnd"/>
      <w:r w:rsidR="0011364B">
        <w:rPr>
          <w:rFonts w:eastAsia="Times New Roman"/>
        </w:rPr>
        <w:t xml:space="preserve"> </w:t>
      </w:r>
      <w:r w:rsidRPr="009C0375">
        <w:rPr>
          <w:rFonts w:eastAsia="Times New Roman"/>
        </w:rPr>
        <w:t>and May 24, 2024</w:t>
      </w:r>
      <w:r w:rsidRPr="003226AF">
        <w:rPr>
          <w:rFonts w:eastAsia="Times New Roman"/>
        </w:rPr>
        <w:t xml:space="preserve">. </w:t>
      </w:r>
    </w:p>
    <w:p w14:paraId="5A9C3C79" w14:textId="77777777" w:rsidR="002B6EEC" w:rsidRDefault="002B6EEC" w:rsidP="003226AF">
      <w:pPr>
        <w:rPr>
          <w:rFonts w:eastAsia="Times New Roman"/>
        </w:rPr>
      </w:pPr>
    </w:p>
    <w:p w14:paraId="72B7FBC5" w14:textId="3A9D8B6D" w:rsidR="21114774" w:rsidRDefault="003226AF" w:rsidP="00915FAB">
      <w:pPr>
        <w:ind w:left="360"/>
        <w:rPr>
          <w:rFonts w:eastAsia="Times New Roman"/>
          <w:highlight w:val="yellow"/>
        </w:rPr>
      </w:pPr>
      <w:r w:rsidRPr="003226AF">
        <w:rPr>
          <w:rFonts w:eastAsia="Times New Roman"/>
        </w:rPr>
        <w:t>A contract or MOU may be accepted as supporting documentation for the partnership agreement, but the letter of partnership commitment will be required.</w:t>
      </w:r>
    </w:p>
    <w:p w14:paraId="0E21822B" w14:textId="59867DA5" w:rsidR="7D74C942" w:rsidRDefault="7D74C942" w:rsidP="7D74C942">
      <w:pPr>
        <w:rPr>
          <w:rFonts w:eastAsia="Times New Roman"/>
          <w:b/>
          <w:bCs/>
        </w:rPr>
      </w:pPr>
    </w:p>
    <w:p w14:paraId="0C2F037E" w14:textId="42A0DB3D" w:rsidR="0F5B5D86" w:rsidRPr="00915FAB" w:rsidRDefault="0F5B5D86" w:rsidP="00915FAB">
      <w:pPr>
        <w:pStyle w:val="ListParagraph"/>
        <w:numPr>
          <w:ilvl w:val="0"/>
          <w:numId w:val="16"/>
        </w:numPr>
        <w:rPr>
          <w:rFonts w:eastAsia="Times New Roman"/>
          <w:b/>
          <w:bCs/>
        </w:rPr>
      </w:pPr>
      <w:r w:rsidRPr="00915FAB">
        <w:rPr>
          <w:rFonts w:eastAsia="Times New Roman"/>
          <w:b/>
          <w:bCs/>
        </w:rPr>
        <w:t>Is proposal scoring only based on reviewing and scoring the project narrative?</w:t>
      </w:r>
    </w:p>
    <w:p w14:paraId="0DEAB095" w14:textId="53327185" w:rsidR="7D74C942" w:rsidRDefault="7D74C942" w:rsidP="7D74C942">
      <w:pPr>
        <w:rPr>
          <w:rFonts w:eastAsia="Times New Roman"/>
          <w:b/>
          <w:bCs/>
        </w:rPr>
      </w:pPr>
    </w:p>
    <w:p w14:paraId="62D85F2B" w14:textId="65D35E40" w:rsidR="60329CB5" w:rsidRPr="002B6EEC" w:rsidRDefault="60329CB5" w:rsidP="00915FAB">
      <w:pPr>
        <w:ind w:left="360"/>
        <w:rPr>
          <w:rFonts w:ascii="Calibri" w:eastAsia="Calibri" w:hAnsi="Calibri" w:cs="Calibri"/>
          <w:szCs w:val="24"/>
        </w:rPr>
      </w:pPr>
      <w:r w:rsidRPr="7D74C942">
        <w:rPr>
          <w:rFonts w:ascii="Calibri" w:eastAsia="Calibri" w:hAnsi="Calibri" w:cs="Calibri"/>
          <w:color w:val="000000" w:themeColor="text1"/>
          <w:szCs w:val="24"/>
        </w:rPr>
        <w:t xml:space="preserve">Ranked scores will serve as the primary basis for making recommendations for funding in </w:t>
      </w:r>
      <w:r w:rsidR="0090093C">
        <w:rPr>
          <w:rFonts w:ascii="Calibri" w:eastAsia="Calibri" w:hAnsi="Calibri" w:cs="Calibri"/>
          <w:color w:val="000000" w:themeColor="text1"/>
          <w:szCs w:val="24"/>
        </w:rPr>
        <w:t>addition to</w:t>
      </w:r>
      <w:r w:rsidRPr="7D74C942">
        <w:rPr>
          <w:rFonts w:ascii="Calibri" w:eastAsia="Calibri" w:hAnsi="Calibri" w:cs="Calibri"/>
          <w:color w:val="000000" w:themeColor="text1"/>
          <w:szCs w:val="24"/>
        </w:rPr>
        <w:t xml:space="preserve"> other factors such as geographic distribution of funds, uniqueness, and innovative aspects of the proposal.</w:t>
      </w:r>
      <w:bookmarkStart w:id="5" w:name="_Hlk166236470"/>
      <w:r w:rsidR="002B6EEC">
        <w:rPr>
          <w:rFonts w:ascii="Calibri" w:eastAsia="Calibri" w:hAnsi="Calibri" w:cs="Calibri"/>
          <w:szCs w:val="24"/>
        </w:rPr>
        <w:t xml:space="preserve"> </w:t>
      </w:r>
      <w:r w:rsidR="009C0375" w:rsidRPr="7D74C942">
        <w:rPr>
          <w:rFonts w:ascii="Calibri" w:eastAsia="Calibri" w:hAnsi="Calibri" w:cs="Calibri"/>
          <w:szCs w:val="24"/>
        </w:rPr>
        <w:t xml:space="preserve">For additional information, see </w:t>
      </w:r>
      <w:r w:rsidR="009C0375">
        <w:rPr>
          <w:rFonts w:ascii="Calibri" w:eastAsia="Calibri" w:hAnsi="Calibri" w:cs="Calibri"/>
          <w:szCs w:val="24"/>
        </w:rPr>
        <w:t>Section 6.A. of the SFP, Proposal Review, Scoring, and Evaluation</w:t>
      </w:r>
      <w:bookmarkEnd w:id="5"/>
      <w:r w:rsidR="009C0375">
        <w:rPr>
          <w:rFonts w:ascii="Calibri" w:eastAsia="Calibri" w:hAnsi="Calibri" w:cs="Calibri"/>
          <w:szCs w:val="24"/>
        </w:rPr>
        <w:t>.</w:t>
      </w:r>
    </w:p>
    <w:p w14:paraId="6FC66780" w14:textId="3F20F098" w:rsidR="7D74C942" w:rsidRDefault="7D74C942" w:rsidP="7D74C942">
      <w:pPr>
        <w:rPr>
          <w:rFonts w:eastAsia="Times New Roman"/>
          <w:b/>
          <w:bCs/>
        </w:rPr>
      </w:pPr>
    </w:p>
    <w:p w14:paraId="51DA51BD" w14:textId="66C8FEE0" w:rsidR="0F5B5D86" w:rsidRPr="00915FAB" w:rsidRDefault="0F5B5D86" w:rsidP="00915FAB">
      <w:pPr>
        <w:pStyle w:val="ListParagraph"/>
        <w:numPr>
          <w:ilvl w:val="0"/>
          <w:numId w:val="16"/>
        </w:numPr>
        <w:rPr>
          <w:rFonts w:eastAsia="Times New Roman"/>
          <w:b/>
          <w:bCs/>
        </w:rPr>
      </w:pPr>
      <w:r w:rsidRPr="00915FAB">
        <w:rPr>
          <w:rFonts w:eastAsia="Times New Roman"/>
          <w:b/>
          <w:bCs/>
        </w:rPr>
        <w:t>What other “performance goals” can an applicant include in their proposal besides producing the requested 24 radio shows?</w:t>
      </w:r>
    </w:p>
    <w:p w14:paraId="1FE2A017" w14:textId="5E3FCA78" w:rsidR="7D74C942" w:rsidRDefault="7D74C942" w:rsidP="7D74C942">
      <w:pPr>
        <w:rPr>
          <w:rFonts w:eastAsia="Times New Roman"/>
          <w:b/>
          <w:bCs/>
          <w:highlight w:val="yellow"/>
        </w:rPr>
      </w:pPr>
    </w:p>
    <w:p w14:paraId="728C4F8B" w14:textId="62DFD9C5" w:rsidR="7D74C942" w:rsidRDefault="00676902" w:rsidP="00915FAB">
      <w:pPr>
        <w:ind w:left="360"/>
        <w:rPr>
          <w:rFonts w:eastAsia="Times New Roman"/>
        </w:rPr>
      </w:pPr>
      <w:r w:rsidRPr="00371587">
        <w:rPr>
          <w:rFonts w:eastAsia="Times New Roman"/>
        </w:rPr>
        <w:t>Each proposal must describe specific program and performance goals to enable the EDD to measure the contractor’s performance. Performance goals included in the proposal must be measurable, achievable, and relevant to the grant.</w:t>
      </w:r>
    </w:p>
    <w:p w14:paraId="5CE27C48" w14:textId="77777777" w:rsidR="00676902" w:rsidRDefault="00676902" w:rsidP="7D74C942">
      <w:pPr>
        <w:rPr>
          <w:rFonts w:eastAsia="Times New Roman"/>
          <w:b/>
          <w:bCs/>
        </w:rPr>
      </w:pPr>
    </w:p>
    <w:p w14:paraId="563D7306" w14:textId="1015613E" w:rsidR="0F5B5D86" w:rsidRPr="00915FAB" w:rsidRDefault="0F5B5D86" w:rsidP="00915FAB">
      <w:pPr>
        <w:pStyle w:val="ListParagraph"/>
        <w:numPr>
          <w:ilvl w:val="0"/>
          <w:numId w:val="16"/>
        </w:numPr>
        <w:rPr>
          <w:rFonts w:eastAsia="Times New Roman"/>
          <w:b/>
          <w:bCs/>
        </w:rPr>
      </w:pPr>
      <w:r w:rsidRPr="00915FAB">
        <w:rPr>
          <w:rFonts w:eastAsia="Times New Roman"/>
          <w:b/>
          <w:bCs/>
        </w:rPr>
        <w:t>Is there a scoring rubric?</w:t>
      </w:r>
    </w:p>
    <w:p w14:paraId="7DB16ADE" w14:textId="36E0A10C" w:rsidR="7D74C942" w:rsidRDefault="7D74C942" w:rsidP="7D74C942">
      <w:pPr>
        <w:rPr>
          <w:rFonts w:eastAsia="Times New Roman"/>
          <w:b/>
          <w:bCs/>
        </w:rPr>
      </w:pPr>
    </w:p>
    <w:p w14:paraId="11F9986A" w14:textId="637AF08D" w:rsidR="7D74C942" w:rsidRPr="00915FAB" w:rsidRDefault="3CA1FBE2" w:rsidP="00915FAB">
      <w:pPr>
        <w:ind w:firstLine="360"/>
        <w:rPr>
          <w:rFonts w:eastAsia="Times New Roman"/>
        </w:rPr>
      </w:pPr>
      <w:r w:rsidRPr="7D74C942">
        <w:rPr>
          <w:rFonts w:eastAsia="Times New Roman"/>
        </w:rPr>
        <w:t>Yes, the scoring rubric can be found in the SFP’s Appendix A from pages 22-24.</w:t>
      </w:r>
    </w:p>
    <w:p w14:paraId="40DFFE20" w14:textId="597B9581" w:rsidR="0F5B5D86" w:rsidRPr="00915FAB" w:rsidRDefault="0F5B5D86" w:rsidP="00915FAB">
      <w:pPr>
        <w:pStyle w:val="ListParagraph"/>
        <w:numPr>
          <w:ilvl w:val="0"/>
          <w:numId w:val="16"/>
        </w:numPr>
        <w:rPr>
          <w:rFonts w:eastAsia="Times New Roman"/>
          <w:b/>
          <w:bCs/>
        </w:rPr>
      </w:pPr>
      <w:r w:rsidRPr="00915FAB">
        <w:rPr>
          <w:rFonts w:eastAsia="Times New Roman"/>
          <w:b/>
          <w:bCs/>
        </w:rPr>
        <w:lastRenderedPageBreak/>
        <w:t>How many awardees are expected?</w:t>
      </w:r>
    </w:p>
    <w:p w14:paraId="54A0B564" w14:textId="7ECAB554" w:rsidR="7D74C942" w:rsidRDefault="7D74C942" w:rsidP="7D74C942">
      <w:pPr>
        <w:rPr>
          <w:rFonts w:eastAsia="Times New Roman"/>
          <w:b/>
          <w:bCs/>
        </w:rPr>
      </w:pPr>
    </w:p>
    <w:p w14:paraId="32C57768" w14:textId="73272CEB" w:rsidR="4FFD0297" w:rsidRDefault="4FFD0297" w:rsidP="00915FAB">
      <w:pPr>
        <w:ind w:firstLine="360"/>
        <w:rPr>
          <w:rFonts w:eastAsia="Times New Roman"/>
        </w:rPr>
      </w:pPr>
      <w:r w:rsidRPr="7D74C942">
        <w:rPr>
          <w:rFonts w:eastAsia="Times New Roman"/>
        </w:rPr>
        <w:t xml:space="preserve">One </w:t>
      </w:r>
      <w:r w:rsidR="002B6EEC">
        <w:rPr>
          <w:rFonts w:eastAsia="Times New Roman"/>
        </w:rPr>
        <w:t>awardee will be awarded</w:t>
      </w:r>
      <w:r w:rsidR="1FA4CF42" w:rsidRPr="7D74C942">
        <w:rPr>
          <w:rFonts w:eastAsia="Times New Roman"/>
        </w:rPr>
        <w:t xml:space="preserve"> up to $100,000 in total funding.</w:t>
      </w:r>
    </w:p>
    <w:p w14:paraId="25122D47" w14:textId="31CC3F0E" w:rsidR="7D74C942" w:rsidRDefault="7D74C942" w:rsidP="7D74C942">
      <w:pPr>
        <w:rPr>
          <w:rFonts w:eastAsia="Times New Roman"/>
          <w:b/>
          <w:bCs/>
        </w:rPr>
      </w:pPr>
    </w:p>
    <w:p w14:paraId="3A063917" w14:textId="333F1223" w:rsidR="0F5B5D86" w:rsidRPr="00915FAB" w:rsidRDefault="0F5B5D86" w:rsidP="00915FAB">
      <w:pPr>
        <w:pStyle w:val="ListParagraph"/>
        <w:numPr>
          <w:ilvl w:val="0"/>
          <w:numId w:val="16"/>
        </w:numPr>
        <w:rPr>
          <w:rFonts w:eastAsia="Times New Roman"/>
          <w:b/>
          <w:bCs/>
        </w:rPr>
      </w:pPr>
      <w:r w:rsidRPr="00915FAB">
        <w:rPr>
          <w:rFonts w:eastAsia="Times New Roman"/>
          <w:b/>
          <w:bCs/>
        </w:rPr>
        <w:t>Can a radio station apply?</w:t>
      </w:r>
    </w:p>
    <w:p w14:paraId="1DE52367" w14:textId="2BB56B07" w:rsidR="7D74C942" w:rsidRDefault="7D74C942" w:rsidP="7D74C942">
      <w:pPr>
        <w:rPr>
          <w:rFonts w:eastAsia="Times New Roman"/>
          <w:b/>
          <w:bCs/>
        </w:rPr>
      </w:pPr>
    </w:p>
    <w:p w14:paraId="0E6737DF" w14:textId="17667A76" w:rsidR="00437BDE" w:rsidRPr="002B6EEC" w:rsidRDefault="7EF741DA" w:rsidP="00915FAB">
      <w:pPr>
        <w:ind w:left="360"/>
        <w:rPr>
          <w:rFonts w:ascii="Calibri" w:eastAsia="Calibri" w:hAnsi="Calibri" w:cs="Calibri"/>
          <w:szCs w:val="24"/>
        </w:rPr>
      </w:pPr>
      <w:r w:rsidRPr="7D74C942">
        <w:rPr>
          <w:rFonts w:ascii="Calibri" w:eastAsia="Calibri" w:hAnsi="Calibri" w:cs="Calibri"/>
          <w:szCs w:val="24"/>
        </w:rPr>
        <w:t>Yes, proposals will be accepted from non-profit public or private agencies, community and faith-based organizations, tribal governments, and educational institutions.</w:t>
      </w:r>
      <w:r w:rsidR="002B6EEC">
        <w:rPr>
          <w:rFonts w:ascii="Calibri" w:eastAsia="Calibri" w:hAnsi="Calibri" w:cs="Calibri"/>
          <w:szCs w:val="24"/>
        </w:rPr>
        <w:t xml:space="preserve"> </w:t>
      </w:r>
      <w:r w:rsidR="00437BDE" w:rsidRPr="7D74C942">
        <w:rPr>
          <w:rFonts w:ascii="Calibri" w:eastAsia="Calibri" w:hAnsi="Calibri" w:cs="Calibri"/>
          <w:szCs w:val="24"/>
        </w:rPr>
        <w:t xml:space="preserve">For additional information, see </w:t>
      </w:r>
      <w:r w:rsidR="00437BDE">
        <w:rPr>
          <w:rFonts w:ascii="Calibri" w:eastAsia="Calibri" w:hAnsi="Calibri" w:cs="Calibri"/>
          <w:szCs w:val="24"/>
        </w:rPr>
        <w:t>Section 1.C. of the SFP, Eligible Applicants.</w:t>
      </w:r>
    </w:p>
    <w:p w14:paraId="3F2F8DD4" w14:textId="77777777" w:rsidR="000D27DB" w:rsidRDefault="000D27DB" w:rsidP="00525944">
      <w:pPr>
        <w:rPr>
          <w:rFonts w:ascii="Calibri" w:eastAsia="Arial" w:hAnsi="Calibri" w:cs="Calibri"/>
          <w:color w:val="000000" w:themeColor="text1"/>
          <w:lang w:val="en"/>
        </w:rPr>
      </w:pPr>
    </w:p>
    <w:sectPr w:rsidR="000D27DB" w:rsidSect="005E3EFB">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BC5C" w14:textId="77777777" w:rsidR="004E504E" w:rsidRDefault="004E504E" w:rsidP="00C4619D">
      <w:r>
        <w:separator/>
      </w:r>
    </w:p>
  </w:endnote>
  <w:endnote w:type="continuationSeparator" w:id="0">
    <w:p w14:paraId="1B7B686F" w14:textId="77777777" w:rsidR="004E504E" w:rsidRDefault="004E504E" w:rsidP="00C4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535" w14:textId="7B604B54" w:rsidR="006B0413" w:rsidRPr="00A20493" w:rsidRDefault="009D0107" w:rsidP="006B0413">
    <w:pPr>
      <w:pStyle w:val="Footer"/>
      <w:rPr>
        <w:szCs w:val="24"/>
      </w:rPr>
    </w:pPr>
    <w:sdt>
      <w:sdtPr>
        <w:id w:val="2060745792"/>
        <w:docPartObj>
          <w:docPartGallery w:val="Page Numbers (Top of Page)"/>
          <w:docPartUnique/>
        </w:docPartObj>
      </w:sdtPr>
      <w:sdtEndPr>
        <w:rPr>
          <w:szCs w:val="24"/>
        </w:rPr>
      </w:sdtEndPr>
      <w:sdtContent>
        <w:r w:rsidR="00EC4225">
          <w:t>CCOG</w:t>
        </w:r>
        <w:r w:rsidR="00C7405F">
          <w:t>-RM</w:t>
        </w:r>
        <w:r w:rsidR="006B0413">
          <w:t xml:space="preserve"> </w:t>
        </w:r>
        <w:r w:rsidR="006B0413">
          <w:rPr>
            <w:szCs w:val="24"/>
          </w:rPr>
          <w:t>PY 2</w:t>
        </w:r>
        <w:r w:rsidR="00EC4225">
          <w:rPr>
            <w:szCs w:val="24"/>
          </w:rPr>
          <w:t>4</w:t>
        </w:r>
        <w:r w:rsidR="006B0413" w:rsidRPr="00A20493">
          <w:rPr>
            <w:szCs w:val="24"/>
          </w:rPr>
          <w:t>-</w:t>
        </w:r>
        <w:r w:rsidR="006B0413">
          <w:rPr>
            <w:szCs w:val="24"/>
          </w:rPr>
          <w:t>2</w:t>
        </w:r>
        <w:r w:rsidR="00EC4225">
          <w:rPr>
            <w:szCs w:val="24"/>
          </w:rPr>
          <w:t>5</w:t>
        </w:r>
        <w:r w:rsidR="00C7405F">
          <w:rPr>
            <w:szCs w:val="24"/>
          </w:rPr>
          <w:t xml:space="preserve"> Q&amp;A</w:t>
        </w:r>
        <w:r w:rsidR="006B0413" w:rsidRPr="00A20493">
          <w:rPr>
            <w:szCs w:val="24"/>
          </w:rPr>
          <w:tab/>
          <w:t xml:space="preserve">Page </w:t>
        </w:r>
        <w:r w:rsidR="006B0413" w:rsidRPr="00A20493">
          <w:rPr>
            <w:bCs/>
            <w:szCs w:val="24"/>
          </w:rPr>
          <w:fldChar w:fldCharType="begin"/>
        </w:r>
        <w:r w:rsidR="006B0413" w:rsidRPr="00A20493">
          <w:rPr>
            <w:bCs/>
            <w:szCs w:val="24"/>
          </w:rPr>
          <w:instrText xml:space="preserve"> PAGE </w:instrText>
        </w:r>
        <w:r w:rsidR="006B0413" w:rsidRPr="00A20493">
          <w:rPr>
            <w:bCs/>
            <w:szCs w:val="24"/>
          </w:rPr>
          <w:fldChar w:fldCharType="separate"/>
        </w:r>
        <w:r w:rsidR="006B0413">
          <w:rPr>
            <w:bCs/>
            <w:szCs w:val="24"/>
          </w:rPr>
          <w:t>1</w:t>
        </w:r>
        <w:r w:rsidR="006B0413" w:rsidRPr="00A20493">
          <w:rPr>
            <w:bCs/>
            <w:szCs w:val="24"/>
          </w:rPr>
          <w:fldChar w:fldCharType="end"/>
        </w:r>
        <w:r w:rsidR="006B0413" w:rsidRPr="00A20493">
          <w:rPr>
            <w:szCs w:val="24"/>
          </w:rPr>
          <w:t xml:space="preserve"> of </w:t>
        </w:r>
        <w:r w:rsidR="006B0413" w:rsidRPr="00A20493">
          <w:rPr>
            <w:bCs/>
            <w:szCs w:val="24"/>
          </w:rPr>
          <w:fldChar w:fldCharType="begin"/>
        </w:r>
        <w:r w:rsidR="006B0413" w:rsidRPr="00A20493">
          <w:rPr>
            <w:bCs/>
            <w:szCs w:val="24"/>
          </w:rPr>
          <w:instrText xml:space="preserve"> NUMPAGES  </w:instrText>
        </w:r>
        <w:r w:rsidR="006B0413" w:rsidRPr="00A20493">
          <w:rPr>
            <w:bCs/>
            <w:szCs w:val="24"/>
          </w:rPr>
          <w:fldChar w:fldCharType="separate"/>
        </w:r>
        <w:r w:rsidR="006B0413">
          <w:rPr>
            <w:bCs/>
            <w:szCs w:val="24"/>
          </w:rPr>
          <w:t>6</w:t>
        </w:r>
        <w:r w:rsidR="006B0413" w:rsidRPr="00A20493">
          <w:rPr>
            <w:bCs/>
            <w:szCs w:val="24"/>
          </w:rPr>
          <w:fldChar w:fldCharType="end"/>
        </w:r>
        <w:r w:rsidR="006B0413" w:rsidRPr="00A20493">
          <w:rPr>
            <w:bCs/>
            <w:szCs w:val="24"/>
          </w:rPr>
          <w:t xml:space="preserve"> </w:t>
        </w:r>
        <w:r w:rsidR="006B0413">
          <w:rPr>
            <w:bCs/>
            <w:szCs w:val="24"/>
          </w:rPr>
          <w:tab/>
        </w:r>
        <w:r w:rsidR="00C7405F" w:rsidRPr="009D0107">
          <w:rPr>
            <w:bCs/>
            <w:szCs w:val="24"/>
          </w:rPr>
          <w:t>May</w:t>
        </w:r>
        <w:r w:rsidR="00907350" w:rsidRPr="009D0107">
          <w:rPr>
            <w:bCs/>
            <w:szCs w:val="24"/>
          </w:rPr>
          <w:t xml:space="preserve"> </w:t>
        </w:r>
        <w:r w:rsidR="006B0413" w:rsidRPr="009D0107">
          <w:rPr>
            <w:bCs/>
            <w:szCs w:val="24"/>
          </w:rPr>
          <w:t>202</w:t>
        </w:r>
        <w:r w:rsidR="00EC4225" w:rsidRPr="009D0107">
          <w:rPr>
            <w:bCs/>
            <w:szCs w:val="24"/>
          </w:rPr>
          <w:t>4</w:t>
        </w:r>
      </w:sdtContent>
    </w:sdt>
  </w:p>
  <w:p w14:paraId="48ADA8EA" w14:textId="77777777" w:rsidR="0011364B" w:rsidRDefault="001136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9" w14:textId="404B9C38" w:rsidR="00A20493" w:rsidRPr="00A20493" w:rsidRDefault="009D0107" w:rsidP="00A20493">
    <w:pPr>
      <w:pStyle w:val="Footer"/>
      <w:rPr>
        <w:szCs w:val="24"/>
      </w:rPr>
    </w:pPr>
    <w:sdt>
      <w:sdtPr>
        <w:id w:val="1728636285"/>
        <w:docPartObj>
          <w:docPartGallery w:val="Page Numbers (Top of Page)"/>
          <w:docPartUnique/>
        </w:docPartObj>
      </w:sdtPr>
      <w:sdtEndPr>
        <w:rPr>
          <w:szCs w:val="24"/>
        </w:rPr>
      </w:sdtEndPr>
      <w:sdtContent>
        <w:r w:rsidR="00EC4225">
          <w:t>CCOG</w:t>
        </w:r>
        <w:r w:rsidR="00DC1CA0">
          <w:t xml:space="preserve">-RM </w:t>
        </w:r>
        <w:r w:rsidR="00981B51">
          <w:rPr>
            <w:szCs w:val="24"/>
          </w:rPr>
          <w:t xml:space="preserve">PY </w:t>
        </w:r>
        <w:r w:rsidR="006D0069">
          <w:rPr>
            <w:szCs w:val="24"/>
          </w:rPr>
          <w:t>2</w:t>
        </w:r>
        <w:r w:rsidR="00EC4225">
          <w:rPr>
            <w:szCs w:val="24"/>
          </w:rPr>
          <w:t>4</w:t>
        </w:r>
        <w:r w:rsidR="00A20493" w:rsidRPr="00A20493">
          <w:rPr>
            <w:szCs w:val="24"/>
          </w:rPr>
          <w:t>-</w:t>
        </w:r>
        <w:r w:rsidR="006D0069">
          <w:rPr>
            <w:szCs w:val="24"/>
          </w:rPr>
          <w:t>2</w:t>
        </w:r>
        <w:r w:rsidR="00EC4225">
          <w:rPr>
            <w:szCs w:val="24"/>
          </w:rPr>
          <w:t>5</w:t>
        </w:r>
        <w:r w:rsidR="00C7405F">
          <w:rPr>
            <w:szCs w:val="24"/>
          </w:rPr>
          <w:t xml:space="preserve"> Q&amp;A</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DC1CA0" w:rsidRPr="00915FAB">
          <w:rPr>
            <w:bCs/>
            <w:szCs w:val="24"/>
          </w:rPr>
          <w:t>May</w:t>
        </w:r>
        <w:r w:rsidR="00907350" w:rsidRPr="00915FAB">
          <w:rPr>
            <w:bCs/>
            <w:szCs w:val="24"/>
          </w:rPr>
          <w:t xml:space="preserve"> </w:t>
        </w:r>
        <w:r w:rsidR="00AD26CE" w:rsidRPr="00915FAB">
          <w:rPr>
            <w:bCs/>
            <w:szCs w:val="24"/>
          </w:rPr>
          <w:t>202</w:t>
        </w:r>
        <w:r w:rsidR="00EC4225" w:rsidRPr="00915FAB">
          <w:rPr>
            <w:bCs/>
            <w:szCs w:val="24"/>
          </w:rPr>
          <w:t>4</w:t>
        </w:r>
      </w:sdtContent>
    </w:sdt>
  </w:p>
  <w:p w14:paraId="39C8BDA5" w14:textId="77777777" w:rsidR="0011364B" w:rsidRDefault="00113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A63C" w14:textId="77777777" w:rsidR="004E504E" w:rsidRDefault="004E504E" w:rsidP="00C4619D">
      <w:r>
        <w:separator/>
      </w:r>
    </w:p>
  </w:footnote>
  <w:footnote w:type="continuationSeparator" w:id="0">
    <w:p w14:paraId="7ED290BB" w14:textId="77777777" w:rsidR="004E504E" w:rsidRDefault="004E504E" w:rsidP="00C4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E71"/>
    <w:multiLevelType w:val="hybridMultilevel"/>
    <w:tmpl w:val="01B6F3F6"/>
    <w:lvl w:ilvl="0" w:tplc="51964F6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95808"/>
    <w:multiLevelType w:val="multilevel"/>
    <w:tmpl w:val="EF84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E74CA"/>
    <w:multiLevelType w:val="hybridMultilevel"/>
    <w:tmpl w:val="6DFE2A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320BA4"/>
    <w:multiLevelType w:val="hybridMultilevel"/>
    <w:tmpl w:val="65ACDC90"/>
    <w:lvl w:ilvl="0" w:tplc="51964F6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86934"/>
    <w:multiLevelType w:val="hybridMultilevel"/>
    <w:tmpl w:val="6A107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F339BE"/>
    <w:multiLevelType w:val="hybridMultilevel"/>
    <w:tmpl w:val="B8A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2CDA"/>
    <w:multiLevelType w:val="hybridMultilevel"/>
    <w:tmpl w:val="ACAA76A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73DC0"/>
    <w:multiLevelType w:val="hybridMultilevel"/>
    <w:tmpl w:val="94CA93E8"/>
    <w:lvl w:ilvl="0" w:tplc="B59EF9D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853CC"/>
    <w:multiLevelType w:val="hybridMultilevel"/>
    <w:tmpl w:val="19BA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0D4DE4"/>
    <w:multiLevelType w:val="hybridMultilevel"/>
    <w:tmpl w:val="E38C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63759F"/>
    <w:multiLevelType w:val="hybridMultilevel"/>
    <w:tmpl w:val="46A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329C7"/>
    <w:multiLevelType w:val="hybridMultilevel"/>
    <w:tmpl w:val="BBE858EE"/>
    <w:lvl w:ilvl="0" w:tplc="CC3479B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5509"/>
    <w:multiLevelType w:val="hybridMultilevel"/>
    <w:tmpl w:val="8B08223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218791">
    <w:abstractNumId w:val="8"/>
  </w:num>
  <w:num w:numId="2" w16cid:durableId="1276405098">
    <w:abstractNumId w:val="7"/>
  </w:num>
  <w:num w:numId="3" w16cid:durableId="1771044936">
    <w:abstractNumId w:val="6"/>
  </w:num>
  <w:num w:numId="4" w16cid:durableId="695666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8079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068416">
    <w:abstractNumId w:val="4"/>
  </w:num>
  <w:num w:numId="7" w16cid:durableId="1148936398">
    <w:abstractNumId w:val="12"/>
  </w:num>
  <w:num w:numId="8" w16cid:durableId="1677535536">
    <w:abstractNumId w:val="13"/>
  </w:num>
  <w:num w:numId="9" w16cid:durableId="2014721931">
    <w:abstractNumId w:val="5"/>
  </w:num>
  <w:num w:numId="10" w16cid:durableId="245648504">
    <w:abstractNumId w:val="1"/>
  </w:num>
  <w:num w:numId="11" w16cid:durableId="312098736">
    <w:abstractNumId w:val="14"/>
  </w:num>
  <w:num w:numId="12" w16cid:durableId="24864750">
    <w:abstractNumId w:val="11"/>
  </w:num>
  <w:num w:numId="13" w16cid:durableId="190917658">
    <w:abstractNumId w:val="0"/>
  </w:num>
  <w:num w:numId="14" w16cid:durableId="1837066567">
    <w:abstractNumId w:val="3"/>
  </w:num>
  <w:num w:numId="15" w16cid:durableId="1935042829">
    <w:abstractNumId w:val="10"/>
  </w:num>
  <w:num w:numId="16" w16cid:durableId="138494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jIysLA0NTA3NDFR0lEKTi0uzszPAykwNKgFAB2l4bstAAAA"/>
  </w:docVars>
  <w:rsids>
    <w:rsidRoot w:val="00C4619D"/>
    <w:rsid w:val="0001155C"/>
    <w:rsid w:val="00011FF6"/>
    <w:rsid w:val="00014A32"/>
    <w:rsid w:val="00024496"/>
    <w:rsid w:val="000269E3"/>
    <w:rsid w:val="00033C19"/>
    <w:rsid w:val="000351A3"/>
    <w:rsid w:val="0005733A"/>
    <w:rsid w:val="00061B9E"/>
    <w:rsid w:val="0006465F"/>
    <w:rsid w:val="00064B6E"/>
    <w:rsid w:val="00070957"/>
    <w:rsid w:val="00077074"/>
    <w:rsid w:val="00080B61"/>
    <w:rsid w:val="000868F5"/>
    <w:rsid w:val="000907CE"/>
    <w:rsid w:val="00096466"/>
    <w:rsid w:val="000A7E79"/>
    <w:rsid w:val="000C1C7E"/>
    <w:rsid w:val="000D27DB"/>
    <w:rsid w:val="000D41F4"/>
    <w:rsid w:val="000D5A07"/>
    <w:rsid w:val="000D66FA"/>
    <w:rsid w:val="000E2884"/>
    <w:rsid w:val="00100C8E"/>
    <w:rsid w:val="0010159D"/>
    <w:rsid w:val="00101A67"/>
    <w:rsid w:val="00102F32"/>
    <w:rsid w:val="00112DDD"/>
    <w:rsid w:val="0011364B"/>
    <w:rsid w:val="00117620"/>
    <w:rsid w:val="001240FB"/>
    <w:rsid w:val="001424BC"/>
    <w:rsid w:val="0015040E"/>
    <w:rsid w:val="00155F25"/>
    <w:rsid w:val="0016389F"/>
    <w:rsid w:val="00166463"/>
    <w:rsid w:val="00173288"/>
    <w:rsid w:val="0017715C"/>
    <w:rsid w:val="0018397F"/>
    <w:rsid w:val="00184425"/>
    <w:rsid w:val="00193521"/>
    <w:rsid w:val="001A419E"/>
    <w:rsid w:val="001A42C3"/>
    <w:rsid w:val="001B4B18"/>
    <w:rsid w:val="001D7C1A"/>
    <w:rsid w:val="001F3A50"/>
    <w:rsid w:val="001F5C62"/>
    <w:rsid w:val="001F6792"/>
    <w:rsid w:val="00216136"/>
    <w:rsid w:val="002241D7"/>
    <w:rsid w:val="00230165"/>
    <w:rsid w:val="00233C68"/>
    <w:rsid w:val="00243E97"/>
    <w:rsid w:val="00254D65"/>
    <w:rsid w:val="002655E3"/>
    <w:rsid w:val="00270647"/>
    <w:rsid w:val="0027732C"/>
    <w:rsid w:val="00291474"/>
    <w:rsid w:val="0029566A"/>
    <w:rsid w:val="00295C6E"/>
    <w:rsid w:val="002A49F5"/>
    <w:rsid w:val="002A54ED"/>
    <w:rsid w:val="002B6EEC"/>
    <w:rsid w:val="002C59C1"/>
    <w:rsid w:val="002D636F"/>
    <w:rsid w:val="002E12B0"/>
    <w:rsid w:val="002E1426"/>
    <w:rsid w:val="002F1B40"/>
    <w:rsid w:val="002F63E3"/>
    <w:rsid w:val="00307122"/>
    <w:rsid w:val="003226AF"/>
    <w:rsid w:val="00330230"/>
    <w:rsid w:val="00331BF6"/>
    <w:rsid w:val="003332AC"/>
    <w:rsid w:val="0034685C"/>
    <w:rsid w:val="0035660C"/>
    <w:rsid w:val="00363DE9"/>
    <w:rsid w:val="003662F6"/>
    <w:rsid w:val="00371587"/>
    <w:rsid w:val="00373533"/>
    <w:rsid w:val="00380DD6"/>
    <w:rsid w:val="00382587"/>
    <w:rsid w:val="00383678"/>
    <w:rsid w:val="0038630F"/>
    <w:rsid w:val="00392800"/>
    <w:rsid w:val="003A1359"/>
    <w:rsid w:val="003A1E24"/>
    <w:rsid w:val="003A6798"/>
    <w:rsid w:val="003A7BFB"/>
    <w:rsid w:val="003B60F7"/>
    <w:rsid w:val="003C4722"/>
    <w:rsid w:val="003D74DE"/>
    <w:rsid w:val="003E746B"/>
    <w:rsid w:val="003F4960"/>
    <w:rsid w:val="003F52C1"/>
    <w:rsid w:val="004152B5"/>
    <w:rsid w:val="004255B2"/>
    <w:rsid w:val="00432E98"/>
    <w:rsid w:val="00437008"/>
    <w:rsid w:val="00437BDE"/>
    <w:rsid w:val="0045564E"/>
    <w:rsid w:val="00456691"/>
    <w:rsid w:val="0046415E"/>
    <w:rsid w:val="00465C12"/>
    <w:rsid w:val="00485B57"/>
    <w:rsid w:val="00486070"/>
    <w:rsid w:val="004926D7"/>
    <w:rsid w:val="004A6B20"/>
    <w:rsid w:val="004B4D7D"/>
    <w:rsid w:val="004C54B7"/>
    <w:rsid w:val="004C7838"/>
    <w:rsid w:val="004C7A9D"/>
    <w:rsid w:val="004D2C52"/>
    <w:rsid w:val="004D4E7D"/>
    <w:rsid w:val="004E504E"/>
    <w:rsid w:val="004E5383"/>
    <w:rsid w:val="004F2B3F"/>
    <w:rsid w:val="004F2E30"/>
    <w:rsid w:val="004F3231"/>
    <w:rsid w:val="004F5248"/>
    <w:rsid w:val="004F6E44"/>
    <w:rsid w:val="005013C2"/>
    <w:rsid w:val="00525944"/>
    <w:rsid w:val="0053318B"/>
    <w:rsid w:val="005428A4"/>
    <w:rsid w:val="00556885"/>
    <w:rsid w:val="0056283E"/>
    <w:rsid w:val="005672DE"/>
    <w:rsid w:val="005828C4"/>
    <w:rsid w:val="005B7443"/>
    <w:rsid w:val="005C4514"/>
    <w:rsid w:val="005C50CC"/>
    <w:rsid w:val="005E3EFB"/>
    <w:rsid w:val="005E57E5"/>
    <w:rsid w:val="005F27A8"/>
    <w:rsid w:val="005F500A"/>
    <w:rsid w:val="00603577"/>
    <w:rsid w:val="00605712"/>
    <w:rsid w:val="00606A66"/>
    <w:rsid w:val="00614C7B"/>
    <w:rsid w:val="0061565F"/>
    <w:rsid w:val="00626DA1"/>
    <w:rsid w:val="00635F03"/>
    <w:rsid w:val="0063751D"/>
    <w:rsid w:val="006736D1"/>
    <w:rsid w:val="006740D3"/>
    <w:rsid w:val="00676902"/>
    <w:rsid w:val="00686543"/>
    <w:rsid w:val="0069061E"/>
    <w:rsid w:val="00693DDF"/>
    <w:rsid w:val="006A3FCD"/>
    <w:rsid w:val="006A609C"/>
    <w:rsid w:val="006B0413"/>
    <w:rsid w:val="006B251C"/>
    <w:rsid w:val="006B415E"/>
    <w:rsid w:val="006B6A0B"/>
    <w:rsid w:val="006D0069"/>
    <w:rsid w:val="006D1667"/>
    <w:rsid w:val="006D51B5"/>
    <w:rsid w:val="006F2D42"/>
    <w:rsid w:val="007055EC"/>
    <w:rsid w:val="0071078A"/>
    <w:rsid w:val="00712B5B"/>
    <w:rsid w:val="00716669"/>
    <w:rsid w:val="0071729F"/>
    <w:rsid w:val="0072406E"/>
    <w:rsid w:val="007272E8"/>
    <w:rsid w:val="007300AE"/>
    <w:rsid w:val="0073382C"/>
    <w:rsid w:val="00733D79"/>
    <w:rsid w:val="007355FB"/>
    <w:rsid w:val="00736D62"/>
    <w:rsid w:val="00741E5C"/>
    <w:rsid w:val="007467FA"/>
    <w:rsid w:val="007538F6"/>
    <w:rsid w:val="00756427"/>
    <w:rsid w:val="007607FD"/>
    <w:rsid w:val="00771FA8"/>
    <w:rsid w:val="00790155"/>
    <w:rsid w:val="00794C3F"/>
    <w:rsid w:val="0079681F"/>
    <w:rsid w:val="007A2BFD"/>
    <w:rsid w:val="007B06AB"/>
    <w:rsid w:val="007C0F9E"/>
    <w:rsid w:val="007D2D06"/>
    <w:rsid w:val="007D3711"/>
    <w:rsid w:val="008061A0"/>
    <w:rsid w:val="00814F1F"/>
    <w:rsid w:val="00860A98"/>
    <w:rsid w:val="00861DD5"/>
    <w:rsid w:val="008629D3"/>
    <w:rsid w:val="008909EA"/>
    <w:rsid w:val="008A2287"/>
    <w:rsid w:val="008C65D7"/>
    <w:rsid w:val="009001AA"/>
    <w:rsid w:val="0090093C"/>
    <w:rsid w:val="00900C04"/>
    <w:rsid w:val="00902085"/>
    <w:rsid w:val="00907350"/>
    <w:rsid w:val="00915FAB"/>
    <w:rsid w:val="00922A5D"/>
    <w:rsid w:val="0093064F"/>
    <w:rsid w:val="00943137"/>
    <w:rsid w:val="00943EF9"/>
    <w:rsid w:val="009470D6"/>
    <w:rsid w:val="00957BB4"/>
    <w:rsid w:val="009632DF"/>
    <w:rsid w:val="0097322C"/>
    <w:rsid w:val="00981B51"/>
    <w:rsid w:val="00983499"/>
    <w:rsid w:val="009A21EF"/>
    <w:rsid w:val="009C0375"/>
    <w:rsid w:val="009D0107"/>
    <w:rsid w:val="009D749D"/>
    <w:rsid w:val="009E1A7B"/>
    <w:rsid w:val="009F7A09"/>
    <w:rsid w:val="00A03350"/>
    <w:rsid w:val="00A03777"/>
    <w:rsid w:val="00A11416"/>
    <w:rsid w:val="00A141D9"/>
    <w:rsid w:val="00A20493"/>
    <w:rsid w:val="00A21A8C"/>
    <w:rsid w:val="00A21B60"/>
    <w:rsid w:val="00A311B3"/>
    <w:rsid w:val="00A35FD6"/>
    <w:rsid w:val="00A53A4A"/>
    <w:rsid w:val="00A676CF"/>
    <w:rsid w:val="00A73267"/>
    <w:rsid w:val="00A753B5"/>
    <w:rsid w:val="00A86DD1"/>
    <w:rsid w:val="00A87723"/>
    <w:rsid w:val="00A9372B"/>
    <w:rsid w:val="00AD26CE"/>
    <w:rsid w:val="00AE7A8C"/>
    <w:rsid w:val="00AF6711"/>
    <w:rsid w:val="00B2569B"/>
    <w:rsid w:val="00B34956"/>
    <w:rsid w:val="00B37BB7"/>
    <w:rsid w:val="00B44FC5"/>
    <w:rsid w:val="00B61E64"/>
    <w:rsid w:val="00B65953"/>
    <w:rsid w:val="00B7712E"/>
    <w:rsid w:val="00B775DE"/>
    <w:rsid w:val="00B808CB"/>
    <w:rsid w:val="00B82125"/>
    <w:rsid w:val="00B9184A"/>
    <w:rsid w:val="00B978C8"/>
    <w:rsid w:val="00BB4329"/>
    <w:rsid w:val="00BC356A"/>
    <w:rsid w:val="00BF4997"/>
    <w:rsid w:val="00BF7C9C"/>
    <w:rsid w:val="00BF7E4A"/>
    <w:rsid w:val="00C11BA3"/>
    <w:rsid w:val="00C13AF3"/>
    <w:rsid w:val="00C3531A"/>
    <w:rsid w:val="00C4619D"/>
    <w:rsid w:val="00C53531"/>
    <w:rsid w:val="00C7405F"/>
    <w:rsid w:val="00C76E65"/>
    <w:rsid w:val="00C77556"/>
    <w:rsid w:val="00C822CB"/>
    <w:rsid w:val="00C864F3"/>
    <w:rsid w:val="00C873F3"/>
    <w:rsid w:val="00C87443"/>
    <w:rsid w:val="00C975A2"/>
    <w:rsid w:val="00CB0FC2"/>
    <w:rsid w:val="00CC019F"/>
    <w:rsid w:val="00CC3423"/>
    <w:rsid w:val="00CD5911"/>
    <w:rsid w:val="00CE0CB8"/>
    <w:rsid w:val="00CE165B"/>
    <w:rsid w:val="00CE339D"/>
    <w:rsid w:val="00CF771C"/>
    <w:rsid w:val="00D00615"/>
    <w:rsid w:val="00D130CF"/>
    <w:rsid w:val="00D20AFB"/>
    <w:rsid w:val="00D21CF0"/>
    <w:rsid w:val="00D2699C"/>
    <w:rsid w:val="00D3262E"/>
    <w:rsid w:val="00D40BBF"/>
    <w:rsid w:val="00D441D6"/>
    <w:rsid w:val="00D44DDA"/>
    <w:rsid w:val="00D53E91"/>
    <w:rsid w:val="00D56A6D"/>
    <w:rsid w:val="00D61058"/>
    <w:rsid w:val="00D71FD0"/>
    <w:rsid w:val="00D7273E"/>
    <w:rsid w:val="00DB1930"/>
    <w:rsid w:val="00DC1CA0"/>
    <w:rsid w:val="00DC4413"/>
    <w:rsid w:val="00DD5A7C"/>
    <w:rsid w:val="00DE1873"/>
    <w:rsid w:val="00DF7D10"/>
    <w:rsid w:val="00E00ACF"/>
    <w:rsid w:val="00E2177D"/>
    <w:rsid w:val="00E2374D"/>
    <w:rsid w:val="00E23A28"/>
    <w:rsid w:val="00E24E86"/>
    <w:rsid w:val="00E2798D"/>
    <w:rsid w:val="00E45381"/>
    <w:rsid w:val="00E52A71"/>
    <w:rsid w:val="00E53643"/>
    <w:rsid w:val="00E53985"/>
    <w:rsid w:val="00E62748"/>
    <w:rsid w:val="00E81F29"/>
    <w:rsid w:val="00E82C02"/>
    <w:rsid w:val="00EA22D1"/>
    <w:rsid w:val="00EA436A"/>
    <w:rsid w:val="00EB620C"/>
    <w:rsid w:val="00EC4225"/>
    <w:rsid w:val="00EE6F6A"/>
    <w:rsid w:val="00F037CE"/>
    <w:rsid w:val="00F24D65"/>
    <w:rsid w:val="00F25172"/>
    <w:rsid w:val="00F3340C"/>
    <w:rsid w:val="00F514C6"/>
    <w:rsid w:val="00F56318"/>
    <w:rsid w:val="00F80433"/>
    <w:rsid w:val="00F8144E"/>
    <w:rsid w:val="00F87B09"/>
    <w:rsid w:val="00F9199D"/>
    <w:rsid w:val="00F9480C"/>
    <w:rsid w:val="00FA49D8"/>
    <w:rsid w:val="00FA5D01"/>
    <w:rsid w:val="00FA7522"/>
    <w:rsid w:val="00FB3FAA"/>
    <w:rsid w:val="00FB67AA"/>
    <w:rsid w:val="00FD56D3"/>
    <w:rsid w:val="00FE11C7"/>
    <w:rsid w:val="00FF30F7"/>
    <w:rsid w:val="012C21D1"/>
    <w:rsid w:val="019B14A5"/>
    <w:rsid w:val="01EA2A2B"/>
    <w:rsid w:val="028083F5"/>
    <w:rsid w:val="049C98CF"/>
    <w:rsid w:val="052E79D5"/>
    <w:rsid w:val="0631E3C0"/>
    <w:rsid w:val="07D43991"/>
    <w:rsid w:val="08D3A7B5"/>
    <w:rsid w:val="0AB71EF4"/>
    <w:rsid w:val="0B06ECBD"/>
    <w:rsid w:val="0ED09AB9"/>
    <w:rsid w:val="0F5B5D86"/>
    <w:rsid w:val="0F6C32F0"/>
    <w:rsid w:val="0F92FE79"/>
    <w:rsid w:val="1057A78A"/>
    <w:rsid w:val="10684CF4"/>
    <w:rsid w:val="117B1BD7"/>
    <w:rsid w:val="12D378C1"/>
    <w:rsid w:val="15886999"/>
    <w:rsid w:val="1589AE5E"/>
    <w:rsid w:val="16C2021C"/>
    <w:rsid w:val="173D6257"/>
    <w:rsid w:val="187BEB26"/>
    <w:rsid w:val="18B5DD03"/>
    <w:rsid w:val="1A750319"/>
    <w:rsid w:val="1AD70DC9"/>
    <w:rsid w:val="1C926916"/>
    <w:rsid w:val="1D937B7E"/>
    <w:rsid w:val="1E153F68"/>
    <w:rsid w:val="1E854AE2"/>
    <w:rsid w:val="1EDEBFEB"/>
    <w:rsid w:val="1FA4CF42"/>
    <w:rsid w:val="21114774"/>
    <w:rsid w:val="21289429"/>
    <w:rsid w:val="214CE02A"/>
    <w:rsid w:val="22E8B08B"/>
    <w:rsid w:val="25DB4F90"/>
    <w:rsid w:val="2620514D"/>
    <w:rsid w:val="26A51269"/>
    <w:rsid w:val="2A1E51DE"/>
    <w:rsid w:val="2C15BC6D"/>
    <w:rsid w:val="2F93B4E4"/>
    <w:rsid w:val="30296E1B"/>
    <w:rsid w:val="31734D44"/>
    <w:rsid w:val="333CA807"/>
    <w:rsid w:val="335C9897"/>
    <w:rsid w:val="3395D4A5"/>
    <w:rsid w:val="38DB1718"/>
    <w:rsid w:val="395C61AE"/>
    <w:rsid w:val="3A13C7D8"/>
    <w:rsid w:val="3C349C60"/>
    <w:rsid w:val="3CA1FBE2"/>
    <w:rsid w:val="3D4726DB"/>
    <w:rsid w:val="3EC8CCE8"/>
    <w:rsid w:val="41D6EC00"/>
    <w:rsid w:val="424282EF"/>
    <w:rsid w:val="42C21BDF"/>
    <w:rsid w:val="450E8CC2"/>
    <w:rsid w:val="45167A48"/>
    <w:rsid w:val="46AA5D23"/>
    <w:rsid w:val="48462D84"/>
    <w:rsid w:val="48492D74"/>
    <w:rsid w:val="49E4FDD5"/>
    <w:rsid w:val="4BC725EB"/>
    <w:rsid w:val="4FFD0297"/>
    <w:rsid w:val="512BD9FF"/>
    <w:rsid w:val="542E938F"/>
    <w:rsid w:val="54637AC1"/>
    <w:rsid w:val="54ACD266"/>
    <w:rsid w:val="54C5FAC3"/>
    <w:rsid w:val="57011309"/>
    <w:rsid w:val="57DA6209"/>
    <w:rsid w:val="5936EBE4"/>
    <w:rsid w:val="5BFFBB46"/>
    <w:rsid w:val="5E49B473"/>
    <w:rsid w:val="5E53B4AC"/>
    <w:rsid w:val="5EBA57FB"/>
    <w:rsid w:val="60329CB5"/>
    <w:rsid w:val="60BAD272"/>
    <w:rsid w:val="620563AF"/>
    <w:rsid w:val="632725CF"/>
    <w:rsid w:val="641AE8C2"/>
    <w:rsid w:val="67528984"/>
    <w:rsid w:val="67A00476"/>
    <w:rsid w:val="6AD7A538"/>
    <w:rsid w:val="6CD5F59B"/>
    <w:rsid w:val="6D5CAD0D"/>
    <w:rsid w:val="6E0F45FA"/>
    <w:rsid w:val="6E37D716"/>
    <w:rsid w:val="7198B3AF"/>
    <w:rsid w:val="71C3BD10"/>
    <w:rsid w:val="72995B5B"/>
    <w:rsid w:val="79CECEF5"/>
    <w:rsid w:val="7B09F14F"/>
    <w:rsid w:val="7B6A9F56"/>
    <w:rsid w:val="7CA5C1B0"/>
    <w:rsid w:val="7D066FB7"/>
    <w:rsid w:val="7D74C942"/>
    <w:rsid w:val="7EF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931E"/>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E8"/>
    <w:rPr>
      <w:sz w:val="24"/>
    </w:rPr>
  </w:style>
  <w:style w:type="paragraph" w:styleId="Heading1">
    <w:name w:val="heading 1"/>
    <w:basedOn w:val="Normal"/>
    <w:next w:val="Normal"/>
    <w:link w:val="Heading1Char"/>
    <w:uiPriority w:val="9"/>
    <w:qFormat/>
    <w:rsid w:val="00F24D65"/>
    <w:pPr>
      <w:outlineLvl w:val="0"/>
    </w:pPr>
    <w:rPr>
      <w:b/>
      <w:color w:val="000000" w:themeColor="text1"/>
      <w:szCs w:val="28"/>
    </w:rPr>
  </w:style>
  <w:style w:type="paragraph" w:styleId="Heading2">
    <w:name w:val="heading 2"/>
    <w:basedOn w:val="Normal"/>
    <w:next w:val="Normal"/>
    <w:link w:val="Heading2Char"/>
    <w:uiPriority w:val="9"/>
    <w:unhideWhenUsed/>
    <w:qFormat/>
    <w:rsid w:val="008A2287"/>
    <w:pPr>
      <w:outlineLvl w:val="1"/>
    </w:pPr>
    <w:rPr>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F24D65"/>
    <w:rPr>
      <w:b/>
      <w:color w:val="000000" w:themeColor="text1"/>
      <w:sz w:val="24"/>
      <w:szCs w:val="28"/>
    </w:rPr>
  </w:style>
  <w:style w:type="character" w:customStyle="1" w:styleId="Heading2Char">
    <w:name w:val="Heading 2 Char"/>
    <w:basedOn w:val="DefaultParagraphFont"/>
    <w:link w:val="Heading2"/>
    <w:uiPriority w:val="9"/>
    <w:rsid w:val="008A2287"/>
    <w:rPr>
      <w:i/>
      <w:sz w:val="26"/>
      <w:szCs w:val="24"/>
    </w:rPr>
  </w:style>
  <w:style w:type="paragraph" w:styleId="ListParagraph">
    <w:name w:val="List Paragraph"/>
    <w:basedOn w:val="Normal"/>
    <w:uiPriority w:val="34"/>
    <w:qFormat/>
    <w:rsid w:val="00C77556"/>
    <w:pPr>
      <w:ind w:left="720"/>
      <w:contextualSpacing/>
    </w:pPr>
  </w:style>
  <w:style w:type="paragraph" w:styleId="CommentText">
    <w:name w:val="annotation text"/>
    <w:basedOn w:val="Normal"/>
    <w:link w:val="CommentTextChar"/>
    <w:uiPriority w:val="99"/>
    <w:unhideWhenUsed/>
    <w:rsid w:val="006D0069"/>
    <w:rPr>
      <w:sz w:val="20"/>
      <w:szCs w:val="20"/>
    </w:rPr>
  </w:style>
  <w:style w:type="character" w:customStyle="1" w:styleId="CommentTextChar">
    <w:name w:val="Comment Text Char"/>
    <w:basedOn w:val="DefaultParagraphFont"/>
    <w:link w:val="CommentText"/>
    <w:uiPriority w:val="99"/>
    <w:rsid w:val="006D0069"/>
    <w:rPr>
      <w:sz w:val="20"/>
      <w:szCs w:val="20"/>
    </w:rPr>
  </w:style>
  <w:style w:type="character" w:styleId="CommentReference">
    <w:name w:val="annotation reference"/>
    <w:basedOn w:val="DefaultParagraphFont"/>
    <w:uiPriority w:val="99"/>
    <w:semiHidden/>
    <w:unhideWhenUsed/>
    <w:rsid w:val="005828C4"/>
    <w:rPr>
      <w:sz w:val="16"/>
      <w:szCs w:val="16"/>
    </w:rPr>
  </w:style>
  <w:style w:type="paragraph" w:styleId="CommentSubject">
    <w:name w:val="annotation subject"/>
    <w:basedOn w:val="CommentText"/>
    <w:next w:val="CommentText"/>
    <w:link w:val="CommentSubjectChar"/>
    <w:uiPriority w:val="99"/>
    <w:semiHidden/>
    <w:unhideWhenUsed/>
    <w:rsid w:val="005828C4"/>
    <w:rPr>
      <w:b/>
      <w:bCs/>
    </w:rPr>
  </w:style>
  <w:style w:type="character" w:customStyle="1" w:styleId="CommentSubjectChar">
    <w:name w:val="Comment Subject Char"/>
    <w:basedOn w:val="CommentTextChar"/>
    <w:link w:val="CommentSubject"/>
    <w:uiPriority w:val="99"/>
    <w:semiHidden/>
    <w:rsid w:val="005828C4"/>
    <w:rPr>
      <w:b/>
      <w:bCs/>
      <w:sz w:val="20"/>
      <w:szCs w:val="20"/>
    </w:rPr>
  </w:style>
  <w:style w:type="paragraph" w:styleId="Revision">
    <w:name w:val="Revision"/>
    <w:hidden/>
    <w:uiPriority w:val="99"/>
    <w:semiHidden/>
    <w:rsid w:val="00F87B09"/>
    <w:rPr>
      <w:sz w:val="24"/>
    </w:rPr>
  </w:style>
  <w:style w:type="character" w:styleId="UnresolvedMention">
    <w:name w:val="Unresolved Mention"/>
    <w:basedOn w:val="DefaultParagraphFont"/>
    <w:uiPriority w:val="99"/>
    <w:semiHidden/>
    <w:unhideWhenUsed/>
    <w:rsid w:val="005F500A"/>
    <w:rPr>
      <w:color w:val="605E5C"/>
      <w:shd w:val="clear" w:color="auto" w:fill="E1DFDD"/>
    </w:rPr>
  </w:style>
  <w:style w:type="character" w:styleId="FollowedHyperlink">
    <w:name w:val="FollowedHyperlink"/>
    <w:basedOn w:val="DefaultParagraphFont"/>
    <w:uiPriority w:val="99"/>
    <w:semiHidden/>
    <w:unhideWhenUsed/>
    <w:rsid w:val="00100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209808218">
      <w:bodyDiv w:val="1"/>
      <w:marLeft w:val="0"/>
      <w:marRight w:val="0"/>
      <w:marTop w:val="0"/>
      <w:marBottom w:val="0"/>
      <w:divBdr>
        <w:top w:val="none" w:sz="0" w:space="0" w:color="auto"/>
        <w:left w:val="none" w:sz="0" w:space="0" w:color="auto"/>
        <w:bottom w:val="none" w:sz="0" w:space="0" w:color="auto"/>
        <w:right w:val="none" w:sz="0" w:space="0" w:color="auto"/>
      </w:divBdr>
    </w:div>
    <w:div w:id="472605751">
      <w:bodyDiv w:val="1"/>
      <w:marLeft w:val="0"/>
      <w:marRight w:val="0"/>
      <w:marTop w:val="0"/>
      <w:marBottom w:val="0"/>
      <w:divBdr>
        <w:top w:val="none" w:sz="0" w:space="0" w:color="auto"/>
        <w:left w:val="none" w:sz="0" w:space="0" w:color="auto"/>
        <w:bottom w:val="none" w:sz="0" w:space="0" w:color="auto"/>
        <w:right w:val="none" w:sz="0" w:space="0" w:color="auto"/>
      </w:divBdr>
    </w:div>
    <w:div w:id="475298583">
      <w:bodyDiv w:val="1"/>
      <w:marLeft w:val="0"/>
      <w:marRight w:val="0"/>
      <w:marTop w:val="0"/>
      <w:marBottom w:val="0"/>
      <w:divBdr>
        <w:top w:val="none" w:sz="0" w:space="0" w:color="auto"/>
        <w:left w:val="none" w:sz="0" w:space="0" w:color="auto"/>
        <w:bottom w:val="none" w:sz="0" w:space="0" w:color="auto"/>
        <w:right w:val="none" w:sz="0" w:space="0" w:color="auto"/>
      </w:divBdr>
    </w:div>
    <w:div w:id="645626267">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1030303479">
      <w:bodyDiv w:val="1"/>
      <w:marLeft w:val="0"/>
      <w:marRight w:val="0"/>
      <w:marTop w:val="0"/>
      <w:marBottom w:val="0"/>
      <w:divBdr>
        <w:top w:val="none" w:sz="0" w:space="0" w:color="auto"/>
        <w:left w:val="none" w:sz="0" w:space="0" w:color="auto"/>
        <w:bottom w:val="none" w:sz="0" w:space="0" w:color="auto"/>
        <w:right w:val="none" w:sz="0" w:space="0" w:color="auto"/>
      </w:divBdr>
    </w:div>
    <w:div w:id="1037899869">
      <w:bodyDiv w:val="1"/>
      <w:marLeft w:val="0"/>
      <w:marRight w:val="0"/>
      <w:marTop w:val="0"/>
      <w:marBottom w:val="0"/>
      <w:divBdr>
        <w:top w:val="none" w:sz="0" w:space="0" w:color="auto"/>
        <w:left w:val="none" w:sz="0" w:space="0" w:color="auto"/>
        <w:bottom w:val="none" w:sz="0" w:space="0" w:color="auto"/>
        <w:right w:val="none" w:sz="0" w:space="0" w:color="auto"/>
      </w:divBdr>
    </w:div>
    <w:div w:id="10481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90554cac134d096597d38627d1904b9e">
  <xsd:schema xmlns:xsd="http://www.w3.org/2001/XMLSchema" xmlns:xs="http://www.w3.org/2001/XMLSchema" xmlns:p="http://schemas.microsoft.com/office/2006/metadata/properties" targetNamespace="http://schemas.microsoft.com/office/2006/metadata/properties" ma:root="true" ma:fieldsID="92a620696f3a486d1c15ca9c73122f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ADBC4-D5A2-437F-94B5-BF32A94331C5}">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9EB95BF-8062-44FF-B4DB-3758EBE580F4}">
  <ds:schemaRefs>
    <ds:schemaRef ds:uri="http://schemas.openxmlformats.org/officeDocument/2006/bibliography"/>
  </ds:schemaRefs>
</ds:datastoreItem>
</file>

<file path=customXml/itemProps3.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4.xml><?xml version="1.0" encoding="utf-8"?>
<ds:datastoreItem xmlns:ds="http://schemas.openxmlformats.org/officeDocument/2006/customXml" ds:itemID="{F2A2B1A8-D3FA-4A20-91BF-61612153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CCOG-RM PY 2024-25 Q&amp;A</vt:lpstr>
    </vt:vector>
  </TitlesOfParts>
  <Manager/>
  <Company>Employment Development Department</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CCOG-RM PY 2024-25 Q&amp;A</dc:title>
  <dc:subject/>
  <dc:creator>Workforce Services Branch</dc:creator>
  <cp:keywords>SFP, grant funding</cp:keywords>
  <dc:description/>
  <cp:lastModifiedBy>Richardson, Jeffrey@EDD</cp:lastModifiedBy>
  <cp:revision>13</cp:revision>
  <cp:lastPrinted>2023-11-13T22:44:00Z</cp:lastPrinted>
  <dcterms:created xsi:type="dcterms:W3CDTF">2024-05-10T20:51:00Z</dcterms:created>
  <dcterms:modified xsi:type="dcterms:W3CDTF">2024-05-15T22:37:00Z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