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6F34" w14:textId="77777777" w:rsidR="00C61260" w:rsidRDefault="00C61260" w:rsidP="003A10C1">
      <w:pPr>
        <w:pStyle w:val="Header"/>
      </w:pPr>
      <w:r>
        <w:rPr>
          <w:noProof/>
        </w:rPr>
        <w:drawing>
          <wp:inline distT="0" distB="0" distL="0" distR="0" wp14:anchorId="7592F3DA" wp14:editId="21A1F206">
            <wp:extent cx="1753974" cy="638175"/>
            <wp:effectExtent l="0" t="0" r="0" b="0"/>
            <wp:docPr id="784037074" name="Picture 784037074"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2EC182B9" w14:textId="77777777" w:rsidR="00BB2985" w:rsidRDefault="00AA061A" w:rsidP="003A10C1">
      <w:pPr>
        <w:pStyle w:val="Header"/>
        <w:rPr>
          <w:rFonts w:cstheme="minorHAnsi"/>
          <w:b/>
          <w:color w:val="1F4E79" w:themeColor="accent1" w:themeShade="80"/>
          <w:sz w:val="28"/>
          <w:szCs w:val="28"/>
        </w:rPr>
      </w:pPr>
      <w:r>
        <w:rPr>
          <w:rFonts w:cstheme="minorHAnsi"/>
          <w:b/>
          <w:color w:val="1F4E79" w:themeColor="accent1" w:themeShade="80"/>
          <w:sz w:val="28"/>
          <w:szCs w:val="28"/>
        </w:rPr>
        <w:t xml:space="preserve">Farmworkers Advancement Program </w:t>
      </w:r>
    </w:p>
    <w:p w14:paraId="2F40D1E4" w14:textId="39092447" w:rsidR="00C61260" w:rsidRDefault="00AA061A" w:rsidP="003A10C1">
      <w:pPr>
        <w:pStyle w:val="Header"/>
        <w:rPr>
          <w:rFonts w:cstheme="minorHAnsi"/>
          <w:b/>
          <w:color w:val="1F4E79" w:themeColor="accent1" w:themeShade="80"/>
          <w:sz w:val="28"/>
          <w:szCs w:val="28"/>
        </w:rPr>
      </w:pPr>
      <w:r>
        <w:rPr>
          <w:rFonts w:cstheme="minorHAnsi"/>
          <w:b/>
          <w:color w:val="1F4E79" w:themeColor="accent1" w:themeShade="80"/>
          <w:sz w:val="28"/>
          <w:szCs w:val="28"/>
        </w:rPr>
        <w:t>Technical Assistance and Developmental Evaluation</w:t>
      </w:r>
    </w:p>
    <w:p w14:paraId="64C0F3EA" w14:textId="2ED40B14" w:rsidR="00C61260" w:rsidRPr="00DF7D10" w:rsidRDefault="00C61260" w:rsidP="003A10C1">
      <w:pPr>
        <w:pStyle w:val="Header"/>
        <w:rPr>
          <w:rFonts w:cstheme="minorHAnsi"/>
          <w:b/>
          <w:color w:val="1F4E79" w:themeColor="accent1" w:themeShade="80"/>
          <w:sz w:val="28"/>
          <w:szCs w:val="28"/>
        </w:rPr>
      </w:pPr>
      <w:r>
        <w:rPr>
          <w:rFonts w:cstheme="minorHAnsi"/>
          <w:b/>
          <w:color w:val="1F4E79" w:themeColor="accent1" w:themeShade="80"/>
          <w:sz w:val="28"/>
          <w:szCs w:val="28"/>
        </w:rPr>
        <w:t xml:space="preserve">Solicitation for Proposals </w:t>
      </w:r>
      <w:r w:rsidRPr="00DF7D10">
        <w:rPr>
          <w:rFonts w:cstheme="minorHAnsi"/>
          <w:b/>
          <w:color w:val="1F4E79" w:themeColor="accent1" w:themeShade="80"/>
          <w:sz w:val="28"/>
          <w:szCs w:val="28"/>
        </w:rPr>
        <w:t>P</w:t>
      </w:r>
      <w:r>
        <w:rPr>
          <w:rFonts w:cstheme="minorHAnsi"/>
          <w:b/>
          <w:color w:val="1F4E79" w:themeColor="accent1" w:themeShade="80"/>
          <w:sz w:val="28"/>
          <w:szCs w:val="28"/>
        </w:rPr>
        <w:t xml:space="preserve">rogram </w:t>
      </w:r>
      <w:r w:rsidRPr="00DF7D10">
        <w:rPr>
          <w:rFonts w:cstheme="minorHAnsi"/>
          <w:b/>
          <w:color w:val="1F4E79" w:themeColor="accent1" w:themeShade="80"/>
          <w:sz w:val="28"/>
          <w:szCs w:val="28"/>
        </w:rPr>
        <w:t>Y</w:t>
      </w:r>
      <w:r>
        <w:rPr>
          <w:rFonts w:cstheme="minorHAnsi"/>
          <w:b/>
          <w:color w:val="1F4E79" w:themeColor="accent1" w:themeShade="80"/>
          <w:sz w:val="28"/>
          <w:szCs w:val="28"/>
        </w:rPr>
        <w:t>ear</w:t>
      </w:r>
      <w:r w:rsidRPr="00DF7D10">
        <w:rPr>
          <w:rFonts w:cstheme="minorHAnsi"/>
          <w:b/>
          <w:color w:val="1F4E79" w:themeColor="accent1" w:themeShade="80"/>
          <w:sz w:val="28"/>
          <w:szCs w:val="28"/>
        </w:rPr>
        <w:t xml:space="preserve"> </w:t>
      </w:r>
      <w:r w:rsidR="00AA061A">
        <w:rPr>
          <w:rFonts w:cstheme="minorHAnsi"/>
          <w:b/>
          <w:color w:val="1F4E79" w:themeColor="accent1" w:themeShade="80"/>
          <w:sz w:val="28"/>
          <w:szCs w:val="28"/>
        </w:rPr>
        <w:t>2023</w:t>
      </w:r>
      <w:r w:rsidRPr="00DF7D10">
        <w:rPr>
          <w:rFonts w:cstheme="minorHAnsi"/>
          <w:b/>
          <w:color w:val="1F4E79" w:themeColor="accent1" w:themeShade="80"/>
          <w:sz w:val="28"/>
          <w:szCs w:val="28"/>
        </w:rPr>
        <w:t>-</w:t>
      </w:r>
      <w:r w:rsidR="00AA061A">
        <w:rPr>
          <w:rFonts w:cstheme="minorHAnsi"/>
          <w:b/>
          <w:color w:val="1F4E79" w:themeColor="accent1" w:themeShade="80"/>
          <w:sz w:val="28"/>
          <w:szCs w:val="28"/>
        </w:rPr>
        <w:t>24</w:t>
      </w:r>
    </w:p>
    <w:p w14:paraId="7EB0DB3F" w14:textId="5BC8DB6D" w:rsidR="00C61260" w:rsidRPr="00CF74D4" w:rsidRDefault="00C61260" w:rsidP="00CF74D4">
      <w:pPr>
        <w:pStyle w:val="Header"/>
        <w:sectPr w:rsidR="00C61260" w:rsidRPr="00CF74D4" w:rsidSect="00C61260">
          <w:headerReference w:type="default" r:id="rId11"/>
          <w:footerReference w:type="default" r:id="rId12"/>
          <w:footerReference w:type="first" r:id="rId13"/>
          <w:pgSz w:w="12240" w:h="15840"/>
          <w:pgMar w:top="1008" w:right="1008" w:bottom="1008" w:left="1008" w:header="720" w:footer="720" w:gutter="0"/>
          <w:cols w:num="2" w:space="144" w:equalWidth="0">
            <w:col w:w="2928" w:space="144"/>
            <w:col w:w="7152"/>
          </w:cols>
          <w:titlePg/>
          <w:docGrid w:linePitch="360"/>
        </w:sectPr>
      </w:pPr>
      <w:r w:rsidRPr="001A2FE1">
        <w:rPr>
          <w:rFonts w:cstheme="minorHAnsi"/>
          <w:b/>
          <w:color w:val="1F4E79" w:themeColor="accent1" w:themeShade="80"/>
          <w:sz w:val="28"/>
          <w:szCs w:val="28"/>
        </w:rPr>
        <w:t>Questions and Answers</w:t>
      </w:r>
    </w:p>
    <w:p w14:paraId="75A9F7C1" w14:textId="77777777" w:rsidR="003A6798" w:rsidRPr="001A2FE1" w:rsidRDefault="003A6798" w:rsidP="001A2FE1">
      <w:pPr>
        <w:pBdr>
          <w:bottom w:val="single" w:sz="4" w:space="1" w:color="auto"/>
        </w:pBdr>
        <w:rPr>
          <w:b/>
          <w:sz w:val="16"/>
          <w:szCs w:val="16"/>
        </w:rPr>
      </w:pPr>
    </w:p>
    <w:p w14:paraId="13D93826" w14:textId="58F9ECAA" w:rsidR="00DE0E3D" w:rsidRPr="00280C85" w:rsidRDefault="00DE0E3D" w:rsidP="00DE0E3D">
      <w:pPr>
        <w:pStyle w:val="ListParagraph"/>
        <w:numPr>
          <w:ilvl w:val="0"/>
          <w:numId w:val="2"/>
        </w:numPr>
        <w:spacing w:after="0" w:line="240" w:lineRule="auto"/>
        <w:ind w:left="360"/>
        <w:rPr>
          <w:szCs w:val="24"/>
        </w:rPr>
      </w:pPr>
      <w:r w:rsidRPr="00280C85">
        <w:rPr>
          <w:b/>
          <w:szCs w:val="24"/>
        </w:rPr>
        <w:t xml:space="preserve">Can </w:t>
      </w:r>
      <w:r w:rsidR="009841F1" w:rsidRPr="00280C85">
        <w:rPr>
          <w:b/>
          <w:szCs w:val="24"/>
        </w:rPr>
        <w:t xml:space="preserve">the EDD </w:t>
      </w:r>
      <w:r w:rsidRPr="00280C85">
        <w:rPr>
          <w:b/>
          <w:szCs w:val="24"/>
        </w:rPr>
        <w:t>describe the difference between a subrecipient and a contractor?</w:t>
      </w:r>
    </w:p>
    <w:p w14:paraId="0F4BC680" w14:textId="77777777" w:rsidR="00DE0E3D" w:rsidRDefault="00DE0E3D" w:rsidP="00DE0E3D">
      <w:pPr>
        <w:spacing w:after="0" w:line="240" w:lineRule="auto"/>
        <w:rPr>
          <w:szCs w:val="24"/>
        </w:rPr>
      </w:pPr>
    </w:p>
    <w:p w14:paraId="2B4E4267" w14:textId="33F5DEEF" w:rsidR="00DE0E3D" w:rsidRPr="00280C85" w:rsidRDefault="009841F1" w:rsidP="00DE0E3D">
      <w:pPr>
        <w:spacing w:after="0" w:line="240" w:lineRule="auto"/>
        <w:ind w:left="360"/>
        <w:rPr>
          <w:szCs w:val="24"/>
        </w:rPr>
      </w:pPr>
      <w:r w:rsidRPr="00280C85">
        <w:rPr>
          <w:szCs w:val="24"/>
        </w:rPr>
        <w:t xml:space="preserve">The </w:t>
      </w:r>
      <w:r w:rsidR="008E1689" w:rsidRPr="00280C85">
        <w:rPr>
          <w:szCs w:val="24"/>
        </w:rPr>
        <w:t xml:space="preserve">difference between </w:t>
      </w:r>
      <w:r w:rsidRPr="00280C85">
        <w:rPr>
          <w:szCs w:val="24"/>
        </w:rPr>
        <w:t xml:space="preserve">a </w:t>
      </w:r>
      <w:r w:rsidR="008E1689" w:rsidRPr="00280C85">
        <w:rPr>
          <w:szCs w:val="24"/>
        </w:rPr>
        <w:t>subrecipient and a contractor is how the applicant</w:t>
      </w:r>
      <w:r w:rsidRPr="00280C85">
        <w:rPr>
          <w:szCs w:val="24"/>
        </w:rPr>
        <w:t xml:space="preserve"> plans to</w:t>
      </w:r>
      <w:r w:rsidR="008E1689" w:rsidRPr="00280C85">
        <w:rPr>
          <w:szCs w:val="24"/>
        </w:rPr>
        <w:t xml:space="preserve"> provide and pay for the services through the grant funding. An applicant can procure a contract with a contractor such as a vendor, dealer, distributor, merchant, or other seller providing goods or services</w:t>
      </w:r>
      <w:r w:rsidR="00D95BB7" w:rsidRPr="00280C85">
        <w:rPr>
          <w:szCs w:val="24"/>
        </w:rPr>
        <w:t>,</w:t>
      </w:r>
      <w:r w:rsidRPr="00280C85">
        <w:rPr>
          <w:szCs w:val="24"/>
        </w:rPr>
        <w:t xml:space="preserve"> and/or </w:t>
      </w:r>
      <w:r w:rsidR="008E1689" w:rsidRPr="00280C85">
        <w:rPr>
          <w:szCs w:val="24"/>
        </w:rPr>
        <w:t>an applicant can plan to award and fund a subrecipient to carry out a portion of the grant services</w:t>
      </w:r>
      <w:r w:rsidRPr="00280C85">
        <w:rPr>
          <w:szCs w:val="24"/>
        </w:rPr>
        <w:t>. Subrecipients will be paid through sub grants while contractors will be paid through invoicing.</w:t>
      </w:r>
    </w:p>
    <w:p w14:paraId="2265B039" w14:textId="77777777" w:rsidR="009841F1" w:rsidRPr="000A7E79" w:rsidRDefault="009841F1" w:rsidP="00DE0E3D">
      <w:pPr>
        <w:spacing w:after="0" w:line="240" w:lineRule="auto"/>
        <w:ind w:left="360"/>
        <w:rPr>
          <w:szCs w:val="24"/>
        </w:rPr>
      </w:pPr>
    </w:p>
    <w:p w14:paraId="6EE6EF12" w14:textId="78371B20" w:rsidR="00DE0E3D" w:rsidRPr="00280C85" w:rsidRDefault="00DE0E3D" w:rsidP="00DE0E3D">
      <w:pPr>
        <w:pStyle w:val="ListParagraph"/>
        <w:numPr>
          <w:ilvl w:val="0"/>
          <w:numId w:val="2"/>
        </w:numPr>
        <w:spacing w:after="0" w:line="240" w:lineRule="auto"/>
        <w:ind w:left="360"/>
        <w:rPr>
          <w:szCs w:val="24"/>
        </w:rPr>
      </w:pPr>
      <w:r w:rsidRPr="00280C85">
        <w:rPr>
          <w:b/>
          <w:szCs w:val="24"/>
        </w:rPr>
        <w:t xml:space="preserve">Can </w:t>
      </w:r>
      <w:r w:rsidR="009841F1" w:rsidRPr="00280C85">
        <w:rPr>
          <w:b/>
          <w:szCs w:val="24"/>
        </w:rPr>
        <w:t xml:space="preserve">the EDD </w:t>
      </w:r>
      <w:r w:rsidRPr="00280C85">
        <w:rPr>
          <w:b/>
          <w:szCs w:val="24"/>
        </w:rPr>
        <w:t xml:space="preserve">clarify the </w:t>
      </w:r>
      <w:r w:rsidR="00BB53C7" w:rsidRPr="00280C85">
        <w:rPr>
          <w:b/>
          <w:szCs w:val="24"/>
        </w:rPr>
        <w:t>2-page</w:t>
      </w:r>
      <w:r w:rsidRPr="00280C85">
        <w:rPr>
          <w:b/>
          <w:szCs w:val="24"/>
        </w:rPr>
        <w:t xml:space="preserve"> limit for the Executive summary? </w:t>
      </w:r>
      <w:r w:rsidR="009568AA" w:rsidRPr="00280C85">
        <w:rPr>
          <w:b/>
          <w:szCs w:val="24"/>
        </w:rPr>
        <w:t>Does this limit include the instruction page</w:t>
      </w:r>
      <w:r w:rsidRPr="00280C85">
        <w:rPr>
          <w:b/>
          <w:szCs w:val="24"/>
        </w:rPr>
        <w:t>?</w:t>
      </w:r>
    </w:p>
    <w:p w14:paraId="2C6E8811" w14:textId="77777777" w:rsidR="00DE0E3D" w:rsidRPr="00DE0E3D" w:rsidRDefault="00DE0E3D" w:rsidP="00DE0E3D">
      <w:pPr>
        <w:spacing w:after="0" w:line="240" w:lineRule="auto"/>
        <w:rPr>
          <w:color w:val="FF0000"/>
          <w:szCs w:val="24"/>
        </w:rPr>
      </w:pPr>
    </w:p>
    <w:p w14:paraId="2766B7D6" w14:textId="085D4173" w:rsidR="00DE0E3D" w:rsidRPr="00280C85" w:rsidRDefault="00BB53C7" w:rsidP="00DE0E3D">
      <w:pPr>
        <w:spacing w:after="0" w:line="240" w:lineRule="auto"/>
        <w:ind w:left="360"/>
        <w:rPr>
          <w:szCs w:val="24"/>
        </w:rPr>
      </w:pPr>
      <w:r w:rsidRPr="00280C85">
        <w:rPr>
          <w:szCs w:val="24"/>
        </w:rPr>
        <w:t xml:space="preserve">The </w:t>
      </w:r>
      <w:r w:rsidR="006968D3" w:rsidRPr="00280C85">
        <w:rPr>
          <w:szCs w:val="24"/>
        </w:rPr>
        <w:t>2</w:t>
      </w:r>
      <w:r w:rsidRPr="00280C85">
        <w:rPr>
          <w:szCs w:val="24"/>
        </w:rPr>
        <w:t>-page limit only applies to the Executive Summary table</w:t>
      </w:r>
      <w:r w:rsidR="00D95BB7" w:rsidRPr="00280C85">
        <w:rPr>
          <w:szCs w:val="24"/>
        </w:rPr>
        <w:t>,</w:t>
      </w:r>
      <w:r w:rsidRPr="00280C85">
        <w:rPr>
          <w:szCs w:val="24"/>
        </w:rPr>
        <w:t xml:space="preserve"> which does not include the instruction</w:t>
      </w:r>
      <w:r w:rsidR="0015395B" w:rsidRPr="00280C85">
        <w:rPr>
          <w:szCs w:val="24"/>
        </w:rPr>
        <w:t xml:space="preserve">s </w:t>
      </w:r>
      <w:r w:rsidR="00D95BB7" w:rsidRPr="00280C85">
        <w:rPr>
          <w:szCs w:val="24"/>
        </w:rPr>
        <w:t xml:space="preserve">on </w:t>
      </w:r>
      <w:r w:rsidR="0015395B" w:rsidRPr="00280C85">
        <w:rPr>
          <w:szCs w:val="24"/>
        </w:rPr>
        <w:t xml:space="preserve">page 1. </w:t>
      </w:r>
      <w:r w:rsidRPr="00280C85">
        <w:rPr>
          <w:szCs w:val="24"/>
        </w:rPr>
        <w:t xml:space="preserve"> </w:t>
      </w:r>
    </w:p>
    <w:p w14:paraId="2AD25E7F" w14:textId="77777777" w:rsidR="00DE0E3D" w:rsidRPr="000A7E79" w:rsidRDefault="00DE0E3D" w:rsidP="00DE0E3D">
      <w:pPr>
        <w:spacing w:after="0" w:line="240" w:lineRule="auto"/>
        <w:ind w:left="360"/>
        <w:rPr>
          <w:szCs w:val="24"/>
        </w:rPr>
      </w:pPr>
    </w:p>
    <w:p w14:paraId="2AA76768" w14:textId="670CA655" w:rsidR="00DE0E3D" w:rsidRPr="00280C85" w:rsidRDefault="009841F1" w:rsidP="00DE0E3D">
      <w:pPr>
        <w:pStyle w:val="ListParagraph"/>
        <w:numPr>
          <w:ilvl w:val="0"/>
          <w:numId w:val="2"/>
        </w:numPr>
        <w:spacing w:after="0" w:line="240" w:lineRule="auto"/>
        <w:ind w:left="360"/>
        <w:rPr>
          <w:szCs w:val="24"/>
        </w:rPr>
      </w:pPr>
      <w:r w:rsidRPr="00280C85">
        <w:rPr>
          <w:b/>
          <w:szCs w:val="24"/>
        </w:rPr>
        <w:t>Can an applicant</w:t>
      </w:r>
      <w:r w:rsidR="009568AA" w:rsidRPr="00280C85">
        <w:rPr>
          <w:b/>
          <w:szCs w:val="24"/>
        </w:rPr>
        <w:t xml:space="preserve"> remove</w:t>
      </w:r>
      <w:r w:rsidR="00DE0E3D" w:rsidRPr="00280C85">
        <w:rPr>
          <w:b/>
          <w:szCs w:val="24"/>
        </w:rPr>
        <w:t xml:space="preserve"> the boxes</w:t>
      </w:r>
      <w:r w:rsidR="0015395B" w:rsidRPr="00280C85">
        <w:rPr>
          <w:b/>
          <w:szCs w:val="24"/>
        </w:rPr>
        <w:t xml:space="preserve"> and bullets</w:t>
      </w:r>
      <w:r w:rsidR="00DE0E3D" w:rsidRPr="00280C85">
        <w:rPr>
          <w:b/>
          <w:szCs w:val="24"/>
        </w:rPr>
        <w:t xml:space="preserve"> in the </w:t>
      </w:r>
      <w:r w:rsidR="0015395B" w:rsidRPr="00280C85">
        <w:rPr>
          <w:b/>
          <w:szCs w:val="24"/>
        </w:rPr>
        <w:t xml:space="preserve">Exhibit A: </w:t>
      </w:r>
      <w:r w:rsidR="00DE0E3D" w:rsidRPr="00280C85">
        <w:rPr>
          <w:b/>
          <w:szCs w:val="24"/>
        </w:rPr>
        <w:t xml:space="preserve">Project Narrative Microsoft Word </w:t>
      </w:r>
      <w:r w:rsidR="0015395B" w:rsidRPr="00280C85">
        <w:rPr>
          <w:b/>
          <w:szCs w:val="24"/>
        </w:rPr>
        <w:t>t</w:t>
      </w:r>
      <w:r w:rsidR="00DE0E3D" w:rsidRPr="00280C85">
        <w:rPr>
          <w:b/>
          <w:szCs w:val="24"/>
        </w:rPr>
        <w:t>emplate</w:t>
      </w:r>
      <w:r w:rsidRPr="00280C85">
        <w:rPr>
          <w:b/>
          <w:szCs w:val="24"/>
        </w:rPr>
        <w:t xml:space="preserve"> to create more space</w:t>
      </w:r>
      <w:r w:rsidR="009568AA" w:rsidRPr="00280C85">
        <w:rPr>
          <w:b/>
          <w:szCs w:val="24"/>
        </w:rPr>
        <w:t>?</w:t>
      </w:r>
    </w:p>
    <w:p w14:paraId="7336D260" w14:textId="77777777" w:rsidR="00DE0E3D" w:rsidRDefault="00DE0E3D" w:rsidP="00DE0E3D">
      <w:pPr>
        <w:spacing w:after="0" w:line="240" w:lineRule="auto"/>
        <w:rPr>
          <w:szCs w:val="24"/>
        </w:rPr>
      </w:pPr>
    </w:p>
    <w:p w14:paraId="1931A5A9" w14:textId="0194837D" w:rsidR="00DE0E3D" w:rsidRPr="00280C85" w:rsidRDefault="00D95BB7" w:rsidP="00DE0E3D">
      <w:pPr>
        <w:spacing w:after="0" w:line="240" w:lineRule="auto"/>
        <w:ind w:left="360"/>
        <w:rPr>
          <w:szCs w:val="24"/>
        </w:rPr>
      </w:pPr>
      <w:r w:rsidRPr="00280C85">
        <w:rPr>
          <w:szCs w:val="24"/>
        </w:rPr>
        <w:t>A</w:t>
      </w:r>
      <w:r w:rsidR="0015395B" w:rsidRPr="00280C85">
        <w:rPr>
          <w:szCs w:val="24"/>
        </w:rPr>
        <w:t>pplicants</w:t>
      </w:r>
      <w:r w:rsidR="00613629" w:rsidRPr="00280C85">
        <w:rPr>
          <w:szCs w:val="24"/>
        </w:rPr>
        <w:t xml:space="preserve"> </w:t>
      </w:r>
      <w:r w:rsidRPr="00280C85">
        <w:rPr>
          <w:szCs w:val="24"/>
        </w:rPr>
        <w:t>can</w:t>
      </w:r>
      <w:r w:rsidR="009568AA" w:rsidRPr="00280C85">
        <w:rPr>
          <w:szCs w:val="24"/>
        </w:rPr>
        <w:t xml:space="preserve"> remove the boxes</w:t>
      </w:r>
      <w:r w:rsidR="0015395B" w:rsidRPr="00280C85">
        <w:rPr>
          <w:szCs w:val="24"/>
        </w:rPr>
        <w:t xml:space="preserve"> and/or bullets</w:t>
      </w:r>
      <w:r w:rsidR="009568AA" w:rsidRPr="00280C85">
        <w:rPr>
          <w:szCs w:val="24"/>
        </w:rPr>
        <w:t xml:space="preserve"> on the Project Narrative exhibit</w:t>
      </w:r>
      <w:r w:rsidR="00DE0E3D" w:rsidRPr="00280C85">
        <w:rPr>
          <w:szCs w:val="24"/>
        </w:rPr>
        <w:t>.</w:t>
      </w:r>
      <w:r w:rsidR="00B5698E" w:rsidRPr="00280C85">
        <w:rPr>
          <w:szCs w:val="24"/>
        </w:rPr>
        <w:t xml:space="preserve"> The </w:t>
      </w:r>
      <w:r w:rsidR="0017479A">
        <w:rPr>
          <w:szCs w:val="24"/>
        </w:rPr>
        <w:t>sections and Subsection titles must remain the same and, in</w:t>
      </w:r>
      <w:r w:rsidR="00B5698E" w:rsidRPr="00280C85">
        <w:rPr>
          <w:szCs w:val="24"/>
        </w:rPr>
        <w:t xml:space="preserve"> order, written into the project narrative.</w:t>
      </w:r>
    </w:p>
    <w:p w14:paraId="16F67280" w14:textId="1BE7B8ED" w:rsidR="00DE0E3D" w:rsidRPr="00DE0E3D" w:rsidRDefault="00DE0E3D" w:rsidP="00DE0E3D">
      <w:pPr>
        <w:spacing w:after="0" w:line="240" w:lineRule="auto"/>
        <w:rPr>
          <w:szCs w:val="24"/>
        </w:rPr>
      </w:pPr>
      <w:r>
        <w:rPr>
          <w:szCs w:val="24"/>
        </w:rPr>
        <w:tab/>
      </w:r>
    </w:p>
    <w:p w14:paraId="40AADFE8" w14:textId="7748458F" w:rsidR="00DE0E3D" w:rsidRPr="00DE0E3D" w:rsidRDefault="00DE0E3D" w:rsidP="00B348FE">
      <w:pPr>
        <w:pStyle w:val="ListParagraph"/>
        <w:numPr>
          <w:ilvl w:val="0"/>
          <w:numId w:val="2"/>
        </w:numPr>
        <w:spacing w:after="0" w:line="240" w:lineRule="auto"/>
        <w:ind w:left="360"/>
        <w:rPr>
          <w:szCs w:val="24"/>
        </w:rPr>
      </w:pPr>
      <w:r w:rsidRPr="00DE0E3D">
        <w:rPr>
          <w:b/>
          <w:szCs w:val="24"/>
        </w:rPr>
        <w:t xml:space="preserve">Can administrative costs include direct and indirect costs? </w:t>
      </w:r>
      <w:r w:rsidR="00D95BB7">
        <w:rPr>
          <w:b/>
          <w:szCs w:val="24"/>
        </w:rPr>
        <w:t>Can a Negotiated Indirect Cost Rate Agreement (NICRA) be used if indirect costs are claimed as part of administrative costs</w:t>
      </w:r>
      <w:r w:rsidRPr="00DE0E3D">
        <w:rPr>
          <w:b/>
          <w:szCs w:val="24"/>
        </w:rPr>
        <w:t>?</w:t>
      </w:r>
    </w:p>
    <w:p w14:paraId="1ABD0CB9" w14:textId="77777777" w:rsidR="00DE0E3D" w:rsidRPr="00DE0E3D" w:rsidRDefault="00DE0E3D" w:rsidP="00DE0E3D">
      <w:pPr>
        <w:pStyle w:val="ListParagraph"/>
        <w:spacing w:after="0" w:line="240" w:lineRule="auto"/>
        <w:ind w:left="360"/>
        <w:rPr>
          <w:szCs w:val="24"/>
        </w:rPr>
      </w:pPr>
    </w:p>
    <w:p w14:paraId="32D81D5E" w14:textId="1EB7408F" w:rsidR="00DE0E3D" w:rsidRPr="00DE0E3D" w:rsidRDefault="00DE0E3D" w:rsidP="00DE0E3D">
      <w:pPr>
        <w:spacing w:after="0" w:line="240" w:lineRule="auto"/>
        <w:ind w:left="360"/>
        <w:rPr>
          <w:szCs w:val="24"/>
        </w:rPr>
      </w:pPr>
      <w:r w:rsidRPr="00DE0E3D">
        <w:rPr>
          <w:szCs w:val="24"/>
        </w:rPr>
        <w:t>Yes, administrative costs can include direct and indirect administrative costs.</w:t>
      </w:r>
      <w:r w:rsidR="009841F1">
        <w:rPr>
          <w:szCs w:val="24"/>
        </w:rPr>
        <w:t xml:space="preserve"> </w:t>
      </w:r>
      <w:r w:rsidRPr="00DE0E3D">
        <w:rPr>
          <w:szCs w:val="24"/>
        </w:rPr>
        <w:t>If indirect costs are claimed, a NICRA can be used</w:t>
      </w:r>
      <w:r w:rsidR="00D95BB7">
        <w:rPr>
          <w:szCs w:val="24"/>
        </w:rPr>
        <w:t>; regardless of a NICRA’s terms, the maximum administrative cost for the grant is fixed at 10% of the</w:t>
      </w:r>
      <w:r w:rsidRPr="00DE0E3D">
        <w:rPr>
          <w:szCs w:val="24"/>
        </w:rPr>
        <w:t xml:space="preserve"> total between direct and indirect costs. A copy of the NICRA must be submitted with the application and is subject to EDD approval.</w:t>
      </w:r>
    </w:p>
    <w:p w14:paraId="27EB66EE" w14:textId="77777777" w:rsidR="00DE0E3D" w:rsidRPr="00DE0E3D" w:rsidRDefault="00DE0E3D" w:rsidP="00DE0E3D">
      <w:pPr>
        <w:spacing w:after="0" w:line="240" w:lineRule="auto"/>
        <w:ind w:left="360"/>
        <w:rPr>
          <w:szCs w:val="24"/>
        </w:rPr>
      </w:pPr>
    </w:p>
    <w:p w14:paraId="765CACA8" w14:textId="6B82A4DE" w:rsidR="00DE0E3D" w:rsidRPr="000A7E79" w:rsidRDefault="00DE0E3D" w:rsidP="00DE0E3D">
      <w:pPr>
        <w:spacing w:after="0" w:line="240" w:lineRule="auto"/>
        <w:ind w:left="360"/>
        <w:rPr>
          <w:szCs w:val="24"/>
        </w:rPr>
      </w:pPr>
      <w:r w:rsidRPr="00AA061A">
        <w:rPr>
          <w:szCs w:val="24"/>
        </w:rPr>
        <w:t>For additional information, refer to Section IV: Funding and Budgetary Requirements, Appendix C: Allowable Costs, and Appendix D: Administrative Costs for the general requirements dictating the proper use of these funds</w:t>
      </w:r>
      <w:r>
        <w:rPr>
          <w:szCs w:val="24"/>
        </w:rPr>
        <w:t>.</w:t>
      </w:r>
    </w:p>
    <w:p w14:paraId="75A9F7C5" w14:textId="77777777" w:rsidR="00DF7D10" w:rsidRDefault="00DF7D10" w:rsidP="00DF7D10">
      <w:pPr>
        <w:spacing w:after="0" w:line="240" w:lineRule="auto"/>
        <w:rPr>
          <w:szCs w:val="24"/>
        </w:rPr>
      </w:pPr>
    </w:p>
    <w:p w14:paraId="23BB4C74" w14:textId="77777777" w:rsidR="00C353B4" w:rsidRDefault="00C353B4" w:rsidP="00DF7D10">
      <w:pPr>
        <w:spacing w:after="0" w:line="240" w:lineRule="auto"/>
        <w:rPr>
          <w:szCs w:val="24"/>
        </w:rPr>
      </w:pPr>
    </w:p>
    <w:p w14:paraId="77C1F064" w14:textId="77777777" w:rsidR="00C353B4" w:rsidRDefault="00C353B4" w:rsidP="00DF7D10">
      <w:pPr>
        <w:spacing w:after="0" w:line="240" w:lineRule="auto"/>
        <w:rPr>
          <w:szCs w:val="24"/>
        </w:rPr>
      </w:pPr>
    </w:p>
    <w:p w14:paraId="61292F27" w14:textId="77777777" w:rsidR="00C353B4" w:rsidRDefault="00C353B4" w:rsidP="00DF7D10">
      <w:pPr>
        <w:spacing w:after="0" w:line="240" w:lineRule="auto"/>
        <w:rPr>
          <w:szCs w:val="24"/>
        </w:rPr>
      </w:pPr>
    </w:p>
    <w:p w14:paraId="7A46C425" w14:textId="77777777" w:rsidR="00C353B4" w:rsidRDefault="00C353B4" w:rsidP="00DF7D10">
      <w:pPr>
        <w:spacing w:after="0" w:line="240" w:lineRule="auto"/>
        <w:rPr>
          <w:szCs w:val="24"/>
        </w:rPr>
      </w:pPr>
    </w:p>
    <w:p w14:paraId="2BB9E648" w14:textId="77777777" w:rsidR="00C353B4" w:rsidRDefault="00C353B4" w:rsidP="00DF7D10">
      <w:pPr>
        <w:spacing w:after="0" w:line="240" w:lineRule="auto"/>
        <w:rPr>
          <w:szCs w:val="24"/>
        </w:rPr>
      </w:pPr>
    </w:p>
    <w:p w14:paraId="20B68CB8" w14:textId="77777777" w:rsidR="00C353B4" w:rsidRDefault="00C353B4" w:rsidP="00DF7D10">
      <w:pPr>
        <w:spacing w:after="0" w:line="240" w:lineRule="auto"/>
        <w:rPr>
          <w:szCs w:val="24"/>
        </w:rPr>
      </w:pPr>
    </w:p>
    <w:p w14:paraId="5E49B8E1" w14:textId="77777777" w:rsidR="00C353B4" w:rsidRDefault="00C353B4" w:rsidP="00DF7D10">
      <w:pPr>
        <w:spacing w:after="0" w:line="240" w:lineRule="auto"/>
        <w:rPr>
          <w:szCs w:val="24"/>
        </w:rPr>
      </w:pPr>
    </w:p>
    <w:p w14:paraId="22BA3404" w14:textId="77777777" w:rsidR="00C353B4" w:rsidRDefault="00C353B4" w:rsidP="00DF7D10">
      <w:pPr>
        <w:spacing w:after="0" w:line="240" w:lineRule="auto"/>
        <w:rPr>
          <w:szCs w:val="24"/>
        </w:rPr>
      </w:pPr>
    </w:p>
    <w:p w14:paraId="4051D86F" w14:textId="5066A3A4" w:rsidR="00DE0E3D" w:rsidRPr="00280C85" w:rsidRDefault="00AA061A" w:rsidP="00DE0E3D">
      <w:pPr>
        <w:pStyle w:val="ListParagraph"/>
        <w:numPr>
          <w:ilvl w:val="0"/>
          <w:numId w:val="2"/>
        </w:numPr>
        <w:spacing w:after="0" w:line="240" w:lineRule="auto"/>
        <w:ind w:left="360"/>
        <w:rPr>
          <w:szCs w:val="24"/>
        </w:rPr>
      </w:pPr>
      <w:r w:rsidRPr="00280C85">
        <w:rPr>
          <w:b/>
          <w:szCs w:val="24"/>
        </w:rPr>
        <w:lastRenderedPageBreak/>
        <w:t>What are the most common reasons an application will be disqualified</w:t>
      </w:r>
      <w:r w:rsidR="00DE0E3D" w:rsidRPr="00280C85">
        <w:rPr>
          <w:b/>
          <w:szCs w:val="24"/>
        </w:rPr>
        <w:t>?</w:t>
      </w:r>
    </w:p>
    <w:p w14:paraId="1EE8E0D6" w14:textId="77777777" w:rsidR="00DE0E3D" w:rsidRPr="00280C85" w:rsidRDefault="00DE0E3D" w:rsidP="00DE0E3D">
      <w:pPr>
        <w:spacing w:after="0" w:line="240" w:lineRule="auto"/>
        <w:rPr>
          <w:szCs w:val="24"/>
        </w:rPr>
      </w:pPr>
    </w:p>
    <w:p w14:paraId="7A49CBA5" w14:textId="7EA574A8" w:rsidR="00280C85" w:rsidRDefault="006968D3" w:rsidP="00280C85">
      <w:r w:rsidRPr="00280C85">
        <w:t xml:space="preserve">       </w:t>
      </w:r>
      <w:bookmarkStart w:id="2" w:name="_Hlk161304266"/>
      <w:r w:rsidR="00280C85">
        <w:t>The three most common reasons for an application to be disqualified are</w:t>
      </w:r>
      <w:r w:rsidR="00DC37D6">
        <w:t xml:space="preserve"> as follows</w:t>
      </w:r>
      <w:r w:rsidR="00280C85">
        <w:t xml:space="preserve">: </w:t>
      </w:r>
    </w:p>
    <w:p w14:paraId="06A5216F" w14:textId="148A9C23" w:rsidR="00280C85" w:rsidRDefault="00280C85" w:rsidP="00DC37D6">
      <w:pPr>
        <w:pStyle w:val="ListParagraph"/>
        <w:numPr>
          <w:ilvl w:val="0"/>
          <w:numId w:val="9"/>
        </w:numPr>
        <w:spacing w:after="0" w:line="240" w:lineRule="auto"/>
      </w:pPr>
      <w:r>
        <w:t>Missing or incomplete Commitment Letters</w:t>
      </w:r>
      <w:r w:rsidR="00DC37D6">
        <w:t xml:space="preserve"> – </w:t>
      </w:r>
      <w:r w:rsidR="0017479A">
        <w:t>No leverage fund requirement exists</w:t>
      </w:r>
      <w:r>
        <w:t xml:space="preserve"> for the DOGWF </w:t>
      </w:r>
      <w:proofErr w:type="gramStart"/>
      <w:r>
        <w:t>ETA</w:t>
      </w:r>
      <w:r w:rsidR="00BB2985">
        <w:t>,</w:t>
      </w:r>
      <w:proofErr w:type="gramEnd"/>
      <w:r>
        <w:t xml:space="preserve"> </w:t>
      </w:r>
      <w:r w:rsidR="00BB2985">
        <w:t>t</w:t>
      </w:r>
      <w:r>
        <w:t xml:space="preserve">herefore, Commitment Letters are not required unless the applicant </w:t>
      </w:r>
      <w:r w:rsidR="0017479A">
        <w:t>leverages</w:t>
      </w:r>
      <w:r>
        <w:t xml:space="preserve"> funds. If so, applicants should provide a letter to verify the dollar amount and the source of contributions from each entity that pledges cash or in-kind resources to the project. Also, the funds stated in the Commitment Letters must match the leveraged funds on the Cover Signature Page submitted in the application. </w:t>
      </w:r>
    </w:p>
    <w:p w14:paraId="1038CB5B" w14:textId="74075982" w:rsidR="00280C85" w:rsidRDefault="00280C85" w:rsidP="00DC37D6">
      <w:pPr>
        <w:pStyle w:val="ListParagraph"/>
        <w:numPr>
          <w:ilvl w:val="0"/>
          <w:numId w:val="9"/>
        </w:numPr>
        <w:spacing w:after="0" w:line="240" w:lineRule="auto"/>
      </w:pPr>
      <w:r>
        <w:t>No valid System of Award Management (SAM) account registration</w:t>
      </w:r>
      <w:r w:rsidR="00DC37D6">
        <w:t xml:space="preserve"> – </w:t>
      </w:r>
      <w:r>
        <w:t xml:space="preserve">Applicants must register with the SAM to apply for and receive funding for this initiative. Registration with the SAM must be reviewed and updated every 12 months to remain current, accurate, and complete in the SAM database. A recipient must maintain active registration with current information during which it has an application under consideration or an active state or federal award, including state and federal funding distributed through the EDD. </w:t>
      </w:r>
    </w:p>
    <w:p w14:paraId="7A1B4F64" w14:textId="78C74A09" w:rsidR="00280C85" w:rsidRDefault="00280C85" w:rsidP="00DC37D6">
      <w:pPr>
        <w:pStyle w:val="ListParagraph"/>
        <w:numPr>
          <w:ilvl w:val="0"/>
          <w:numId w:val="9"/>
        </w:numPr>
        <w:spacing w:after="0" w:line="240" w:lineRule="auto"/>
      </w:pPr>
      <w:r>
        <w:t>Missing or incomplete exhibits</w:t>
      </w:r>
      <w:r w:rsidR="00DC37D6">
        <w:t xml:space="preserve"> – </w:t>
      </w:r>
      <w:r>
        <w:t>Before applying, please ensure that all required exhibits have been completed and are included in the submission.</w:t>
      </w:r>
    </w:p>
    <w:p w14:paraId="75265FA7" w14:textId="77777777" w:rsidR="00280C85" w:rsidRDefault="00280C85" w:rsidP="00280C85">
      <w:pPr>
        <w:pStyle w:val="ListParagraph"/>
        <w:spacing w:after="0" w:line="240" w:lineRule="auto"/>
        <w:ind w:left="1440"/>
      </w:pPr>
    </w:p>
    <w:p w14:paraId="75A9F7E0" w14:textId="04C19828" w:rsidR="000A7E79" w:rsidRDefault="00DE0E3D" w:rsidP="00280C85">
      <w:r w:rsidRPr="00AA061A">
        <w:t xml:space="preserve">For additional information, refer to </w:t>
      </w:r>
      <w:r w:rsidRPr="00AA061A">
        <w:rPr>
          <w:i/>
          <w:iCs/>
        </w:rPr>
        <w:t>Appendix A: Proposal Package Instructions</w:t>
      </w:r>
      <w:r w:rsidRPr="00AA061A">
        <w:t xml:space="preserve"> for further guidelines on electronic submission and </w:t>
      </w:r>
      <w:r w:rsidRPr="00AA061A">
        <w:rPr>
          <w:i/>
          <w:iCs/>
        </w:rPr>
        <w:t>Section VI. D: Award, Agreement</w:t>
      </w:r>
      <w:r w:rsidR="00D95BB7">
        <w:rPr>
          <w:i/>
          <w:iCs/>
        </w:rPr>
        <w:t>,</w:t>
      </w:r>
      <w:r w:rsidRPr="00AA061A">
        <w:rPr>
          <w:i/>
          <w:iCs/>
        </w:rPr>
        <w:t xml:space="preserve"> and Contracting</w:t>
      </w:r>
      <w:r w:rsidRPr="00AA061A">
        <w:t xml:space="preserve"> for the signatory authority requirements for the Subgrant Agreement (contract).</w:t>
      </w:r>
      <w:bookmarkEnd w:id="2"/>
    </w:p>
    <w:sectPr w:rsidR="000A7E79" w:rsidSect="00C61260">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7E3" w14:textId="77777777" w:rsidR="00D53E91" w:rsidRDefault="00D53E91" w:rsidP="00C4619D">
      <w:pPr>
        <w:spacing w:after="0" w:line="240" w:lineRule="auto"/>
      </w:pPr>
      <w:r>
        <w:separator/>
      </w:r>
    </w:p>
  </w:endnote>
  <w:endnote w:type="continuationSeparator" w:id="0">
    <w:p w14:paraId="75A9F7E4" w14:textId="77777777" w:rsidR="00D53E91" w:rsidRDefault="00D53E91"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8FB9" w14:textId="3B37542A" w:rsidR="00AA061A" w:rsidRPr="00AA061A" w:rsidRDefault="00BB2985" w:rsidP="00AA061A">
    <w:pPr>
      <w:tabs>
        <w:tab w:val="center" w:pos="4680"/>
        <w:tab w:val="right" w:pos="9360"/>
      </w:tabs>
      <w:spacing w:after="0" w:line="240" w:lineRule="auto"/>
      <w:rPr>
        <w:szCs w:val="24"/>
      </w:rPr>
    </w:pPr>
    <w:sdt>
      <w:sdtPr>
        <w:id w:val="-434442042"/>
        <w:docPartObj>
          <w:docPartGallery w:val="Page Numbers (Top of Page)"/>
          <w:docPartUnique/>
        </w:docPartObj>
      </w:sdtPr>
      <w:sdtEndPr>
        <w:rPr>
          <w:szCs w:val="24"/>
        </w:rPr>
      </w:sdtEndPr>
      <w:sdtContent>
        <w:r w:rsidR="00AA061A" w:rsidRPr="00AA061A">
          <w:rPr>
            <w:szCs w:val="24"/>
          </w:rPr>
          <w:t>FAP TA DE SFP PY 23-24</w:t>
        </w:r>
        <w:r w:rsidR="00AA061A" w:rsidRPr="00AA061A">
          <w:rPr>
            <w:szCs w:val="24"/>
          </w:rPr>
          <w:tab/>
          <w:t xml:space="preserve">Page </w:t>
        </w:r>
        <w:r w:rsidR="00AA061A" w:rsidRPr="00AA061A">
          <w:rPr>
            <w:bCs/>
            <w:szCs w:val="24"/>
          </w:rPr>
          <w:fldChar w:fldCharType="begin"/>
        </w:r>
        <w:r w:rsidR="00AA061A" w:rsidRPr="00AA061A">
          <w:rPr>
            <w:bCs/>
            <w:szCs w:val="24"/>
          </w:rPr>
          <w:instrText xml:space="preserve"> PAGE </w:instrText>
        </w:r>
        <w:r w:rsidR="00AA061A" w:rsidRPr="00AA061A">
          <w:rPr>
            <w:bCs/>
            <w:szCs w:val="24"/>
          </w:rPr>
          <w:fldChar w:fldCharType="separate"/>
        </w:r>
        <w:r w:rsidR="00AA061A" w:rsidRPr="00AA061A">
          <w:rPr>
            <w:bCs/>
            <w:szCs w:val="24"/>
          </w:rPr>
          <w:t>1</w:t>
        </w:r>
        <w:r w:rsidR="00AA061A" w:rsidRPr="00AA061A">
          <w:rPr>
            <w:bCs/>
            <w:szCs w:val="24"/>
          </w:rPr>
          <w:fldChar w:fldCharType="end"/>
        </w:r>
        <w:r w:rsidR="00AA061A" w:rsidRPr="00AA061A">
          <w:rPr>
            <w:szCs w:val="24"/>
          </w:rPr>
          <w:t xml:space="preserve"> of </w:t>
        </w:r>
        <w:r w:rsidR="00AA061A" w:rsidRPr="00AA061A">
          <w:rPr>
            <w:bCs/>
            <w:szCs w:val="24"/>
          </w:rPr>
          <w:fldChar w:fldCharType="begin"/>
        </w:r>
        <w:r w:rsidR="00AA061A" w:rsidRPr="00AA061A">
          <w:rPr>
            <w:bCs/>
            <w:szCs w:val="24"/>
          </w:rPr>
          <w:instrText xml:space="preserve"> NUMPAGES  </w:instrText>
        </w:r>
        <w:r w:rsidR="00AA061A" w:rsidRPr="00AA061A">
          <w:rPr>
            <w:bCs/>
            <w:szCs w:val="24"/>
          </w:rPr>
          <w:fldChar w:fldCharType="separate"/>
        </w:r>
        <w:r w:rsidR="00AA061A" w:rsidRPr="00AA061A">
          <w:rPr>
            <w:bCs/>
            <w:szCs w:val="24"/>
          </w:rPr>
          <w:t>2</w:t>
        </w:r>
        <w:r w:rsidR="00AA061A" w:rsidRPr="00AA061A">
          <w:rPr>
            <w:bCs/>
            <w:szCs w:val="24"/>
          </w:rPr>
          <w:fldChar w:fldCharType="end"/>
        </w:r>
        <w:r w:rsidR="00AA061A" w:rsidRPr="00AA061A">
          <w:rPr>
            <w:bCs/>
            <w:szCs w:val="24"/>
          </w:rPr>
          <w:t xml:space="preserve"> </w:t>
        </w:r>
        <w:r w:rsidR="00AA061A" w:rsidRPr="00AA061A">
          <w:rPr>
            <w:bCs/>
            <w:szCs w:val="24"/>
          </w:rPr>
          <w:tab/>
          <w:t>March 26, 2024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62354260"/>
  <w:bookmarkStart w:id="1" w:name="_Hlk162354261"/>
  <w:p w14:paraId="75A9F7EC" w14:textId="24D0E271" w:rsidR="00A20493" w:rsidRPr="00A20493" w:rsidRDefault="00BB2985" w:rsidP="00A20493">
    <w:pPr>
      <w:pStyle w:val="Footer"/>
      <w:rPr>
        <w:szCs w:val="24"/>
      </w:rPr>
    </w:pPr>
    <w:sdt>
      <w:sdtPr>
        <w:id w:val="1728636285"/>
        <w:docPartObj>
          <w:docPartGallery w:val="Page Numbers (Top of Page)"/>
          <w:docPartUnique/>
        </w:docPartObj>
      </w:sdtPr>
      <w:sdtEndPr>
        <w:rPr>
          <w:szCs w:val="24"/>
        </w:rPr>
      </w:sdtEndPr>
      <w:sdtContent>
        <w:r w:rsidR="00AA061A">
          <w:rPr>
            <w:szCs w:val="24"/>
          </w:rPr>
          <w:t>FAP TA DE</w:t>
        </w:r>
        <w:r w:rsidR="00981B51">
          <w:rPr>
            <w:szCs w:val="24"/>
          </w:rPr>
          <w:t xml:space="preserve"> SFP PY </w:t>
        </w:r>
        <w:r w:rsidR="00AA061A">
          <w:rPr>
            <w:szCs w:val="24"/>
          </w:rPr>
          <w:t>23</w:t>
        </w:r>
        <w:r w:rsidR="00A20493" w:rsidRPr="00A20493">
          <w:rPr>
            <w:szCs w:val="24"/>
          </w:rPr>
          <w:t>-</w:t>
        </w:r>
        <w:r w:rsidR="00AA061A">
          <w:rPr>
            <w:szCs w:val="24"/>
          </w:rPr>
          <w:t>24</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AA061A">
          <w:rPr>
            <w:bCs/>
            <w:szCs w:val="24"/>
          </w:rPr>
          <w:t>March 26</w:t>
        </w:r>
        <w:r w:rsidR="00A20493" w:rsidRPr="00A20493">
          <w:rPr>
            <w:bCs/>
            <w:szCs w:val="24"/>
          </w:rPr>
          <w:t xml:space="preserve">, </w:t>
        </w:r>
        <w:r w:rsidR="00AA061A">
          <w:rPr>
            <w:bCs/>
            <w:szCs w:val="24"/>
          </w:rPr>
          <w:t>2024</w:t>
        </w:r>
      </w:sdtContent>
    </w:sdt>
  </w:p>
  <w:bookmarkEnd w:id="0"/>
  <w:bookmarkEnd w:id="1"/>
  <w:p w14:paraId="75A9F7ED"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7E1" w14:textId="77777777" w:rsidR="00D53E91" w:rsidRDefault="00D53E91" w:rsidP="00C4619D">
      <w:pPr>
        <w:spacing w:after="0" w:line="240" w:lineRule="auto"/>
      </w:pPr>
      <w:r>
        <w:separator/>
      </w:r>
    </w:p>
  </w:footnote>
  <w:footnote w:type="continuationSeparator" w:id="0">
    <w:p w14:paraId="75A9F7E2" w14:textId="77777777" w:rsidR="00D53E91" w:rsidRDefault="00D53E91" w:rsidP="00C4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7E5" w14:textId="77777777" w:rsidR="00EB620C" w:rsidRDefault="00EB620C" w:rsidP="00DF7D1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64A"/>
    <w:multiLevelType w:val="hybridMultilevel"/>
    <w:tmpl w:val="A672F770"/>
    <w:lvl w:ilvl="0" w:tplc="9CD66D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5AF6C45"/>
    <w:multiLevelType w:val="hybridMultilevel"/>
    <w:tmpl w:val="738E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26F68"/>
    <w:multiLevelType w:val="hybridMultilevel"/>
    <w:tmpl w:val="9B940EF6"/>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C2366"/>
    <w:multiLevelType w:val="hybridMultilevel"/>
    <w:tmpl w:val="E4D6A8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815986"/>
    <w:multiLevelType w:val="hybridMultilevel"/>
    <w:tmpl w:val="2312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05B0"/>
    <w:multiLevelType w:val="hybridMultilevel"/>
    <w:tmpl w:val="9E20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410238">
    <w:abstractNumId w:val="6"/>
  </w:num>
  <w:num w:numId="2" w16cid:durableId="562103451">
    <w:abstractNumId w:val="5"/>
  </w:num>
  <w:num w:numId="3" w16cid:durableId="1550339717">
    <w:abstractNumId w:val="4"/>
  </w:num>
  <w:num w:numId="4" w16cid:durableId="1348101034">
    <w:abstractNumId w:val="7"/>
  </w:num>
  <w:num w:numId="5" w16cid:durableId="1355885054">
    <w:abstractNumId w:val="1"/>
  </w:num>
  <w:num w:numId="6" w16cid:durableId="1194728102">
    <w:abstractNumId w:val="2"/>
  </w:num>
  <w:num w:numId="7" w16cid:durableId="1634368135">
    <w:abstractNumId w:val="3"/>
  </w:num>
  <w:num w:numId="8" w16cid:durableId="874346819">
    <w:abstractNumId w:val="0"/>
  </w:num>
  <w:num w:numId="9" w16cid:durableId="464396714">
    <w:abstractNumId w:val="2"/>
  </w:num>
  <w:num w:numId="10" w16cid:durableId="1875845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NbcwsLQ0MDAyNDBT0lEKTi0uzszPAykwrgUAibWLzywAAAA="/>
  </w:docVars>
  <w:rsids>
    <w:rsidRoot w:val="00C4619D"/>
    <w:rsid w:val="00011FF6"/>
    <w:rsid w:val="00051990"/>
    <w:rsid w:val="0005733A"/>
    <w:rsid w:val="00070957"/>
    <w:rsid w:val="00077074"/>
    <w:rsid w:val="000907CE"/>
    <w:rsid w:val="000A7E79"/>
    <w:rsid w:val="000D41F4"/>
    <w:rsid w:val="0015395B"/>
    <w:rsid w:val="00166463"/>
    <w:rsid w:val="0017479A"/>
    <w:rsid w:val="001A2FE1"/>
    <w:rsid w:val="00233C68"/>
    <w:rsid w:val="00243E97"/>
    <w:rsid w:val="0027732C"/>
    <w:rsid w:val="00280C85"/>
    <w:rsid w:val="0029566A"/>
    <w:rsid w:val="002A49F5"/>
    <w:rsid w:val="002F1B40"/>
    <w:rsid w:val="003A6798"/>
    <w:rsid w:val="003F4960"/>
    <w:rsid w:val="004C54B7"/>
    <w:rsid w:val="004C7A9D"/>
    <w:rsid w:val="004D2C52"/>
    <w:rsid w:val="004D4E7D"/>
    <w:rsid w:val="005C4514"/>
    <w:rsid w:val="005E57E5"/>
    <w:rsid w:val="00613629"/>
    <w:rsid w:val="00635F03"/>
    <w:rsid w:val="00686543"/>
    <w:rsid w:val="00693DDF"/>
    <w:rsid w:val="006968D3"/>
    <w:rsid w:val="006A3FCD"/>
    <w:rsid w:val="006A609C"/>
    <w:rsid w:val="006B415E"/>
    <w:rsid w:val="006D1667"/>
    <w:rsid w:val="0071078A"/>
    <w:rsid w:val="00716669"/>
    <w:rsid w:val="007538F6"/>
    <w:rsid w:val="00771FA8"/>
    <w:rsid w:val="007C0F9E"/>
    <w:rsid w:val="007D3711"/>
    <w:rsid w:val="008061A0"/>
    <w:rsid w:val="00861DD5"/>
    <w:rsid w:val="0087560C"/>
    <w:rsid w:val="008909EA"/>
    <w:rsid w:val="008A2287"/>
    <w:rsid w:val="008E1689"/>
    <w:rsid w:val="009431CA"/>
    <w:rsid w:val="009568AA"/>
    <w:rsid w:val="009632DF"/>
    <w:rsid w:val="00981B51"/>
    <w:rsid w:val="009841F1"/>
    <w:rsid w:val="00A11416"/>
    <w:rsid w:val="00A20493"/>
    <w:rsid w:val="00A21B60"/>
    <w:rsid w:val="00A311B3"/>
    <w:rsid w:val="00A53A4A"/>
    <w:rsid w:val="00A73267"/>
    <w:rsid w:val="00A753B5"/>
    <w:rsid w:val="00A86DD1"/>
    <w:rsid w:val="00A87723"/>
    <w:rsid w:val="00AA061A"/>
    <w:rsid w:val="00AF6711"/>
    <w:rsid w:val="00B37BB7"/>
    <w:rsid w:val="00B44FC5"/>
    <w:rsid w:val="00B5698E"/>
    <w:rsid w:val="00B61E64"/>
    <w:rsid w:val="00B775DE"/>
    <w:rsid w:val="00BA0951"/>
    <w:rsid w:val="00BB2985"/>
    <w:rsid w:val="00BB53C7"/>
    <w:rsid w:val="00BC356A"/>
    <w:rsid w:val="00BF7C9C"/>
    <w:rsid w:val="00BF7E4A"/>
    <w:rsid w:val="00C353B4"/>
    <w:rsid w:val="00C4619D"/>
    <w:rsid w:val="00C61260"/>
    <w:rsid w:val="00C76E65"/>
    <w:rsid w:val="00C77556"/>
    <w:rsid w:val="00C864F3"/>
    <w:rsid w:val="00CF74D4"/>
    <w:rsid w:val="00D00615"/>
    <w:rsid w:val="00D53E91"/>
    <w:rsid w:val="00D7273E"/>
    <w:rsid w:val="00D95BB7"/>
    <w:rsid w:val="00DB2416"/>
    <w:rsid w:val="00DC37D6"/>
    <w:rsid w:val="00DC4413"/>
    <w:rsid w:val="00DD30D6"/>
    <w:rsid w:val="00DD5A7C"/>
    <w:rsid w:val="00DE0E3D"/>
    <w:rsid w:val="00DF7D10"/>
    <w:rsid w:val="00E23A28"/>
    <w:rsid w:val="00E52A71"/>
    <w:rsid w:val="00E53985"/>
    <w:rsid w:val="00E62748"/>
    <w:rsid w:val="00E81F29"/>
    <w:rsid w:val="00EA22D1"/>
    <w:rsid w:val="00EB620C"/>
    <w:rsid w:val="00EC3B79"/>
    <w:rsid w:val="00ED18A5"/>
    <w:rsid w:val="00EE6F6A"/>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A9F7C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7"/>
    <w:rPr>
      <w:sz w:val="24"/>
    </w:rPr>
  </w:style>
  <w:style w:type="paragraph" w:styleId="Heading1">
    <w:name w:val="heading 1"/>
    <w:basedOn w:val="Normal"/>
    <w:next w:val="Normal"/>
    <w:link w:val="Heading1Char"/>
    <w:uiPriority w:val="9"/>
    <w:qFormat/>
    <w:rsid w:val="00A20493"/>
    <w:pPr>
      <w:spacing w:after="0"/>
      <w:outlineLvl w:val="0"/>
    </w:pPr>
    <w:rPr>
      <w:b/>
      <w:color w:val="1F4E79" w:themeColor="accent1" w:themeShade="80"/>
      <w:sz w:val="28"/>
      <w:szCs w:val="28"/>
    </w:rPr>
  </w:style>
  <w:style w:type="paragraph" w:styleId="Heading2">
    <w:name w:val="heading 2"/>
    <w:basedOn w:val="Normal"/>
    <w:next w:val="Normal"/>
    <w:link w:val="Heading2Char"/>
    <w:uiPriority w:val="9"/>
    <w:unhideWhenUsed/>
    <w:qFormat/>
    <w:rsid w:val="008A2287"/>
    <w:pPr>
      <w:spacing w:after="0" w:line="240" w:lineRule="auto"/>
      <w:outlineLvl w:val="1"/>
    </w:pPr>
    <w:rPr>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A20493"/>
    <w:rPr>
      <w:b/>
      <w:color w:val="1F4E79" w:themeColor="accent1" w:themeShade="80"/>
      <w:sz w:val="28"/>
      <w:szCs w:val="28"/>
    </w:rPr>
  </w:style>
  <w:style w:type="character" w:customStyle="1" w:styleId="Heading2Char">
    <w:name w:val="Heading 2 Char"/>
    <w:basedOn w:val="DefaultParagraphFont"/>
    <w:link w:val="Heading2"/>
    <w:uiPriority w:val="9"/>
    <w:rsid w:val="008A2287"/>
    <w:rPr>
      <w:i/>
      <w:sz w:val="26"/>
      <w:szCs w:val="24"/>
    </w:rPr>
  </w:style>
  <w:style w:type="paragraph" w:styleId="ListParagraph">
    <w:name w:val="List Paragraph"/>
    <w:basedOn w:val="Normal"/>
    <w:uiPriority w:val="34"/>
    <w:qFormat/>
    <w:rsid w:val="00C7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18447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7b7912407f80cb3d26b59eb5b2e84162">
  <xsd:schema xmlns:xsd="http://www.w3.org/2001/XMLSchema" xmlns:xs="http://www.w3.org/2001/XMLSchema" xmlns:p="http://schemas.microsoft.com/office/2006/metadata/properties" xmlns:ns3="87723afd-882f-4d2a-a77d-9bd4bb59c539" targetNamespace="http://schemas.microsoft.com/office/2006/metadata/properties" ma:root="true" ma:fieldsID="4f176232f9988a5798cdc78d5182796a"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ADBC4-D5A2-437F-94B5-BF32A94331C5}">
  <ds:schemaRef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87723afd-882f-4d2a-a77d-9bd4bb59c539"/>
    <ds:schemaRef ds:uri="http://purl.org/dc/term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3.xml><?xml version="1.0" encoding="utf-8"?>
<ds:datastoreItem xmlns:ds="http://schemas.openxmlformats.org/officeDocument/2006/customXml" ds:itemID="{B6B59475-86C6-4E30-B76D-5758A4D0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Farmworkers Advancement Program Technical Assistance and Developmental Evaluation Q&amp;A</dc:title>
  <dc:subject/>
  <dc:creator>EDD WSB</dc:creator>
  <cp:keywords>SFP, grant funding</cp:keywords>
  <dc:description/>
  <cp:lastModifiedBy>Richardson, Jeffrey@EDD</cp:lastModifiedBy>
  <cp:revision>6</cp:revision>
  <cp:lastPrinted>2017-06-15T19:41:00Z</cp:lastPrinted>
  <dcterms:created xsi:type="dcterms:W3CDTF">2024-03-27T21:25:00Z</dcterms:created>
  <dcterms:modified xsi:type="dcterms:W3CDTF">2024-03-28T15:29:00Z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