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2747" w14:textId="77777777" w:rsidR="00B811CA" w:rsidRDefault="00B811CA" w:rsidP="00263808">
      <w:pPr>
        <w:pStyle w:val="Header"/>
      </w:pPr>
      <w:r>
        <w:rPr>
          <w:noProof/>
        </w:rPr>
        <w:drawing>
          <wp:inline distT="0" distB="0" distL="0" distR="0" wp14:anchorId="6A4A96CD" wp14:editId="4A881542">
            <wp:extent cx="1753974" cy="638175"/>
            <wp:effectExtent l="0" t="0" r="0" b="0"/>
            <wp:docPr id="1384717117" name="Picture 1384717117" descr="EDD, Employment Development Department, State of California" title="Employment Development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995" cy="638910"/>
                    </a:xfrm>
                    <a:prstGeom prst="rect">
                      <a:avLst/>
                    </a:prstGeom>
                    <a:noFill/>
                  </pic:spPr>
                </pic:pic>
              </a:graphicData>
            </a:graphic>
          </wp:inline>
        </w:drawing>
      </w:r>
    </w:p>
    <w:p w14:paraId="038CB47A" w14:textId="77777777" w:rsidR="00B811CA" w:rsidRPr="00B811CA" w:rsidRDefault="00B811CA" w:rsidP="00B811CA">
      <w:pPr>
        <w:pStyle w:val="Heading1"/>
      </w:pPr>
      <w:r w:rsidRPr="00B811CA">
        <w:t>Opportunity Young Adult Career Pathway Program</w:t>
      </w:r>
    </w:p>
    <w:p w14:paraId="47F44C17" w14:textId="7485CB42" w:rsidR="00B811CA" w:rsidRPr="00B811CA" w:rsidRDefault="00B811CA" w:rsidP="00B811CA">
      <w:pPr>
        <w:pStyle w:val="Heading1"/>
      </w:pPr>
      <w:r w:rsidRPr="00B811CA">
        <w:t xml:space="preserve">Solicitation for Proposals Program Year 2023-24 </w:t>
      </w:r>
    </w:p>
    <w:p w14:paraId="0217E8CC" w14:textId="33E2FE1C" w:rsidR="00B811CA" w:rsidRPr="00111854" w:rsidRDefault="00B811CA" w:rsidP="00B811CA">
      <w:pPr>
        <w:pStyle w:val="Heading1"/>
      </w:pPr>
      <w:r w:rsidRPr="00B811CA">
        <w:t>Informational Webinar Questions and Answers</w:t>
      </w:r>
    </w:p>
    <w:p w14:paraId="7BFE30C4" w14:textId="77777777" w:rsidR="00B811CA" w:rsidRDefault="00B811CA" w:rsidP="009122B7">
      <w:pPr>
        <w:rPr>
          <w:b/>
          <w:szCs w:val="24"/>
        </w:rPr>
        <w:sectPr w:rsidR="00B811CA" w:rsidSect="00B811CA">
          <w:footerReference w:type="default" r:id="rId12"/>
          <w:headerReference w:type="first" r:id="rId13"/>
          <w:footerReference w:type="first" r:id="rId14"/>
          <w:pgSz w:w="12240" w:h="15840"/>
          <w:pgMar w:top="1008" w:right="1008" w:bottom="1008" w:left="1008" w:header="720" w:footer="720" w:gutter="0"/>
          <w:cols w:num="2" w:space="144" w:equalWidth="0">
            <w:col w:w="2928" w:space="144"/>
            <w:col w:w="7152"/>
          </w:cols>
          <w:titlePg/>
          <w:docGrid w:linePitch="360"/>
        </w:sectPr>
      </w:pPr>
    </w:p>
    <w:p w14:paraId="34BD931E" w14:textId="77777777" w:rsidR="003A6798" w:rsidRPr="006736D1" w:rsidRDefault="003A6798" w:rsidP="00B811CA">
      <w:pPr>
        <w:pBdr>
          <w:bottom w:val="single" w:sz="4" w:space="1" w:color="auto"/>
        </w:pBdr>
        <w:rPr>
          <w:b/>
          <w:szCs w:val="24"/>
        </w:rPr>
      </w:pPr>
    </w:p>
    <w:p w14:paraId="45C297A6" w14:textId="77777777" w:rsidR="00B811CA" w:rsidRDefault="00B811CA" w:rsidP="00B811CA"/>
    <w:p w14:paraId="0197E39B" w14:textId="203248F7" w:rsidR="004A492D" w:rsidRPr="00B811CA" w:rsidRDefault="003F6823" w:rsidP="00B811CA">
      <w:pPr>
        <w:pStyle w:val="ListParagraph"/>
        <w:numPr>
          <w:ilvl w:val="0"/>
          <w:numId w:val="25"/>
        </w:numPr>
        <w:rPr>
          <w:b/>
          <w:bCs/>
        </w:rPr>
      </w:pPr>
      <w:r w:rsidRPr="00B811CA">
        <w:rPr>
          <w:b/>
          <w:bCs/>
        </w:rPr>
        <w:t xml:space="preserve">Regarding </w:t>
      </w:r>
      <w:r w:rsidR="00881C5E" w:rsidRPr="00B811CA">
        <w:rPr>
          <w:b/>
          <w:bCs/>
        </w:rPr>
        <w:t>t</w:t>
      </w:r>
      <w:r w:rsidR="004A492D" w:rsidRPr="00B811CA">
        <w:rPr>
          <w:b/>
          <w:bCs/>
        </w:rPr>
        <w:t xml:space="preserve">arget </w:t>
      </w:r>
      <w:r w:rsidR="00881C5E" w:rsidRPr="00B811CA">
        <w:rPr>
          <w:b/>
          <w:bCs/>
        </w:rPr>
        <w:t>p</w:t>
      </w:r>
      <w:r w:rsidR="004A492D" w:rsidRPr="00B811CA">
        <w:rPr>
          <w:b/>
          <w:bCs/>
        </w:rPr>
        <w:t>opulations</w:t>
      </w:r>
      <w:r w:rsidRPr="00B811CA">
        <w:rPr>
          <w:b/>
          <w:bCs/>
        </w:rPr>
        <w:t>, can</w:t>
      </w:r>
      <w:r w:rsidR="004A492D" w:rsidRPr="00B811CA">
        <w:rPr>
          <w:b/>
          <w:bCs/>
        </w:rPr>
        <w:t xml:space="preserve"> applicants develop local definitions for specific terms not defined in </w:t>
      </w:r>
      <w:r w:rsidR="00881C5E" w:rsidRPr="00B811CA">
        <w:rPr>
          <w:b/>
          <w:bCs/>
          <w:i/>
          <w:iCs/>
        </w:rPr>
        <w:t>Workforce Innovation Opportunity Act</w:t>
      </w:r>
      <w:r w:rsidR="00881C5E" w:rsidRPr="00B811CA">
        <w:rPr>
          <w:b/>
          <w:bCs/>
        </w:rPr>
        <w:t xml:space="preserve"> (</w:t>
      </w:r>
      <w:r w:rsidR="004A492D" w:rsidRPr="00B811CA">
        <w:rPr>
          <w:b/>
          <w:bCs/>
        </w:rPr>
        <w:t>WIOA</w:t>
      </w:r>
      <w:r w:rsidR="00881C5E" w:rsidRPr="00B811CA">
        <w:rPr>
          <w:b/>
          <w:bCs/>
        </w:rPr>
        <w:t>)</w:t>
      </w:r>
      <w:r w:rsidR="004A492D" w:rsidRPr="00B811CA">
        <w:rPr>
          <w:b/>
          <w:bCs/>
        </w:rPr>
        <w:t xml:space="preserve"> Title I Adult eligibility guidance</w:t>
      </w:r>
      <w:r w:rsidR="00B811CA" w:rsidRPr="00B811CA">
        <w:rPr>
          <w:b/>
          <w:bCs/>
        </w:rPr>
        <w:t>,</w:t>
      </w:r>
      <w:r w:rsidRPr="00B811CA">
        <w:rPr>
          <w:b/>
          <w:bCs/>
        </w:rPr>
        <w:t xml:space="preserve"> such as</w:t>
      </w:r>
      <w:r w:rsidR="002F1659">
        <w:rPr>
          <w:b/>
          <w:bCs/>
        </w:rPr>
        <w:t xml:space="preserve"> the following</w:t>
      </w:r>
      <w:r w:rsidR="00B811CA" w:rsidRPr="00B811CA">
        <w:rPr>
          <w:b/>
          <w:bCs/>
        </w:rPr>
        <w:t>:</w:t>
      </w:r>
    </w:p>
    <w:p w14:paraId="3B037438" w14:textId="77777777" w:rsidR="004A492D" w:rsidRPr="00152BBA" w:rsidRDefault="004A492D" w:rsidP="00B811CA"/>
    <w:p w14:paraId="0E8E6A0E" w14:textId="77777777" w:rsidR="004A492D" w:rsidRPr="00B811CA" w:rsidRDefault="004A492D" w:rsidP="00B811CA">
      <w:pPr>
        <w:pStyle w:val="ListParagraph"/>
        <w:numPr>
          <w:ilvl w:val="0"/>
          <w:numId w:val="26"/>
        </w:numPr>
        <w:rPr>
          <w:b/>
          <w:bCs/>
        </w:rPr>
      </w:pPr>
      <w:r w:rsidRPr="00B811CA">
        <w:rPr>
          <w:b/>
          <w:bCs/>
        </w:rPr>
        <w:t xml:space="preserve">Female (the anatomical classification or the gender identity) </w:t>
      </w:r>
    </w:p>
    <w:p w14:paraId="088754A2" w14:textId="77777777" w:rsidR="004A492D" w:rsidRPr="00B811CA" w:rsidRDefault="004A492D" w:rsidP="00B811CA">
      <w:pPr>
        <w:pStyle w:val="ListParagraph"/>
        <w:numPr>
          <w:ilvl w:val="0"/>
          <w:numId w:val="26"/>
        </w:numPr>
        <w:rPr>
          <w:b/>
          <w:bCs/>
        </w:rPr>
      </w:pPr>
      <w:r w:rsidRPr="00B811CA">
        <w:rPr>
          <w:b/>
          <w:bCs/>
        </w:rPr>
        <w:t>Service sector job</w:t>
      </w:r>
    </w:p>
    <w:p w14:paraId="4AC69182" w14:textId="77777777" w:rsidR="004A492D" w:rsidRPr="00B811CA" w:rsidRDefault="004A492D" w:rsidP="00B811CA">
      <w:pPr>
        <w:pStyle w:val="ListParagraph"/>
        <w:numPr>
          <w:ilvl w:val="0"/>
          <w:numId w:val="26"/>
        </w:numPr>
        <w:rPr>
          <w:b/>
          <w:bCs/>
        </w:rPr>
      </w:pPr>
      <w:r w:rsidRPr="00B811CA">
        <w:rPr>
          <w:b/>
          <w:bCs/>
        </w:rPr>
        <w:t>Persistent unemployment</w:t>
      </w:r>
    </w:p>
    <w:p w14:paraId="3EC90D15" w14:textId="77777777" w:rsidR="004A492D" w:rsidRPr="00B811CA" w:rsidRDefault="004A492D" w:rsidP="00B811CA">
      <w:pPr>
        <w:pStyle w:val="ListParagraph"/>
        <w:numPr>
          <w:ilvl w:val="0"/>
          <w:numId w:val="26"/>
        </w:numPr>
        <w:rPr>
          <w:b/>
          <w:bCs/>
        </w:rPr>
      </w:pPr>
      <w:r w:rsidRPr="00B811CA">
        <w:rPr>
          <w:b/>
          <w:bCs/>
        </w:rPr>
        <w:t>Teen parent</w:t>
      </w:r>
    </w:p>
    <w:p w14:paraId="4207A4D6" w14:textId="0B71CDDF" w:rsidR="004A492D" w:rsidRPr="00B811CA" w:rsidRDefault="004A492D" w:rsidP="00B811CA">
      <w:pPr>
        <w:pStyle w:val="ListParagraph"/>
        <w:numPr>
          <w:ilvl w:val="0"/>
          <w:numId w:val="26"/>
        </w:numPr>
        <w:rPr>
          <w:b/>
          <w:bCs/>
        </w:rPr>
      </w:pPr>
      <w:r w:rsidRPr="00B811CA">
        <w:rPr>
          <w:b/>
          <w:bCs/>
        </w:rPr>
        <w:t>Low parental earning</w:t>
      </w:r>
      <w:r w:rsidR="00A16BAD" w:rsidRPr="00B811CA">
        <w:rPr>
          <w:b/>
          <w:bCs/>
        </w:rPr>
        <w:t>s</w:t>
      </w:r>
      <w:r w:rsidRPr="00B811CA">
        <w:rPr>
          <w:b/>
          <w:bCs/>
        </w:rPr>
        <w:t xml:space="preserve"> and wealth</w:t>
      </w:r>
    </w:p>
    <w:p w14:paraId="35778AB5" w14:textId="77777777" w:rsidR="003F6823" w:rsidRDefault="003F6823" w:rsidP="00563827"/>
    <w:p w14:paraId="05DFA506" w14:textId="3841B2D2" w:rsidR="0005375A" w:rsidRPr="004A492D" w:rsidRDefault="004A492D" w:rsidP="00563827">
      <w:pPr>
        <w:ind w:left="360"/>
      </w:pPr>
      <w:bookmarkStart w:id="0" w:name="_Hlk155877909"/>
      <w:r w:rsidRPr="004A492D">
        <w:t xml:space="preserve">Projects may develop local definitions for terms not defined in WIOA Title I, state </w:t>
      </w:r>
      <w:r w:rsidR="002F1659">
        <w:t>D</w:t>
      </w:r>
      <w:r w:rsidRPr="004A492D">
        <w:t xml:space="preserve">irectives, </w:t>
      </w:r>
      <w:r w:rsidR="00A16BAD">
        <w:t xml:space="preserve">the </w:t>
      </w:r>
      <w:r w:rsidRPr="004A492D">
        <w:t>state plan, and/or the S</w:t>
      </w:r>
      <w:r w:rsidR="002F1659">
        <w:t xml:space="preserve">olicitation for </w:t>
      </w:r>
      <w:r w:rsidRPr="004A492D">
        <w:t>P</w:t>
      </w:r>
      <w:r w:rsidR="002F1659">
        <w:t>roposals (SFP)</w:t>
      </w:r>
      <w:r w:rsidRPr="004A492D">
        <w:t xml:space="preserve">. </w:t>
      </w:r>
      <w:r w:rsidR="0005375A">
        <w:t xml:space="preserve">For additional information, see </w:t>
      </w:r>
      <w:r w:rsidR="001326B5">
        <w:t xml:space="preserve">Section II of the SFP, Project Overview. </w:t>
      </w:r>
    </w:p>
    <w:bookmarkEnd w:id="0"/>
    <w:p w14:paraId="7E8C9BBC" w14:textId="77777777" w:rsidR="004A492D" w:rsidRPr="00152BBA" w:rsidRDefault="004A492D" w:rsidP="00B811CA"/>
    <w:p w14:paraId="733F80D1" w14:textId="0EB9D327" w:rsidR="004A492D" w:rsidRPr="00563827" w:rsidRDefault="004A492D" w:rsidP="00563827">
      <w:pPr>
        <w:pStyle w:val="ListParagraph"/>
        <w:numPr>
          <w:ilvl w:val="0"/>
          <w:numId w:val="25"/>
        </w:numPr>
        <w:rPr>
          <w:b/>
          <w:bCs/>
        </w:rPr>
      </w:pPr>
      <w:r w:rsidRPr="00563827">
        <w:rPr>
          <w:b/>
          <w:bCs/>
        </w:rPr>
        <w:t xml:space="preserve">Is there a preference for </w:t>
      </w:r>
      <w:r w:rsidR="00A16BAD" w:rsidRPr="00563827">
        <w:rPr>
          <w:b/>
          <w:bCs/>
        </w:rPr>
        <w:t xml:space="preserve">a </w:t>
      </w:r>
      <w:r w:rsidRPr="00563827">
        <w:rPr>
          <w:b/>
          <w:bCs/>
        </w:rPr>
        <w:t xml:space="preserve">greater volume of program participants or </w:t>
      </w:r>
      <w:r w:rsidR="00A16BAD" w:rsidRPr="00563827">
        <w:rPr>
          <w:b/>
          <w:bCs/>
        </w:rPr>
        <w:t xml:space="preserve">a </w:t>
      </w:r>
      <w:r w:rsidRPr="00563827">
        <w:rPr>
          <w:b/>
          <w:bCs/>
        </w:rPr>
        <w:t>greater quality of experience</w:t>
      </w:r>
      <w:r w:rsidR="003F6823" w:rsidRPr="00563827">
        <w:rPr>
          <w:b/>
          <w:bCs/>
        </w:rPr>
        <w:t>?</w:t>
      </w:r>
    </w:p>
    <w:p w14:paraId="663DC623" w14:textId="77777777" w:rsidR="004A492D" w:rsidRPr="00152BBA" w:rsidRDefault="004A492D" w:rsidP="00B811CA">
      <w:pPr>
        <w:rPr>
          <w:highlight w:val="yellow"/>
        </w:rPr>
      </w:pPr>
    </w:p>
    <w:p w14:paraId="6AE7226D" w14:textId="4B75F7C8" w:rsidR="004A492D" w:rsidRDefault="004A492D" w:rsidP="002F1659">
      <w:pPr>
        <w:ind w:left="360"/>
      </w:pPr>
      <w:r w:rsidRPr="004A492D">
        <w:t xml:space="preserve">Projects will be evaluated on their proposed project design and evidence-based practices. Proposed projects must demonstrate how they will meet the defined goals and direct existing resources in new, more effective ways of serving the target population. For additional information, see Section </w:t>
      </w:r>
      <w:r w:rsidR="0005375A">
        <w:t xml:space="preserve">III </w:t>
      </w:r>
      <w:r w:rsidR="003F6823">
        <w:t>of the SFP</w:t>
      </w:r>
      <w:r w:rsidRPr="004A492D">
        <w:t>, Project Design.</w:t>
      </w:r>
    </w:p>
    <w:p w14:paraId="39E7E84C" w14:textId="77777777" w:rsidR="001754C9" w:rsidRPr="00152BBA" w:rsidRDefault="001754C9" w:rsidP="00B811CA">
      <w:pPr>
        <w:rPr>
          <w:highlight w:val="yellow"/>
        </w:rPr>
      </w:pPr>
    </w:p>
    <w:p w14:paraId="40209726" w14:textId="3C8F0A40" w:rsidR="004A492D" w:rsidRPr="00563827" w:rsidRDefault="004A492D" w:rsidP="00563827">
      <w:pPr>
        <w:pStyle w:val="ListParagraph"/>
        <w:numPr>
          <w:ilvl w:val="0"/>
          <w:numId w:val="25"/>
        </w:numPr>
        <w:rPr>
          <w:b/>
          <w:bCs/>
        </w:rPr>
      </w:pPr>
      <w:r w:rsidRPr="00563827">
        <w:rPr>
          <w:b/>
          <w:bCs/>
        </w:rPr>
        <w:t xml:space="preserve">Is there a limit to the amount per person that could be allocated to training or certification programming? </w:t>
      </w:r>
    </w:p>
    <w:p w14:paraId="3D5367D8" w14:textId="77777777" w:rsidR="004A492D" w:rsidRPr="00152BBA" w:rsidRDefault="004A492D" w:rsidP="00B811CA">
      <w:pPr>
        <w:rPr>
          <w:highlight w:val="yellow"/>
        </w:rPr>
      </w:pPr>
    </w:p>
    <w:p w14:paraId="33C8B1FC" w14:textId="4DBBA635" w:rsidR="0005375A" w:rsidRPr="00563827" w:rsidRDefault="009D35D7" w:rsidP="00563827">
      <w:pPr>
        <w:ind w:left="360"/>
      </w:pPr>
      <w:r>
        <w:t>T</w:t>
      </w:r>
      <w:r w:rsidRPr="004A492D">
        <w:t>o ensure equitable distribution of grant funds and maximize the program's impact, a funding cap of $15,000 per participant is highly encouraged.</w:t>
      </w:r>
      <w:r>
        <w:t xml:space="preserve"> However, it is up to the applicant to provide a rationale for the cost per participant</w:t>
      </w:r>
      <w:r w:rsidR="00A16BAD">
        <w:t>,</w:t>
      </w:r>
      <w:r>
        <w:t xml:space="preserve"> as it may vary based on geographic location, target population, service type</w:t>
      </w:r>
      <w:r w:rsidR="00A16BAD">
        <w:t>,</w:t>
      </w:r>
      <w:r>
        <w:t xml:space="preserve"> and intensity.</w:t>
      </w:r>
      <w:r w:rsidR="00563827">
        <w:t xml:space="preserve"> </w:t>
      </w:r>
      <w:r w:rsidR="0005375A">
        <w:t xml:space="preserve">For additional information, see Section V of the SFP, Funding Request. </w:t>
      </w:r>
    </w:p>
    <w:p w14:paraId="419993AD" w14:textId="77777777" w:rsidR="004A492D" w:rsidRPr="00152BBA" w:rsidRDefault="004A492D" w:rsidP="00B811CA">
      <w:pPr>
        <w:rPr>
          <w:highlight w:val="yellow"/>
        </w:rPr>
      </w:pPr>
    </w:p>
    <w:p w14:paraId="3BC32811" w14:textId="39E822B9" w:rsidR="004A492D" w:rsidRPr="00563827" w:rsidRDefault="006C2F33" w:rsidP="00563827">
      <w:pPr>
        <w:pStyle w:val="ListParagraph"/>
        <w:numPr>
          <w:ilvl w:val="0"/>
          <w:numId w:val="25"/>
        </w:numPr>
        <w:rPr>
          <w:b/>
          <w:bCs/>
        </w:rPr>
      </w:pPr>
      <w:r w:rsidRPr="00563827">
        <w:rPr>
          <w:b/>
          <w:bCs/>
        </w:rPr>
        <w:t>If an organization h</w:t>
      </w:r>
      <w:r w:rsidR="004A492D" w:rsidRPr="00563827">
        <w:rPr>
          <w:b/>
          <w:bCs/>
        </w:rPr>
        <w:t>ost</w:t>
      </w:r>
      <w:r w:rsidR="00A16BAD" w:rsidRPr="00563827">
        <w:rPr>
          <w:b/>
          <w:bCs/>
        </w:rPr>
        <w:t>s</w:t>
      </w:r>
      <w:r w:rsidR="004A492D" w:rsidRPr="00563827">
        <w:rPr>
          <w:b/>
          <w:bCs/>
        </w:rPr>
        <w:t xml:space="preserve"> </w:t>
      </w:r>
      <w:r w:rsidRPr="00563827">
        <w:rPr>
          <w:b/>
          <w:bCs/>
        </w:rPr>
        <w:t xml:space="preserve">a </w:t>
      </w:r>
      <w:r w:rsidR="004A492D" w:rsidRPr="00563827">
        <w:rPr>
          <w:b/>
          <w:bCs/>
        </w:rPr>
        <w:t xml:space="preserve">youth leadership program during </w:t>
      </w:r>
      <w:r w:rsidRPr="00563827">
        <w:rPr>
          <w:b/>
          <w:bCs/>
        </w:rPr>
        <w:t>the summer, w</w:t>
      </w:r>
      <w:r w:rsidR="004A492D" w:rsidRPr="00563827">
        <w:rPr>
          <w:b/>
          <w:bCs/>
        </w:rPr>
        <w:t xml:space="preserve">ould this project be eligible if it takes place in partnership with and on a tribal reservation?  </w:t>
      </w:r>
    </w:p>
    <w:p w14:paraId="48E4F44F" w14:textId="77777777" w:rsidR="004A492D" w:rsidRPr="00152BBA" w:rsidRDefault="004A492D" w:rsidP="00B811CA">
      <w:pPr>
        <w:rPr>
          <w:highlight w:val="yellow"/>
        </w:rPr>
      </w:pPr>
    </w:p>
    <w:p w14:paraId="127D5644" w14:textId="31C29C96" w:rsidR="004A492D" w:rsidRDefault="00A16BAD" w:rsidP="00563827">
      <w:pPr>
        <w:ind w:left="360"/>
      </w:pPr>
      <w:r>
        <w:t>A partnership with a tribal reservation will not influence the project's eligibility</w:t>
      </w:r>
      <w:r w:rsidR="001148DB">
        <w:t>. However, the project</w:t>
      </w:r>
      <w:r w:rsidR="004A492D" w:rsidRPr="004A492D">
        <w:t xml:space="preserve"> must be responsive to the Project Design</w:t>
      </w:r>
      <w:r w:rsidR="0005375A">
        <w:t xml:space="preserve"> guidelines</w:t>
      </w:r>
      <w:r w:rsidR="004A492D" w:rsidRPr="004A492D">
        <w:t xml:space="preserve">. </w:t>
      </w:r>
      <w:r w:rsidR="001148DB">
        <w:t>For additional information, s</w:t>
      </w:r>
      <w:r w:rsidR="004A492D" w:rsidRPr="004A492D">
        <w:t>ee Section III</w:t>
      </w:r>
      <w:r w:rsidR="009D35D7">
        <w:t xml:space="preserve"> </w:t>
      </w:r>
      <w:r w:rsidR="003F6823">
        <w:t>of the SFP</w:t>
      </w:r>
      <w:r w:rsidR="004A492D" w:rsidRPr="004A492D">
        <w:t>, Project Design</w:t>
      </w:r>
      <w:r w:rsidR="001148DB">
        <w:t>.</w:t>
      </w:r>
    </w:p>
    <w:p w14:paraId="6AE97BC5" w14:textId="77777777" w:rsidR="00DF17C1" w:rsidRDefault="00DF17C1" w:rsidP="00B811CA"/>
    <w:p w14:paraId="5F83DB00" w14:textId="77777777" w:rsidR="00DF17C1" w:rsidRDefault="00DF17C1" w:rsidP="00B811CA">
      <w:pPr>
        <w:rPr>
          <w:highlight w:val="yellow"/>
        </w:rPr>
      </w:pPr>
    </w:p>
    <w:p w14:paraId="1677046D" w14:textId="77777777" w:rsidR="006C2F33" w:rsidRPr="00152BBA" w:rsidRDefault="006C2F33" w:rsidP="00B811CA">
      <w:pPr>
        <w:rPr>
          <w:highlight w:val="yellow"/>
        </w:rPr>
      </w:pPr>
    </w:p>
    <w:p w14:paraId="6D6320D4" w14:textId="77777777" w:rsidR="004A492D" w:rsidRPr="00152BBA" w:rsidRDefault="004A492D" w:rsidP="00B811CA">
      <w:pPr>
        <w:rPr>
          <w:highlight w:val="yellow"/>
        </w:rPr>
      </w:pPr>
    </w:p>
    <w:p w14:paraId="0EEF52B7" w14:textId="5F148149" w:rsidR="004A492D" w:rsidRPr="00563827" w:rsidRDefault="004A492D" w:rsidP="00563827">
      <w:pPr>
        <w:pStyle w:val="ListParagraph"/>
        <w:numPr>
          <w:ilvl w:val="0"/>
          <w:numId w:val="25"/>
        </w:numPr>
        <w:rPr>
          <w:b/>
          <w:bCs/>
        </w:rPr>
      </w:pPr>
      <w:r w:rsidRPr="00563827">
        <w:rPr>
          <w:b/>
          <w:bCs/>
        </w:rPr>
        <w:t>Are there any funding requirement ratios</w:t>
      </w:r>
      <w:r w:rsidR="006C2F33" w:rsidRPr="00563827">
        <w:rPr>
          <w:b/>
          <w:bCs/>
        </w:rPr>
        <w:t xml:space="preserve">, </w:t>
      </w:r>
      <w:r w:rsidR="00A16BAD" w:rsidRPr="00563827">
        <w:rPr>
          <w:b/>
          <w:bCs/>
        </w:rPr>
        <w:t>such as indirect cost capped at 10 percent, program participant salaries capped at a minimum of 50 percent, or wrap-around services capped at</w:t>
      </w:r>
      <w:r w:rsidR="006C2F33" w:rsidRPr="00563827">
        <w:rPr>
          <w:b/>
          <w:bCs/>
        </w:rPr>
        <w:t xml:space="preserve"> 40 percent of the total funding</w:t>
      </w:r>
      <w:r w:rsidRPr="00563827">
        <w:rPr>
          <w:b/>
          <w:bCs/>
        </w:rPr>
        <w:t xml:space="preserve">? </w:t>
      </w:r>
    </w:p>
    <w:p w14:paraId="0E44E6F6" w14:textId="77777777" w:rsidR="004A492D" w:rsidRPr="00152BBA" w:rsidRDefault="004A492D" w:rsidP="00B811CA">
      <w:pPr>
        <w:rPr>
          <w:highlight w:val="yellow"/>
        </w:rPr>
      </w:pPr>
    </w:p>
    <w:p w14:paraId="3DF7D6E9" w14:textId="19397DA9" w:rsidR="00DF17C1" w:rsidRDefault="004A492D" w:rsidP="00563827">
      <w:pPr>
        <w:ind w:left="360"/>
      </w:pPr>
      <w:r>
        <w:t>No, applicant</w:t>
      </w:r>
      <w:r w:rsidR="008B314A">
        <w:t>s</w:t>
      </w:r>
      <w:r>
        <w:t xml:space="preserve"> must provide </w:t>
      </w:r>
      <w:r w:rsidR="00A16BAD">
        <w:t xml:space="preserve">a </w:t>
      </w:r>
      <w:r>
        <w:t xml:space="preserve">rationale for </w:t>
      </w:r>
      <w:r w:rsidR="008B314A">
        <w:t xml:space="preserve">their </w:t>
      </w:r>
      <w:r>
        <w:t>budget allocations in the budget narrative.</w:t>
      </w:r>
    </w:p>
    <w:p w14:paraId="7BFF3812" w14:textId="1A4FDB16" w:rsidR="0005375A" w:rsidRPr="004A492D" w:rsidRDefault="0005375A" w:rsidP="00563827">
      <w:pPr>
        <w:ind w:left="360"/>
      </w:pPr>
      <w:r>
        <w:t xml:space="preserve">For additional information, see </w:t>
      </w:r>
      <w:r w:rsidR="001326B5">
        <w:t>SFP Exhibit F2, Budget Narrative.</w:t>
      </w:r>
    </w:p>
    <w:p w14:paraId="0674939D" w14:textId="77777777" w:rsidR="004A492D" w:rsidRDefault="004A492D" w:rsidP="00B811CA">
      <w:pPr>
        <w:rPr>
          <w:highlight w:val="yellow"/>
        </w:rPr>
      </w:pPr>
    </w:p>
    <w:p w14:paraId="414FAD46" w14:textId="7176D66A" w:rsidR="004A492D" w:rsidRPr="00563827" w:rsidRDefault="006C2F33" w:rsidP="00563827">
      <w:pPr>
        <w:pStyle w:val="ListParagraph"/>
        <w:numPr>
          <w:ilvl w:val="0"/>
          <w:numId w:val="25"/>
        </w:numPr>
        <w:rPr>
          <w:b/>
          <w:bCs/>
        </w:rPr>
      </w:pPr>
      <w:r w:rsidRPr="00563827">
        <w:rPr>
          <w:b/>
          <w:bCs/>
        </w:rPr>
        <w:t>If an organization has</w:t>
      </w:r>
      <w:r w:rsidR="004A492D" w:rsidRPr="00563827">
        <w:rPr>
          <w:b/>
          <w:bCs/>
        </w:rPr>
        <w:t xml:space="preserve"> multiple program tracks</w:t>
      </w:r>
      <w:r w:rsidR="00A16BAD" w:rsidRPr="00563827">
        <w:rPr>
          <w:b/>
          <w:bCs/>
        </w:rPr>
        <w:t>,</w:t>
      </w:r>
      <w:r w:rsidR="004A492D" w:rsidRPr="00563827">
        <w:rPr>
          <w:b/>
          <w:bCs/>
        </w:rPr>
        <w:t xml:space="preserve"> including energy efficiency, urban agriculture, water conservation, and design and construction</w:t>
      </w:r>
      <w:r w:rsidRPr="00563827">
        <w:rPr>
          <w:b/>
          <w:bCs/>
        </w:rPr>
        <w:t>, is</w:t>
      </w:r>
      <w:r w:rsidR="004A492D" w:rsidRPr="00563827">
        <w:rPr>
          <w:b/>
          <w:bCs/>
        </w:rPr>
        <w:t xml:space="preserve"> there any benefit for</w:t>
      </w:r>
      <w:r w:rsidR="00D85E00" w:rsidRPr="00563827">
        <w:rPr>
          <w:b/>
          <w:bCs/>
        </w:rPr>
        <w:t xml:space="preserve"> focusing on a wi</w:t>
      </w:r>
      <w:r w:rsidR="004A492D" w:rsidRPr="00563827">
        <w:rPr>
          <w:b/>
          <w:bCs/>
        </w:rPr>
        <w:t>de range of potential program</w:t>
      </w:r>
      <w:r w:rsidR="00D85E00" w:rsidRPr="00563827">
        <w:rPr>
          <w:b/>
          <w:bCs/>
        </w:rPr>
        <w:t xml:space="preserve"> subjects </w:t>
      </w:r>
      <w:r w:rsidR="004A492D" w:rsidRPr="00563827">
        <w:rPr>
          <w:b/>
          <w:bCs/>
        </w:rPr>
        <w:t xml:space="preserve">rather than </w:t>
      </w:r>
      <w:r w:rsidR="00D85E00" w:rsidRPr="00563827">
        <w:rPr>
          <w:b/>
          <w:bCs/>
        </w:rPr>
        <w:t>one</w:t>
      </w:r>
      <w:r w:rsidR="004A492D" w:rsidRPr="00563827">
        <w:rPr>
          <w:b/>
          <w:bCs/>
        </w:rPr>
        <w:t>?</w:t>
      </w:r>
    </w:p>
    <w:p w14:paraId="28B73BF6" w14:textId="77777777" w:rsidR="004A492D" w:rsidRPr="00152BBA" w:rsidRDefault="004A492D" w:rsidP="00B811CA">
      <w:pPr>
        <w:rPr>
          <w:highlight w:val="yellow"/>
        </w:rPr>
      </w:pPr>
    </w:p>
    <w:p w14:paraId="4CE46DAC" w14:textId="74355D88" w:rsidR="0005375A" w:rsidRPr="00563827" w:rsidRDefault="004A492D" w:rsidP="00563827">
      <w:pPr>
        <w:ind w:left="360"/>
      </w:pPr>
      <w:r w:rsidRPr="004A492D">
        <w:t>Applicants are encouraged to explore project designs that focus on providing training for good-quality jobs in</w:t>
      </w:r>
      <w:r w:rsidR="00D85E00">
        <w:t xml:space="preserve"> single or multiple</w:t>
      </w:r>
      <w:r w:rsidRPr="004A492D">
        <w:t xml:space="preserve"> in-demand industry sector</w:t>
      </w:r>
      <w:r w:rsidR="00D85E00">
        <w:t>(</w:t>
      </w:r>
      <w:r w:rsidRPr="004A492D">
        <w:t>s</w:t>
      </w:r>
      <w:r w:rsidR="00D85E00">
        <w:t xml:space="preserve">) </w:t>
      </w:r>
      <w:r w:rsidRPr="004A492D">
        <w:t>through innovation</w:t>
      </w:r>
      <w:r w:rsidR="00D85E00">
        <w:t>.</w:t>
      </w:r>
      <w:r w:rsidR="00563827">
        <w:t xml:space="preserve"> </w:t>
      </w:r>
      <w:r w:rsidR="0005375A">
        <w:t>For additional information, see</w:t>
      </w:r>
      <w:r w:rsidR="009D35D7">
        <w:t xml:space="preserve"> Section III of the SFP, Project Design. </w:t>
      </w:r>
    </w:p>
    <w:p w14:paraId="1BAFEAFF" w14:textId="77777777" w:rsidR="004A492D" w:rsidRPr="00152BBA" w:rsidRDefault="004A492D" w:rsidP="00B811CA">
      <w:pPr>
        <w:rPr>
          <w:highlight w:val="yellow"/>
        </w:rPr>
      </w:pPr>
    </w:p>
    <w:p w14:paraId="46D6F494" w14:textId="5FCD6EFA" w:rsidR="004A492D" w:rsidRPr="00563827" w:rsidRDefault="004A492D" w:rsidP="00563827">
      <w:pPr>
        <w:pStyle w:val="ListParagraph"/>
        <w:numPr>
          <w:ilvl w:val="0"/>
          <w:numId w:val="25"/>
        </w:numPr>
        <w:rPr>
          <w:b/>
          <w:bCs/>
        </w:rPr>
      </w:pPr>
      <w:r w:rsidRPr="00563827">
        <w:rPr>
          <w:b/>
          <w:bCs/>
        </w:rPr>
        <w:t>Will the webinar be recorded</w:t>
      </w:r>
      <w:r w:rsidR="00A16BAD" w:rsidRPr="00563827">
        <w:rPr>
          <w:b/>
          <w:bCs/>
        </w:rPr>
        <w:t xml:space="preserve"> and</w:t>
      </w:r>
      <w:r w:rsidRPr="00563827">
        <w:rPr>
          <w:b/>
          <w:bCs/>
        </w:rPr>
        <w:t xml:space="preserve"> available before the January 19</w:t>
      </w:r>
      <w:r w:rsidR="00251F22" w:rsidRPr="00563827">
        <w:rPr>
          <w:b/>
          <w:bCs/>
        </w:rPr>
        <w:t xml:space="preserve">, </w:t>
      </w:r>
      <w:r w:rsidR="00A16BAD" w:rsidRPr="00563827">
        <w:rPr>
          <w:b/>
          <w:bCs/>
        </w:rPr>
        <w:t>2024,</w:t>
      </w:r>
      <w:r w:rsidRPr="00563827">
        <w:rPr>
          <w:b/>
          <w:bCs/>
        </w:rPr>
        <w:t xml:space="preserve"> Notice of Intent </w:t>
      </w:r>
      <w:r w:rsidR="00070A13" w:rsidRPr="00563827">
        <w:rPr>
          <w:b/>
          <w:bCs/>
        </w:rPr>
        <w:t xml:space="preserve">(NOI) </w:t>
      </w:r>
      <w:r w:rsidRPr="00563827">
        <w:rPr>
          <w:b/>
          <w:bCs/>
        </w:rPr>
        <w:t xml:space="preserve">to apply deadline? </w:t>
      </w:r>
    </w:p>
    <w:p w14:paraId="3F71B798" w14:textId="77777777" w:rsidR="004A492D" w:rsidRPr="00AE385B" w:rsidRDefault="004A492D" w:rsidP="00B811CA"/>
    <w:p w14:paraId="3E5C7790" w14:textId="646A01CA" w:rsidR="0005375A" w:rsidRDefault="004A492D" w:rsidP="00563827">
      <w:pPr>
        <w:ind w:left="360"/>
      </w:pPr>
      <w:r>
        <w:t xml:space="preserve">Unfortunately, </w:t>
      </w:r>
      <w:r w:rsidR="00F60093">
        <w:t xml:space="preserve">the EDD did not record the </w:t>
      </w:r>
      <w:r>
        <w:t>webinar</w:t>
      </w:r>
      <w:r w:rsidR="00A16BAD">
        <w:t>;</w:t>
      </w:r>
      <w:r w:rsidR="00D85E00">
        <w:t xml:space="preserve"> however</w:t>
      </w:r>
      <w:r w:rsidR="00A16BAD">
        <w:t>,</w:t>
      </w:r>
      <w:r w:rsidR="00D85E00">
        <w:t xml:space="preserve"> a </w:t>
      </w:r>
      <w:r w:rsidR="00F60093">
        <w:t>summary</w:t>
      </w:r>
      <w:r w:rsidR="00D85E00">
        <w:t xml:space="preserve"> was provided to all registered attendees</w:t>
      </w:r>
      <w:r w:rsidR="00F60093">
        <w:t xml:space="preserve"> following the webinar.</w:t>
      </w:r>
      <w:r w:rsidR="00563827">
        <w:t xml:space="preserve"> </w:t>
      </w:r>
      <w:r w:rsidR="0005375A">
        <w:t>For additional information, see</w:t>
      </w:r>
      <w:r w:rsidR="009D35D7">
        <w:t xml:space="preserve"> Section IV of the SFP, Submission. </w:t>
      </w:r>
    </w:p>
    <w:p w14:paraId="0D6CE715" w14:textId="77777777" w:rsidR="004A492D" w:rsidRPr="00152BBA" w:rsidRDefault="004A492D" w:rsidP="00B811CA"/>
    <w:p w14:paraId="25E9CE12" w14:textId="7B0625F1" w:rsidR="004A492D" w:rsidRPr="00563827" w:rsidRDefault="00A01043" w:rsidP="00563827">
      <w:pPr>
        <w:pStyle w:val="ListParagraph"/>
        <w:numPr>
          <w:ilvl w:val="0"/>
          <w:numId w:val="25"/>
        </w:numPr>
        <w:rPr>
          <w:b/>
          <w:bCs/>
        </w:rPr>
      </w:pPr>
      <w:r w:rsidRPr="00563827">
        <w:rPr>
          <w:b/>
          <w:bCs/>
        </w:rPr>
        <w:t xml:space="preserve">If an applicant </w:t>
      </w:r>
      <w:r w:rsidR="004A492D" w:rsidRPr="00563827">
        <w:rPr>
          <w:b/>
          <w:bCs/>
        </w:rPr>
        <w:t>ha</w:t>
      </w:r>
      <w:r w:rsidR="00DF17C1" w:rsidRPr="00563827">
        <w:rPr>
          <w:b/>
          <w:bCs/>
        </w:rPr>
        <w:t>s</w:t>
      </w:r>
      <w:r w:rsidR="004A492D" w:rsidRPr="00563827">
        <w:rPr>
          <w:b/>
          <w:bCs/>
        </w:rPr>
        <w:t xml:space="preserve"> multiple offices throughout </w:t>
      </w:r>
      <w:r w:rsidR="00A16BAD" w:rsidRPr="00563827">
        <w:rPr>
          <w:b/>
          <w:bCs/>
        </w:rPr>
        <w:t>California,</w:t>
      </w:r>
      <w:r w:rsidR="004A492D" w:rsidRPr="00563827">
        <w:rPr>
          <w:b/>
          <w:bCs/>
        </w:rPr>
        <w:t xml:space="preserve"> are </w:t>
      </w:r>
      <w:r w:rsidRPr="00563827">
        <w:rPr>
          <w:b/>
          <w:bCs/>
        </w:rPr>
        <w:t xml:space="preserve">they </w:t>
      </w:r>
      <w:r w:rsidR="004A492D" w:rsidRPr="00563827">
        <w:rPr>
          <w:b/>
          <w:bCs/>
        </w:rPr>
        <w:t xml:space="preserve">allowed to submit a proposal that will take place in </w:t>
      </w:r>
      <w:r w:rsidR="00A16BAD" w:rsidRPr="00563827">
        <w:rPr>
          <w:b/>
          <w:bCs/>
        </w:rPr>
        <w:t>numerous</w:t>
      </w:r>
      <w:r w:rsidR="004A492D" w:rsidRPr="00563827">
        <w:rPr>
          <w:b/>
          <w:bCs/>
        </w:rPr>
        <w:t xml:space="preserve"> regions? </w:t>
      </w:r>
    </w:p>
    <w:p w14:paraId="15936048" w14:textId="77777777" w:rsidR="004A492D" w:rsidRPr="00152BBA" w:rsidRDefault="004A492D" w:rsidP="00B811CA"/>
    <w:p w14:paraId="258CD98C" w14:textId="355BA6F0" w:rsidR="0005375A" w:rsidRDefault="004A492D" w:rsidP="00563827">
      <w:pPr>
        <w:ind w:left="360"/>
      </w:pPr>
      <w:r w:rsidRPr="00152BBA">
        <w:t xml:space="preserve">Yes, they </w:t>
      </w:r>
      <w:r w:rsidR="00A16BAD">
        <w:t>can</w:t>
      </w:r>
      <w:r w:rsidRPr="00152BBA">
        <w:t xml:space="preserve"> submit a proposal that will serve multiple regions.</w:t>
      </w:r>
      <w:r w:rsidR="00563827">
        <w:t xml:space="preserve"> </w:t>
      </w:r>
      <w:r w:rsidR="0005375A">
        <w:t>For additional information, see</w:t>
      </w:r>
      <w:r w:rsidR="001326B5">
        <w:t xml:space="preserve"> Section II in the SFP, Pro</w:t>
      </w:r>
      <w:r w:rsidR="00705FBC">
        <w:t>gram</w:t>
      </w:r>
      <w:r w:rsidR="001326B5">
        <w:t xml:space="preserve"> Overview.</w:t>
      </w:r>
    </w:p>
    <w:p w14:paraId="7FA9BBE7" w14:textId="77777777" w:rsidR="00632F4F" w:rsidRDefault="00632F4F" w:rsidP="00B811CA"/>
    <w:p w14:paraId="2334FCF0" w14:textId="74A02955" w:rsidR="00632F4F" w:rsidRPr="00563827" w:rsidRDefault="00632F4F" w:rsidP="00563827">
      <w:pPr>
        <w:pStyle w:val="ListParagraph"/>
        <w:numPr>
          <w:ilvl w:val="0"/>
          <w:numId w:val="25"/>
        </w:numPr>
        <w:rPr>
          <w:rFonts w:ascii="Calibri (body)" w:hAnsi="Calibri (body)" w:cs="Calibri"/>
          <w:b/>
          <w:bCs/>
        </w:rPr>
      </w:pPr>
      <w:r w:rsidRPr="00563827">
        <w:rPr>
          <w:rFonts w:ascii="Calibri (body)" w:hAnsi="Calibri (body)" w:cs="Calibri"/>
          <w:b/>
          <w:bCs/>
        </w:rPr>
        <w:t xml:space="preserve">Are regions not listed </w:t>
      </w:r>
      <w:r w:rsidR="00A16BAD" w:rsidRPr="00563827">
        <w:rPr>
          <w:rFonts w:ascii="Calibri (body)" w:hAnsi="Calibri (body)" w:cs="Calibri"/>
          <w:b/>
          <w:bCs/>
        </w:rPr>
        <w:t>as</w:t>
      </w:r>
      <w:r w:rsidRPr="00563827">
        <w:rPr>
          <w:rFonts w:ascii="Calibri (body)" w:hAnsi="Calibri (body)" w:cs="Calibri"/>
          <w:b/>
          <w:bCs/>
        </w:rPr>
        <w:t xml:space="preserve"> priority areas eligible for funding?</w:t>
      </w:r>
    </w:p>
    <w:p w14:paraId="585D7205" w14:textId="77777777" w:rsidR="002842B7" w:rsidRPr="002842B7" w:rsidRDefault="002842B7" w:rsidP="00B811CA"/>
    <w:p w14:paraId="34F6AD3E" w14:textId="5F388087" w:rsidR="00632F4F" w:rsidRDefault="00632F4F" w:rsidP="00563827">
      <w:pPr>
        <w:ind w:left="360"/>
      </w:pPr>
      <w:r>
        <w:t>Yes, organizations outside the priority areas may still be eligible for funding. Applicants should identify the target region(s) and make a case that there is a concentrated population of the targeted demographic in the target region(s).</w:t>
      </w:r>
      <w:r w:rsidR="00563827">
        <w:t xml:space="preserve"> </w:t>
      </w:r>
      <w:r>
        <w:t xml:space="preserve">For additional information, see Section II of the SFP, </w:t>
      </w:r>
      <w:r w:rsidR="002842B7">
        <w:t>Program Overview.</w:t>
      </w:r>
    </w:p>
    <w:p w14:paraId="4C4F828F" w14:textId="77777777" w:rsidR="002842B7" w:rsidRDefault="002842B7" w:rsidP="00B811CA"/>
    <w:p w14:paraId="28AF92A2" w14:textId="53DF1070" w:rsidR="002842B7" w:rsidRPr="00563827" w:rsidRDefault="002842B7" w:rsidP="00563827">
      <w:pPr>
        <w:pStyle w:val="ListParagraph"/>
        <w:numPr>
          <w:ilvl w:val="0"/>
          <w:numId w:val="25"/>
        </w:numPr>
        <w:rPr>
          <w:b/>
          <w:bCs/>
        </w:rPr>
      </w:pPr>
      <w:r w:rsidRPr="00563827">
        <w:rPr>
          <w:b/>
          <w:bCs/>
        </w:rPr>
        <w:t>What is the minimum and maximum amount of funding an organization can be awarded?</w:t>
      </w:r>
    </w:p>
    <w:p w14:paraId="562C1652" w14:textId="77777777" w:rsidR="002842B7" w:rsidRPr="002842B7" w:rsidRDefault="002842B7" w:rsidP="00B811CA"/>
    <w:p w14:paraId="435BB5D0" w14:textId="72682AB9" w:rsidR="002842B7" w:rsidRDefault="002842B7" w:rsidP="00563827">
      <w:pPr>
        <w:ind w:left="360"/>
      </w:pPr>
      <w:r>
        <w:t xml:space="preserve">Applicants </w:t>
      </w:r>
      <w:r w:rsidR="00251F22">
        <w:t>can a</w:t>
      </w:r>
      <w:r>
        <w:t xml:space="preserve">pply for a minimum of $2 million and a maximum of $2.5 million. </w:t>
      </w:r>
      <w:r w:rsidR="00E34AD6">
        <w:t>For additional information, see Section V of the SFP, Budgeting and Performance Requirements.</w:t>
      </w:r>
    </w:p>
    <w:p w14:paraId="1EE19BBC" w14:textId="77777777" w:rsidR="00EC031B" w:rsidRDefault="00EC031B" w:rsidP="00B811CA"/>
    <w:p w14:paraId="5EBFAF86" w14:textId="4FEA86C1" w:rsidR="00E34AD6" w:rsidRPr="00563827" w:rsidRDefault="00E34AD6" w:rsidP="00563827">
      <w:pPr>
        <w:pStyle w:val="ListParagraph"/>
        <w:numPr>
          <w:ilvl w:val="0"/>
          <w:numId w:val="25"/>
        </w:numPr>
        <w:rPr>
          <w:rFonts w:ascii="Calibri (body)" w:hAnsi="Calibri (body)" w:cs="Calibri"/>
          <w:b/>
          <w:bCs/>
        </w:rPr>
      </w:pPr>
      <w:r w:rsidRPr="00563827">
        <w:rPr>
          <w:rFonts w:ascii="Calibri (body)" w:hAnsi="Calibri (body)" w:cs="Calibri"/>
          <w:b/>
          <w:bCs/>
        </w:rPr>
        <w:t xml:space="preserve">Is this a </w:t>
      </w:r>
      <w:r w:rsidR="00A71F10" w:rsidRPr="00563827">
        <w:rPr>
          <w:rFonts w:ascii="Calibri (body)" w:hAnsi="Calibri (body)" w:cs="Calibri"/>
          <w:b/>
          <w:bCs/>
        </w:rPr>
        <w:t>two-year</w:t>
      </w:r>
      <w:r w:rsidRPr="00563827">
        <w:rPr>
          <w:rFonts w:ascii="Calibri (body)" w:hAnsi="Calibri (body)" w:cs="Calibri"/>
          <w:b/>
          <w:bCs/>
        </w:rPr>
        <w:t xml:space="preserve"> grant</w:t>
      </w:r>
      <w:r w:rsidR="002842B7" w:rsidRPr="00563827">
        <w:rPr>
          <w:rFonts w:ascii="Calibri (body)" w:hAnsi="Calibri (body)" w:cs="Calibri"/>
          <w:b/>
          <w:bCs/>
        </w:rPr>
        <w:t>?</w:t>
      </w:r>
    </w:p>
    <w:p w14:paraId="1220B6BE" w14:textId="77777777" w:rsidR="00563827" w:rsidRDefault="00563827" w:rsidP="00B811CA"/>
    <w:p w14:paraId="22EBB175" w14:textId="7EA5D553" w:rsidR="00E34AD6" w:rsidRPr="002842B7" w:rsidRDefault="002842B7" w:rsidP="00563827">
      <w:pPr>
        <w:ind w:left="360"/>
      </w:pPr>
      <w:r>
        <w:t>T</w:t>
      </w:r>
      <w:r w:rsidR="00E34AD6">
        <w:t>he expected performance period for this grant is 18-24 months. Grant funds will not be available for longer than 24 months. For additional information</w:t>
      </w:r>
      <w:r w:rsidR="00A16BAD">
        <w:t>,</w:t>
      </w:r>
      <w:r w:rsidR="00E34AD6">
        <w:t xml:space="preserve"> see Section V of the SFP, Budgeting and Performance Requirements. </w:t>
      </w:r>
    </w:p>
    <w:p w14:paraId="5A6D31F7" w14:textId="77777777" w:rsidR="002842B7" w:rsidRDefault="002842B7" w:rsidP="00B811CA"/>
    <w:p w14:paraId="43141A92" w14:textId="12FB0499" w:rsidR="00E34AD6" w:rsidRPr="00563827" w:rsidRDefault="00E34AD6" w:rsidP="00563827">
      <w:pPr>
        <w:pStyle w:val="ListParagraph"/>
        <w:numPr>
          <w:ilvl w:val="0"/>
          <w:numId w:val="25"/>
        </w:numPr>
        <w:rPr>
          <w:rFonts w:ascii="Calibri (body)" w:hAnsi="Calibri (body)" w:cs="Calibri"/>
          <w:b/>
          <w:bCs/>
        </w:rPr>
      </w:pPr>
      <w:r w:rsidRPr="00563827">
        <w:rPr>
          <w:rFonts w:ascii="Calibri (body)" w:hAnsi="Calibri (body)" w:cs="Calibri"/>
          <w:b/>
          <w:bCs/>
        </w:rPr>
        <w:t>In addition to the emailed proposals</w:t>
      </w:r>
      <w:r w:rsidR="00A16BAD" w:rsidRPr="00563827">
        <w:rPr>
          <w:rFonts w:ascii="Calibri (body)" w:hAnsi="Calibri (body)" w:cs="Calibri"/>
          <w:b/>
          <w:bCs/>
        </w:rPr>
        <w:t>, do applicants</w:t>
      </w:r>
      <w:r w:rsidRPr="00563827">
        <w:rPr>
          <w:rFonts w:ascii="Calibri (body)" w:hAnsi="Calibri (body)" w:cs="Calibri"/>
          <w:b/>
          <w:bCs/>
        </w:rPr>
        <w:t xml:space="preserve"> have to mail a hard copy?</w:t>
      </w:r>
    </w:p>
    <w:p w14:paraId="19186EF9" w14:textId="77777777" w:rsidR="00E34AD6" w:rsidRDefault="00E34AD6" w:rsidP="00B811CA"/>
    <w:p w14:paraId="4DB09BF8" w14:textId="4D607FF2" w:rsidR="00E34AD6" w:rsidRDefault="00E34AD6" w:rsidP="00563827">
      <w:pPr>
        <w:ind w:left="360"/>
      </w:pPr>
      <w:r>
        <w:t>No,</w:t>
      </w:r>
      <w:r w:rsidR="00251F22">
        <w:t xml:space="preserve"> a hard copy is not required</w:t>
      </w:r>
      <w:r w:rsidR="00A16BAD">
        <w:t>;</w:t>
      </w:r>
      <w:r>
        <w:t xml:space="preserve"> the application </w:t>
      </w:r>
      <w:r w:rsidR="006C2F33">
        <w:t>should be</w:t>
      </w:r>
      <w:r>
        <w:t xml:space="preserve"> emailed to </w:t>
      </w:r>
      <w:r w:rsidRPr="00E34AD6">
        <w:rPr>
          <w:rFonts w:ascii="Calibri (body)" w:hAnsi="Calibri (body)" w:cs="Calibri"/>
        </w:rPr>
        <w:t>WSB</w:t>
      </w:r>
      <w:r w:rsidR="00EC031B">
        <w:rPr>
          <w:rFonts w:ascii="Calibri (body)" w:hAnsi="Calibri (body)" w:cs="Calibri"/>
        </w:rPr>
        <w:t>S</w:t>
      </w:r>
      <w:r w:rsidRPr="00E34AD6">
        <w:rPr>
          <w:rFonts w:ascii="Calibri (body)" w:hAnsi="Calibri (body)" w:cs="Calibri"/>
        </w:rPr>
        <w:t>FP3@edd.ca.gov</w:t>
      </w:r>
      <w:r>
        <w:t xml:space="preserve"> by </w:t>
      </w:r>
      <w:bookmarkStart w:id="1" w:name="_Hlk155963727"/>
      <w:r w:rsidR="00EC031B" w:rsidRPr="00EC031B">
        <w:t>February 5, 2024, by 3 p.m. PST</w:t>
      </w:r>
      <w:bookmarkEnd w:id="1"/>
      <w:r>
        <w:t>.</w:t>
      </w:r>
      <w:r w:rsidR="00563827">
        <w:t xml:space="preserve"> </w:t>
      </w:r>
      <w:r>
        <w:t xml:space="preserve">For additional information, see Section VI of the SFP, Submission. </w:t>
      </w:r>
    </w:p>
    <w:p w14:paraId="4C3FAA12" w14:textId="77777777" w:rsidR="00E34AD6" w:rsidRDefault="00E34AD6" w:rsidP="00B811CA"/>
    <w:p w14:paraId="263DA287" w14:textId="013BDD60" w:rsidR="00E34AD6" w:rsidRPr="00563827" w:rsidRDefault="00E34AD6" w:rsidP="00563827">
      <w:pPr>
        <w:pStyle w:val="ListParagraph"/>
        <w:numPr>
          <w:ilvl w:val="0"/>
          <w:numId w:val="25"/>
        </w:numPr>
        <w:rPr>
          <w:rFonts w:ascii="Calibri (body)" w:hAnsi="Calibri (body)" w:cs="Calibri"/>
          <w:b/>
          <w:bCs/>
        </w:rPr>
      </w:pPr>
      <w:r w:rsidRPr="00563827">
        <w:rPr>
          <w:rFonts w:ascii="Calibri (body)" w:hAnsi="Calibri (body)" w:cs="Calibri"/>
          <w:b/>
          <w:bCs/>
        </w:rPr>
        <w:t>Can the WIOA Title I Adult funds be used to pay wages for internships/work experience as part of the program design?</w:t>
      </w:r>
    </w:p>
    <w:p w14:paraId="2590E717" w14:textId="77777777" w:rsidR="00E34AD6" w:rsidRPr="00251F22" w:rsidRDefault="00E34AD6" w:rsidP="00B811CA"/>
    <w:p w14:paraId="692B1792" w14:textId="39B43890" w:rsidR="009D28E2" w:rsidRDefault="00055B75" w:rsidP="00563827">
      <w:pPr>
        <w:ind w:left="360"/>
      </w:pPr>
      <w:r w:rsidRPr="00251F22">
        <w:t>F</w:t>
      </w:r>
      <w:r w:rsidR="00251BED" w:rsidRPr="00251F22">
        <w:t>unds may be used to pay a participant</w:t>
      </w:r>
      <w:r w:rsidR="00A16BAD">
        <w:t>'</w:t>
      </w:r>
      <w:r w:rsidR="00251BED" w:rsidRPr="00251F22">
        <w:t xml:space="preserve">s wages and related benefits for work experience in the public, private, </w:t>
      </w:r>
      <w:r w:rsidR="00A16BAD" w:rsidRPr="00251F22">
        <w:t>for-profit,</w:t>
      </w:r>
      <w:r w:rsidR="00251BED" w:rsidRPr="00251F22">
        <w:t xml:space="preserve"> or non-profit sectors when the participant</w:t>
      </w:r>
      <w:r w:rsidR="00A16BAD">
        <w:t>'</w:t>
      </w:r>
      <w:r w:rsidR="00251BED" w:rsidRPr="00251F22">
        <w:t>s objective assessment and individual service strategy indicate that a work experience is appropriate.</w:t>
      </w:r>
    </w:p>
    <w:p w14:paraId="53665B78" w14:textId="77777777" w:rsidR="00251BED" w:rsidRPr="00632F4F" w:rsidRDefault="00251BED" w:rsidP="00B811CA"/>
    <w:p w14:paraId="2CFFF1B1" w14:textId="3DB375F1" w:rsidR="00E34AD6" w:rsidRPr="00563827" w:rsidRDefault="00E34AD6" w:rsidP="00563827">
      <w:pPr>
        <w:pStyle w:val="ListParagraph"/>
        <w:numPr>
          <w:ilvl w:val="0"/>
          <w:numId w:val="25"/>
        </w:numPr>
        <w:rPr>
          <w:rFonts w:ascii="Calibri (body)" w:hAnsi="Calibri (body)" w:cs="Calibri"/>
          <w:b/>
          <w:bCs/>
        </w:rPr>
      </w:pPr>
      <w:r w:rsidRPr="00563827">
        <w:rPr>
          <w:rFonts w:ascii="Calibri (body)" w:hAnsi="Calibri (body)" w:cs="Calibri"/>
          <w:b/>
          <w:bCs/>
        </w:rPr>
        <w:t xml:space="preserve">What </w:t>
      </w:r>
      <w:r w:rsidR="006C2F33" w:rsidRPr="00563827">
        <w:rPr>
          <w:rFonts w:ascii="Calibri (body)" w:hAnsi="Calibri (body)" w:cs="Calibri"/>
          <w:b/>
          <w:bCs/>
        </w:rPr>
        <w:t xml:space="preserve">are the </w:t>
      </w:r>
      <w:r w:rsidRPr="00563827">
        <w:rPr>
          <w:rFonts w:ascii="Calibri (body)" w:hAnsi="Calibri (body)" w:cs="Calibri"/>
          <w:b/>
          <w:bCs/>
        </w:rPr>
        <w:t>reporting requirements?</w:t>
      </w:r>
    </w:p>
    <w:p w14:paraId="71E7E0EC" w14:textId="77777777" w:rsidR="00E34AD6" w:rsidRPr="00F60093" w:rsidRDefault="00E34AD6" w:rsidP="00B811CA"/>
    <w:p w14:paraId="066451AC" w14:textId="3264AC6F" w:rsidR="00F60093" w:rsidRPr="00F60093" w:rsidRDefault="00251BED" w:rsidP="00563827">
      <w:pPr>
        <w:ind w:left="360"/>
      </w:pPr>
      <w:r w:rsidRPr="00F60093">
        <w:t xml:space="preserve">All subrecipients must have access to the </w:t>
      </w:r>
      <w:proofErr w:type="spellStart"/>
      <w:r w:rsidRPr="00F60093">
        <w:t>CalJOBS</w:t>
      </w:r>
      <w:r w:rsidR="00F60093" w:rsidRPr="00F60093">
        <w:rPr>
          <w:vertAlign w:val="superscript"/>
        </w:rPr>
        <w:t>SM</w:t>
      </w:r>
      <w:proofErr w:type="spellEnd"/>
      <w:r w:rsidRPr="00F60093">
        <w:rPr>
          <w:vertAlign w:val="superscript"/>
        </w:rPr>
        <w:t xml:space="preserve"> </w:t>
      </w:r>
      <w:r w:rsidRPr="00F60093">
        <w:t>website to report expenditures, participant information, and outcome data to the state promptly and accurately.</w:t>
      </w:r>
      <w:r w:rsidR="00F60093" w:rsidRPr="00F60093">
        <w:t xml:space="preserve"> The state will provide training on how to use the CalJOBS</w:t>
      </w:r>
      <w:r w:rsidR="00F60093" w:rsidRPr="00F60093">
        <w:rPr>
          <w:vertAlign w:val="superscript"/>
        </w:rPr>
        <w:t xml:space="preserve"> </w:t>
      </w:r>
      <w:r w:rsidR="00F60093" w:rsidRPr="00F60093">
        <w:t>reporting system. Subrecipients will be required to submit monthly financial and participant reports using CalJOBS. Subrecipients will also be required to submit monthly and quarterly narrative progress reports on the status of the projects, which is a condition of the contract. Failure to properly report may result in cash hold and de-obligation.</w:t>
      </w:r>
    </w:p>
    <w:p w14:paraId="79CDEC5F" w14:textId="77777777" w:rsidR="00F60093" w:rsidRPr="00F60093" w:rsidRDefault="00F60093" w:rsidP="00B811CA"/>
    <w:p w14:paraId="67ACC4D4" w14:textId="0A49F6B0" w:rsidR="00E34AD6" w:rsidRDefault="00F60093" w:rsidP="00563827">
      <w:pPr>
        <w:ind w:left="360"/>
      </w:pPr>
      <w:r w:rsidRPr="00F60093">
        <w:t>For additional information, see Section VIII of the SFP, Administrative Requirements.</w:t>
      </w:r>
      <w:r>
        <w:t xml:space="preserve"> Also, r</w:t>
      </w:r>
      <w:r w:rsidR="00251BED" w:rsidRPr="00F60093">
        <w:t>efer to Appendix F: CalJOBS</w:t>
      </w:r>
      <w:r w:rsidRPr="00F60093">
        <w:rPr>
          <w:vertAlign w:val="superscript"/>
        </w:rPr>
        <w:t xml:space="preserve"> </w:t>
      </w:r>
      <w:r w:rsidR="00251BED" w:rsidRPr="00F60093">
        <w:t xml:space="preserve">Workstation and Software Requirements </w:t>
      </w:r>
      <w:r w:rsidR="00A16BAD" w:rsidRPr="00F60093">
        <w:t>and Workforce</w:t>
      </w:r>
      <w:r w:rsidR="00251BED" w:rsidRPr="00F60093">
        <w:t xml:space="preserve"> Services Directive Monthly and Quarterly Financial Reporting Requirements (December 4, 2019) (WSD19-05) for further information.</w:t>
      </w:r>
      <w:r w:rsidR="00251BED" w:rsidRPr="00251BED">
        <w:t xml:space="preserve"> </w:t>
      </w:r>
    </w:p>
    <w:p w14:paraId="7FCF4E5D" w14:textId="77777777" w:rsidR="00EC031B" w:rsidRDefault="00EC031B" w:rsidP="00B811CA"/>
    <w:p w14:paraId="45C6ADF9" w14:textId="65C94B24" w:rsidR="00E34AD6" w:rsidRPr="00563827" w:rsidRDefault="00E34AD6" w:rsidP="00563827">
      <w:pPr>
        <w:pStyle w:val="ListParagraph"/>
        <w:numPr>
          <w:ilvl w:val="0"/>
          <w:numId w:val="25"/>
        </w:numPr>
        <w:rPr>
          <w:rFonts w:ascii="Calibri (body)" w:hAnsi="Calibri (body)" w:cs="Calibri"/>
          <w:b/>
          <w:bCs/>
        </w:rPr>
      </w:pPr>
      <w:r w:rsidRPr="00563827">
        <w:rPr>
          <w:rFonts w:ascii="Calibri (body)" w:hAnsi="Calibri (body)" w:cs="Calibri"/>
          <w:b/>
          <w:bCs/>
        </w:rPr>
        <w:t>How many awards are anticipated?</w:t>
      </w:r>
    </w:p>
    <w:p w14:paraId="686E45C2" w14:textId="77777777" w:rsidR="00E34AD6" w:rsidRDefault="00E34AD6" w:rsidP="00B811CA"/>
    <w:p w14:paraId="05C7319B" w14:textId="64E830EB" w:rsidR="00E34AD6" w:rsidRPr="00E34AD6" w:rsidRDefault="00EC031B" w:rsidP="00563827">
      <w:pPr>
        <w:ind w:left="360"/>
      </w:pPr>
      <w:r>
        <w:t>The EDD anticipates that 6-8 projects will be awarded</w:t>
      </w:r>
      <w:r w:rsidR="00E34AD6">
        <w:t>. For additional information, see Section V of the SFP, Budgeting and Performance Requirements.</w:t>
      </w:r>
    </w:p>
    <w:p w14:paraId="00C8A3FE" w14:textId="77777777" w:rsidR="00E34AD6" w:rsidRPr="00E34AD6" w:rsidRDefault="00E34AD6" w:rsidP="00B811CA"/>
    <w:p w14:paraId="3C2D19AE" w14:textId="5F9A9FFE" w:rsidR="00563827" w:rsidRPr="00563827" w:rsidRDefault="00563827" w:rsidP="00563827">
      <w:pPr>
        <w:pStyle w:val="ListParagraph"/>
        <w:numPr>
          <w:ilvl w:val="0"/>
          <w:numId w:val="25"/>
        </w:numPr>
        <w:rPr>
          <w:b/>
          <w:bCs/>
        </w:rPr>
      </w:pPr>
      <w:r w:rsidRPr="00563827">
        <w:rPr>
          <w:b/>
          <w:bCs/>
        </w:rPr>
        <w:t>When is the deadline to apply for this grant?</w:t>
      </w:r>
    </w:p>
    <w:p w14:paraId="682F3400" w14:textId="77777777" w:rsidR="00563827" w:rsidRDefault="00563827" w:rsidP="00563827"/>
    <w:p w14:paraId="0D7D2587" w14:textId="3AA9973D" w:rsidR="00B719DF" w:rsidRDefault="00B719DF" w:rsidP="00563827">
      <w:pPr>
        <w:ind w:left="360"/>
      </w:pPr>
      <w:r>
        <w:t xml:space="preserve">Proposals are due </w:t>
      </w:r>
      <w:r w:rsidR="001E4747">
        <w:t xml:space="preserve">by email to </w:t>
      </w:r>
      <w:r w:rsidR="001E4747" w:rsidRPr="00E34AD6">
        <w:rPr>
          <w:rFonts w:ascii="Calibri (body)" w:hAnsi="Calibri (body)" w:cs="Calibri"/>
        </w:rPr>
        <w:t>WSB</w:t>
      </w:r>
      <w:r w:rsidR="00EC031B">
        <w:rPr>
          <w:rFonts w:ascii="Calibri (body)" w:hAnsi="Calibri (body)" w:cs="Calibri"/>
        </w:rPr>
        <w:t>S</w:t>
      </w:r>
      <w:r w:rsidR="001E4747" w:rsidRPr="00E34AD6">
        <w:rPr>
          <w:rFonts w:ascii="Calibri (body)" w:hAnsi="Calibri (body)" w:cs="Calibri"/>
        </w:rPr>
        <w:t>FP3@edd.ca.gov</w:t>
      </w:r>
      <w:r w:rsidR="001E4747">
        <w:t xml:space="preserve"> on </w:t>
      </w:r>
      <w:r w:rsidR="00EC031B" w:rsidRPr="00EC031B">
        <w:t>February 5, 2024, by 3 p.m. PST</w:t>
      </w:r>
      <w:r>
        <w:t>. For additional information</w:t>
      </w:r>
      <w:r w:rsidR="00A16BAD">
        <w:t>,</w:t>
      </w:r>
      <w:r>
        <w:t xml:space="preserve"> see Section VI of the SFP, Submission. </w:t>
      </w:r>
    </w:p>
    <w:p w14:paraId="45BE3BAC" w14:textId="77777777" w:rsidR="005B2DEE" w:rsidRDefault="005B2DEE" w:rsidP="00B811CA"/>
    <w:p w14:paraId="0ED812EB" w14:textId="262ADC45" w:rsidR="005B2DEE" w:rsidRPr="00563827" w:rsidRDefault="005B2DEE" w:rsidP="00563827">
      <w:pPr>
        <w:pStyle w:val="ListParagraph"/>
        <w:numPr>
          <w:ilvl w:val="0"/>
          <w:numId w:val="25"/>
        </w:numPr>
        <w:rPr>
          <w:rFonts w:ascii="Calibri (body)" w:hAnsi="Calibri (body)" w:cs="Calibri"/>
          <w:b/>
          <w:bCs/>
        </w:rPr>
      </w:pPr>
      <w:r w:rsidRPr="00563827">
        <w:rPr>
          <w:rFonts w:ascii="Calibri (body)" w:hAnsi="Calibri (body)" w:cs="Calibri"/>
          <w:b/>
          <w:bCs/>
        </w:rPr>
        <w:t>Do jobs in education qualify as examples of high-quality jobs in the public sector?</w:t>
      </w:r>
    </w:p>
    <w:p w14:paraId="5354AEAB" w14:textId="77777777" w:rsidR="00FD7FB7" w:rsidRPr="00BA0B2F" w:rsidRDefault="00FD7FB7" w:rsidP="00B811CA"/>
    <w:p w14:paraId="4B7C6709" w14:textId="0AEC04C5" w:rsidR="005B2DEE" w:rsidRPr="00BA0B2F" w:rsidRDefault="00BA0B2F" w:rsidP="00563827">
      <w:pPr>
        <w:ind w:left="360"/>
      </w:pPr>
      <w:r w:rsidRPr="00BA0B2F">
        <w:t>Yes, if the data supports the definition of g</w:t>
      </w:r>
      <w:r w:rsidR="00207CAF" w:rsidRPr="00BA0B2F">
        <w:t>ood Jobs</w:t>
      </w:r>
      <w:r w:rsidRPr="00BA0B2F">
        <w:t xml:space="preserve"> </w:t>
      </w:r>
      <w:r w:rsidR="00A16BAD">
        <w:t>outlined</w:t>
      </w:r>
      <w:r w:rsidRPr="00BA0B2F">
        <w:t xml:space="preserve"> on page 1 of the SFP.</w:t>
      </w:r>
    </w:p>
    <w:p w14:paraId="68AE4A89" w14:textId="77777777" w:rsidR="00BA0B2F" w:rsidRDefault="00BA0B2F" w:rsidP="00B811CA">
      <w:pPr>
        <w:rPr>
          <w:highlight w:val="yellow"/>
        </w:rPr>
      </w:pPr>
    </w:p>
    <w:p w14:paraId="7FA8F3AB" w14:textId="1094B0F5" w:rsidR="005B2DEE" w:rsidRPr="00563827" w:rsidRDefault="005B2DEE" w:rsidP="00563827">
      <w:pPr>
        <w:pStyle w:val="ListParagraph"/>
        <w:numPr>
          <w:ilvl w:val="0"/>
          <w:numId w:val="25"/>
        </w:numPr>
        <w:rPr>
          <w:b/>
          <w:bCs/>
        </w:rPr>
      </w:pPr>
      <w:r w:rsidRPr="00563827">
        <w:rPr>
          <w:b/>
          <w:bCs/>
        </w:rPr>
        <w:t>Can Information Technology</w:t>
      </w:r>
      <w:r w:rsidR="00BA0B2F" w:rsidRPr="00563827">
        <w:rPr>
          <w:b/>
          <w:bCs/>
        </w:rPr>
        <w:t xml:space="preserve"> (IT)</w:t>
      </w:r>
      <w:r w:rsidRPr="00563827">
        <w:rPr>
          <w:b/>
          <w:bCs/>
        </w:rPr>
        <w:t xml:space="preserve"> be a target sector for training?</w:t>
      </w:r>
    </w:p>
    <w:p w14:paraId="0D81B170" w14:textId="77777777" w:rsidR="005B2DEE" w:rsidRDefault="005B2DEE" w:rsidP="00B811CA"/>
    <w:p w14:paraId="6F08BB16" w14:textId="385D5513" w:rsidR="005B2DEE" w:rsidRPr="00563827" w:rsidRDefault="00BA0B2F" w:rsidP="00563827">
      <w:pPr>
        <w:ind w:left="360"/>
        <w:rPr>
          <w:highlight w:val="yellow"/>
        </w:rPr>
      </w:pPr>
      <w:r w:rsidRPr="00BA0B2F">
        <w:t>The OYA Career Pathway Program should target sectors with quality jobs with strong projected demand and career advancement opportunities, such as Public, Agriculture, Infrastructure, Manufacturing, and Health. Applicants can target other sectors</w:t>
      </w:r>
      <w:r w:rsidR="00A16BAD">
        <w:t>,</w:t>
      </w:r>
      <w:r w:rsidRPr="00BA0B2F">
        <w:t xml:space="preserve"> </w:t>
      </w:r>
      <w:r>
        <w:t>such as IT</w:t>
      </w:r>
      <w:r w:rsidR="00A16BAD">
        <w:t xml:space="preserve">, but they should make a </w:t>
      </w:r>
      <w:r w:rsidR="00A16BAD">
        <w:lastRenderedPageBreak/>
        <w:t>case for considering</w:t>
      </w:r>
      <w:r w:rsidRPr="00BA0B2F">
        <w:t xml:space="preserve"> those sectors. </w:t>
      </w:r>
      <w:r w:rsidR="005B2DEE" w:rsidRPr="005B2DEE">
        <w:t>For additional information</w:t>
      </w:r>
      <w:r w:rsidR="00A16BAD">
        <w:t>,</w:t>
      </w:r>
      <w:r w:rsidR="005B2DEE" w:rsidRPr="005B2DEE">
        <w:t xml:space="preserve"> see Section II of the SFP, Program Overview.</w:t>
      </w:r>
    </w:p>
    <w:p w14:paraId="3445738D" w14:textId="77777777" w:rsidR="005B2DEE" w:rsidRDefault="005B2DEE" w:rsidP="00B811CA"/>
    <w:p w14:paraId="6C9ADA83" w14:textId="7A23FD88" w:rsidR="005B2DEE" w:rsidRPr="00563827" w:rsidRDefault="005B2DEE" w:rsidP="00563827">
      <w:pPr>
        <w:pStyle w:val="ListParagraph"/>
        <w:numPr>
          <w:ilvl w:val="0"/>
          <w:numId w:val="25"/>
        </w:numPr>
        <w:rPr>
          <w:rFonts w:ascii="Calibri (body)" w:hAnsi="Calibri (body)" w:cs="Calibri"/>
          <w:b/>
          <w:bCs/>
        </w:rPr>
      </w:pPr>
      <w:r w:rsidRPr="00563827">
        <w:rPr>
          <w:rFonts w:ascii="Calibri (body)" w:hAnsi="Calibri (body)" w:cs="Calibri"/>
          <w:b/>
          <w:bCs/>
        </w:rPr>
        <w:t xml:space="preserve">What </w:t>
      </w:r>
      <w:r w:rsidR="00A16BAD" w:rsidRPr="00563827">
        <w:rPr>
          <w:rFonts w:ascii="Calibri (body)" w:hAnsi="Calibri (body)" w:cs="Calibri"/>
          <w:b/>
          <w:bCs/>
        </w:rPr>
        <w:t>are</w:t>
      </w:r>
      <w:r w:rsidRPr="00563827">
        <w:rPr>
          <w:rFonts w:ascii="Calibri (body)" w:hAnsi="Calibri (body)" w:cs="Calibri"/>
          <w:b/>
          <w:bCs/>
        </w:rPr>
        <w:t xml:space="preserve"> the </w:t>
      </w:r>
      <w:r w:rsidR="00BA0B2F" w:rsidRPr="00563827">
        <w:rPr>
          <w:rFonts w:ascii="Calibri (body)" w:hAnsi="Calibri (body)" w:cs="Calibri"/>
          <w:b/>
          <w:bCs/>
        </w:rPr>
        <w:t xml:space="preserve">WIOA enrollment </w:t>
      </w:r>
      <w:r w:rsidRPr="00563827">
        <w:rPr>
          <w:rFonts w:ascii="Calibri (body)" w:hAnsi="Calibri (body)" w:cs="Calibri"/>
          <w:b/>
          <w:bCs/>
        </w:rPr>
        <w:t xml:space="preserve">eligibility criteria for participants? </w:t>
      </w:r>
    </w:p>
    <w:p w14:paraId="2D3DE43E" w14:textId="77777777" w:rsidR="00207CAF" w:rsidRPr="00BA0B2F" w:rsidRDefault="00207CAF" w:rsidP="00B811CA"/>
    <w:p w14:paraId="7BD415DF" w14:textId="68E8F577" w:rsidR="00055B75" w:rsidRPr="00055B75" w:rsidRDefault="00207CAF" w:rsidP="00563827">
      <w:pPr>
        <w:ind w:left="360"/>
      </w:pPr>
      <w:r w:rsidRPr="00BA0B2F">
        <w:t>All individuals must be at least 18-28 and meet WIOA Title I Adult eligibility requirements to participate in the OYA Career Pathway Program PY 23-24 program.</w:t>
      </w:r>
      <w:r w:rsidR="00055B75" w:rsidRPr="00BA0B2F">
        <w:t xml:space="preserve"> For additional information</w:t>
      </w:r>
      <w:r w:rsidR="00A16BAD">
        <w:t>,</w:t>
      </w:r>
      <w:r w:rsidR="00055B75" w:rsidRPr="00BA0B2F">
        <w:t xml:space="preserve"> see Section II of the SFP, Program Overview.</w:t>
      </w:r>
    </w:p>
    <w:p w14:paraId="73D8555D" w14:textId="77777777" w:rsidR="00B719DF" w:rsidRPr="00B719DF" w:rsidRDefault="00B719DF" w:rsidP="00B811CA"/>
    <w:p w14:paraId="70AEABA6" w14:textId="44C9D791" w:rsidR="006E575C" w:rsidRPr="00563827" w:rsidRDefault="006E575C" w:rsidP="00563827">
      <w:pPr>
        <w:pStyle w:val="ListParagraph"/>
        <w:numPr>
          <w:ilvl w:val="0"/>
          <w:numId w:val="25"/>
        </w:numPr>
        <w:rPr>
          <w:rFonts w:ascii="Calibri (body)" w:hAnsi="Calibri (body)" w:cs="Calibri"/>
          <w:b/>
          <w:bCs/>
        </w:rPr>
      </w:pPr>
      <w:r w:rsidRPr="00563827">
        <w:rPr>
          <w:rFonts w:ascii="Calibri (body)" w:hAnsi="Calibri (body)" w:cs="Calibri"/>
          <w:b/>
          <w:bCs/>
        </w:rPr>
        <w:t>What type of funds can be used as 20</w:t>
      </w:r>
      <w:r w:rsidR="00BA0B2F" w:rsidRPr="00563827">
        <w:rPr>
          <w:rFonts w:ascii="Calibri (body)" w:hAnsi="Calibri (body)" w:cs="Calibri"/>
          <w:b/>
          <w:bCs/>
        </w:rPr>
        <w:t xml:space="preserve"> percent </w:t>
      </w:r>
      <w:r w:rsidRPr="00563827">
        <w:rPr>
          <w:rFonts w:ascii="Calibri (body)" w:hAnsi="Calibri (body)" w:cs="Calibri"/>
          <w:b/>
          <w:bCs/>
        </w:rPr>
        <w:t>leveraged funds</w:t>
      </w:r>
      <w:r w:rsidR="00A16BAD" w:rsidRPr="00563827">
        <w:rPr>
          <w:rFonts w:ascii="Calibri (body)" w:hAnsi="Calibri (body)" w:cs="Calibri"/>
          <w:b/>
          <w:bCs/>
        </w:rPr>
        <w:t>,</w:t>
      </w:r>
      <w:r w:rsidR="00BA0B2F" w:rsidRPr="00563827">
        <w:rPr>
          <w:rFonts w:ascii="Calibri (body)" w:hAnsi="Calibri (body)" w:cs="Calibri"/>
          <w:b/>
          <w:bCs/>
        </w:rPr>
        <w:t xml:space="preserve"> and w</w:t>
      </w:r>
      <w:r w:rsidRPr="00563827">
        <w:rPr>
          <w:rFonts w:ascii="Calibri (body)" w:hAnsi="Calibri (body)" w:cs="Calibri"/>
          <w:b/>
          <w:bCs/>
        </w:rPr>
        <w:t xml:space="preserve">hat documentation </w:t>
      </w:r>
      <w:r w:rsidR="00BA0B2F" w:rsidRPr="00563827">
        <w:rPr>
          <w:rFonts w:ascii="Calibri (body)" w:hAnsi="Calibri (body)" w:cs="Calibri"/>
          <w:b/>
          <w:bCs/>
        </w:rPr>
        <w:t>should be provided?</w:t>
      </w:r>
    </w:p>
    <w:p w14:paraId="3B78ECBC" w14:textId="77777777" w:rsidR="001E4747" w:rsidRPr="007D7DE3" w:rsidRDefault="001E4747" w:rsidP="00B811CA"/>
    <w:p w14:paraId="5BDA7FFC" w14:textId="7ADA6000" w:rsidR="00314C43" w:rsidRPr="007D7DE3" w:rsidRDefault="007D7DE3" w:rsidP="00563827">
      <w:pPr>
        <w:ind w:left="360"/>
      </w:pPr>
      <w:r w:rsidRPr="007D7DE3">
        <w:t xml:space="preserve">The leverage needed for funds is based on the total grant funding requested. Applicants are encouraged to braid funds, leverage human capital, and utilize other resources to maximize the project's success. Leveraged resources can come from various sources. </w:t>
      </w:r>
      <w:r w:rsidR="00822FE5" w:rsidRPr="007D7DE3">
        <w:t>Any partner, including the applicant providing the whole or part of the leveraged in-kind or cash contribution to the program, must also provide a commitment letter stating the amount of the cash and/or in-kind contribution being leveraged for the project.</w:t>
      </w:r>
      <w:r w:rsidR="00314C43" w:rsidRPr="007D7DE3">
        <w:t xml:space="preserve"> </w:t>
      </w:r>
      <w:r w:rsidRPr="007D7DE3">
        <w:t>For addition</w:t>
      </w:r>
      <w:r w:rsidR="00A16BAD">
        <w:t>al</w:t>
      </w:r>
      <w:r w:rsidRPr="007D7DE3">
        <w:t xml:space="preserve"> information</w:t>
      </w:r>
      <w:r w:rsidR="00A16BAD">
        <w:t>,</w:t>
      </w:r>
      <w:r w:rsidRPr="007D7DE3">
        <w:t xml:space="preserve"> </w:t>
      </w:r>
      <w:r>
        <w:t xml:space="preserve">see </w:t>
      </w:r>
      <w:r w:rsidRPr="007D7DE3">
        <w:t>Section V</w:t>
      </w:r>
      <w:r>
        <w:t xml:space="preserve"> of the SFP, </w:t>
      </w:r>
      <w:r w:rsidRPr="007D7DE3">
        <w:t>Leveraging Funds and Resources.</w:t>
      </w:r>
    </w:p>
    <w:p w14:paraId="648F157A" w14:textId="77777777" w:rsidR="0095391E" w:rsidRDefault="0095391E" w:rsidP="00B811CA"/>
    <w:p w14:paraId="41DC6A09" w14:textId="7EC4E27C" w:rsidR="00974CFA" w:rsidRPr="00563827" w:rsidRDefault="0095391E" w:rsidP="00563827">
      <w:pPr>
        <w:pStyle w:val="ListParagraph"/>
        <w:numPr>
          <w:ilvl w:val="0"/>
          <w:numId w:val="25"/>
        </w:numPr>
        <w:rPr>
          <w:rFonts w:ascii="Calibri (body)" w:hAnsi="Calibri (body)" w:cs="Calibri"/>
          <w:b/>
          <w:bCs/>
        </w:rPr>
      </w:pPr>
      <w:r w:rsidRPr="00563827">
        <w:rPr>
          <w:rFonts w:ascii="Calibri (body)" w:hAnsi="Calibri (body)" w:cs="Calibri"/>
          <w:b/>
          <w:bCs/>
        </w:rPr>
        <w:t xml:space="preserve">Can </w:t>
      </w:r>
      <w:r w:rsidR="007D7DE3" w:rsidRPr="00563827">
        <w:rPr>
          <w:rFonts w:ascii="Calibri (body)" w:hAnsi="Calibri (body)" w:cs="Calibri"/>
          <w:b/>
          <w:bCs/>
        </w:rPr>
        <w:t xml:space="preserve">an applicant partner with a </w:t>
      </w:r>
      <w:r w:rsidRPr="00563827">
        <w:rPr>
          <w:rFonts w:ascii="Calibri (body)" w:hAnsi="Calibri (body)" w:cs="Calibri"/>
          <w:b/>
          <w:bCs/>
        </w:rPr>
        <w:t>fiscal sponsor?</w:t>
      </w:r>
    </w:p>
    <w:p w14:paraId="4F031853" w14:textId="77777777" w:rsidR="007C6A7E" w:rsidRPr="007C6A7E" w:rsidRDefault="007C6A7E" w:rsidP="00B811CA"/>
    <w:p w14:paraId="6018F266" w14:textId="1C8EA55A" w:rsidR="001E4747" w:rsidRDefault="00207CAF" w:rsidP="00563827">
      <w:pPr>
        <w:ind w:left="360"/>
      </w:pPr>
      <w:r w:rsidRPr="007D7DE3">
        <w:t>Yes</w:t>
      </w:r>
      <w:r w:rsidR="007C6A7E">
        <w:t>, an applicant can partner with a fiscal sponsor</w:t>
      </w:r>
      <w:r w:rsidRPr="007D7DE3">
        <w:t xml:space="preserve">. </w:t>
      </w:r>
      <w:r w:rsidR="007D7DE3" w:rsidRPr="007D7DE3">
        <w:t>For additional information</w:t>
      </w:r>
      <w:r w:rsidR="00A16BAD">
        <w:t>,</w:t>
      </w:r>
      <w:r w:rsidR="007D7DE3" w:rsidRPr="007D7DE3">
        <w:t xml:space="preserve"> see Section II</w:t>
      </w:r>
      <w:r w:rsidR="007C6A7E">
        <w:t>I</w:t>
      </w:r>
      <w:r w:rsidR="007D7DE3" w:rsidRPr="007D7DE3">
        <w:t xml:space="preserve"> of the SFP,</w:t>
      </w:r>
      <w:r w:rsidR="00502E62">
        <w:t xml:space="preserve"> </w:t>
      </w:r>
      <w:r w:rsidR="007C6A7E">
        <w:t>Project Design</w:t>
      </w:r>
      <w:r w:rsidR="007D7DE3" w:rsidRPr="007D7DE3">
        <w:t>.</w:t>
      </w:r>
    </w:p>
    <w:p w14:paraId="57397EF5" w14:textId="77777777" w:rsidR="007D7DE3" w:rsidRPr="001E4747" w:rsidRDefault="007D7DE3" w:rsidP="00B811CA"/>
    <w:p w14:paraId="6082AD16" w14:textId="2CCDA460" w:rsidR="006E575C" w:rsidRPr="00C242A8" w:rsidRDefault="006E575C" w:rsidP="00563827">
      <w:pPr>
        <w:pStyle w:val="ListParagraph"/>
        <w:numPr>
          <w:ilvl w:val="0"/>
          <w:numId w:val="25"/>
        </w:numPr>
        <w:rPr>
          <w:rFonts w:ascii="Calibri (body)" w:hAnsi="Calibri (body)" w:cs="Calibri"/>
          <w:b/>
          <w:bCs/>
        </w:rPr>
      </w:pPr>
      <w:r w:rsidRPr="00C242A8">
        <w:rPr>
          <w:rFonts w:ascii="Calibri (body)" w:hAnsi="Calibri (body)" w:cs="Calibri"/>
          <w:b/>
          <w:bCs/>
        </w:rPr>
        <w:t>Are small for-profit businesses eligible to apply?</w:t>
      </w:r>
    </w:p>
    <w:p w14:paraId="1B71D77B" w14:textId="77777777" w:rsidR="005B2DEE" w:rsidRPr="00314C43" w:rsidRDefault="005B2DEE" w:rsidP="00B811CA">
      <w:pPr>
        <w:rPr>
          <w:highlight w:val="green"/>
        </w:rPr>
      </w:pPr>
    </w:p>
    <w:p w14:paraId="78C880DA" w14:textId="706DC5E6" w:rsidR="00A16BAD" w:rsidRDefault="009D28E2" w:rsidP="00C242A8">
      <w:pPr>
        <w:ind w:left="360"/>
      </w:pPr>
      <w:r>
        <w:t xml:space="preserve">Unfortunately, for-profit businesses are not eligible to receive funding for this grant. </w:t>
      </w:r>
      <w:r w:rsidR="007D7DE3" w:rsidRPr="007D7DE3">
        <w:t>For additional information</w:t>
      </w:r>
      <w:r w:rsidR="00A16BAD">
        <w:t>,</w:t>
      </w:r>
      <w:r w:rsidR="007D7DE3" w:rsidRPr="007D7DE3">
        <w:t xml:space="preserve"> see Section II of the SFP, </w:t>
      </w:r>
      <w:r w:rsidR="00502E62">
        <w:t>Eligibility</w:t>
      </w:r>
      <w:r w:rsidR="007D7DE3" w:rsidRPr="007D7DE3">
        <w:t>.</w:t>
      </w:r>
    </w:p>
    <w:p w14:paraId="6D67CF9F" w14:textId="77777777" w:rsidR="007D7DE3" w:rsidRDefault="007D7DE3" w:rsidP="00B811CA"/>
    <w:p w14:paraId="60EDED92" w14:textId="581823A3" w:rsidR="001E4747" w:rsidRPr="00C242A8" w:rsidRDefault="001E4747" w:rsidP="00C242A8">
      <w:pPr>
        <w:pStyle w:val="ListParagraph"/>
        <w:numPr>
          <w:ilvl w:val="0"/>
          <w:numId w:val="25"/>
        </w:numPr>
        <w:rPr>
          <w:b/>
          <w:bCs/>
        </w:rPr>
      </w:pPr>
      <w:r w:rsidRPr="00C242A8">
        <w:rPr>
          <w:b/>
          <w:bCs/>
        </w:rPr>
        <w:t>What is the anticipated start month for the program?</w:t>
      </w:r>
    </w:p>
    <w:p w14:paraId="55A20D37" w14:textId="77777777" w:rsidR="001E4747" w:rsidRDefault="001E4747" w:rsidP="00B811CA"/>
    <w:p w14:paraId="7BD1963D" w14:textId="32532644" w:rsidR="001E4747" w:rsidRDefault="001E4747" w:rsidP="00C242A8">
      <w:pPr>
        <w:ind w:left="360"/>
      </w:pPr>
      <w:r>
        <w:t>The estimated start date is April 2024. For additional information</w:t>
      </w:r>
      <w:r w:rsidR="00A16BAD">
        <w:t>,</w:t>
      </w:r>
      <w:r>
        <w:t xml:space="preserve"> see Section VI of the SFP, Submission.</w:t>
      </w:r>
    </w:p>
    <w:p w14:paraId="33EDC7DC" w14:textId="77777777" w:rsidR="005B2DEE" w:rsidRPr="005B2DEE" w:rsidRDefault="005B2DEE" w:rsidP="00B811CA"/>
    <w:p w14:paraId="3D9A4D26" w14:textId="4F94062B" w:rsidR="006E575C" w:rsidRPr="00C242A8" w:rsidRDefault="006E575C" w:rsidP="00C242A8">
      <w:pPr>
        <w:pStyle w:val="ListParagraph"/>
        <w:numPr>
          <w:ilvl w:val="0"/>
          <w:numId w:val="25"/>
        </w:numPr>
        <w:rPr>
          <w:rFonts w:ascii="Calibri (body)" w:hAnsi="Calibri (body)" w:cs="Calibri"/>
          <w:b/>
          <w:bCs/>
        </w:rPr>
      </w:pPr>
      <w:r w:rsidRPr="00C242A8">
        <w:rPr>
          <w:rFonts w:ascii="Calibri (body)" w:hAnsi="Calibri (body)" w:cs="Calibri"/>
          <w:b/>
          <w:bCs/>
        </w:rPr>
        <w:t xml:space="preserve">Is it possible to have </w:t>
      </w:r>
      <w:r w:rsidR="00A16BAD" w:rsidRPr="00C242A8">
        <w:rPr>
          <w:rFonts w:ascii="Calibri (body)" w:hAnsi="Calibri (body)" w:cs="Calibri"/>
          <w:b/>
          <w:bCs/>
        </w:rPr>
        <w:t xml:space="preserve">the </w:t>
      </w:r>
      <w:r w:rsidRPr="00C242A8">
        <w:rPr>
          <w:rFonts w:ascii="Calibri (body)" w:hAnsi="Calibri (body)" w:cs="Calibri"/>
          <w:b/>
          <w:bCs/>
        </w:rPr>
        <w:t xml:space="preserve">application reviewed </w:t>
      </w:r>
      <w:r w:rsidR="00A16BAD" w:rsidRPr="00C242A8">
        <w:rPr>
          <w:rFonts w:ascii="Calibri (body)" w:hAnsi="Calibri (body)" w:cs="Calibri"/>
          <w:b/>
          <w:bCs/>
        </w:rPr>
        <w:t>before</w:t>
      </w:r>
      <w:r w:rsidRPr="00C242A8">
        <w:rPr>
          <w:rFonts w:ascii="Calibri (body)" w:hAnsi="Calibri (body)" w:cs="Calibri"/>
          <w:b/>
          <w:bCs/>
        </w:rPr>
        <w:t xml:space="preserve"> submission?</w:t>
      </w:r>
    </w:p>
    <w:p w14:paraId="3592AB72" w14:textId="77777777" w:rsidR="00B15BEC" w:rsidRPr="000C1C9E" w:rsidRDefault="00B15BEC" w:rsidP="00B811CA">
      <w:pPr>
        <w:rPr>
          <w:highlight w:val="green"/>
        </w:rPr>
      </w:pPr>
    </w:p>
    <w:p w14:paraId="5DBF923E" w14:textId="110886A1" w:rsidR="00506040" w:rsidRDefault="008B35AE" w:rsidP="00C242A8">
      <w:pPr>
        <w:ind w:left="360"/>
      </w:pPr>
      <w:r>
        <w:t>No, due to the competitive nature of the grant</w:t>
      </w:r>
      <w:r w:rsidR="00A16BAD">
        <w:t xml:space="preserve">, </w:t>
      </w:r>
      <w:r w:rsidR="007C6A7E">
        <w:t>there</w:t>
      </w:r>
      <w:r w:rsidR="00A16BAD">
        <w:t xml:space="preserve"> will not be any prior review</w:t>
      </w:r>
      <w:r>
        <w:t xml:space="preserve"> of applications.</w:t>
      </w:r>
      <w:r w:rsidR="00C242A8">
        <w:t xml:space="preserve"> </w:t>
      </w:r>
      <w:r w:rsidR="00502E62" w:rsidRPr="00502E62">
        <w:t>For additional information</w:t>
      </w:r>
      <w:r w:rsidR="00A16BAD">
        <w:t>,</w:t>
      </w:r>
      <w:r w:rsidR="00502E62" w:rsidRPr="00502E62">
        <w:t xml:space="preserve"> see </w:t>
      </w:r>
      <w:r w:rsidR="00502E62">
        <w:t xml:space="preserve">Appendix A </w:t>
      </w:r>
      <w:r w:rsidR="00502E62" w:rsidRPr="00502E62">
        <w:t>of the SFP, Proposal Package Instruction</w:t>
      </w:r>
      <w:r w:rsidR="00A16BAD">
        <w:t>.</w:t>
      </w:r>
    </w:p>
    <w:p w14:paraId="58DFC212" w14:textId="77777777" w:rsidR="00502E62" w:rsidRDefault="00502E62" w:rsidP="00B811CA"/>
    <w:p w14:paraId="25C656F9" w14:textId="7DF61F7F" w:rsidR="00506040" w:rsidRPr="00C242A8" w:rsidRDefault="00506040" w:rsidP="00C242A8">
      <w:pPr>
        <w:pStyle w:val="ListParagraph"/>
        <w:numPr>
          <w:ilvl w:val="0"/>
          <w:numId w:val="25"/>
        </w:numPr>
        <w:rPr>
          <w:rFonts w:ascii="Calibri (body)" w:hAnsi="Calibri (body)" w:cs="Calibri"/>
          <w:b/>
          <w:bCs/>
        </w:rPr>
      </w:pPr>
      <w:r w:rsidRPr="00C242A8">
        <w:rPr>
          <w:rFonts w:ascii="Calibri (body)" w:hAnsi="Calibri (body)" w:cs="Calibri"/>
          <w:b/>
          <w:bCs/>
        </w:rPr>
        <w:t xml:space="preserve">Do subgrantees </w:t>
      </w:r>
      <w:r w:rsidR="00502E62" w:rsidRPr="00C242A8">
        <w:rPr>
          <w:rFonts w:ascii="Calibri (body)" w:hAnsi="Calibri (body)" w:cs="Calibri"/>
          <w:b/>
          <w:bCs/>
        </w:rPr>
        <w:t xml:space="preserve">of the lead applicant </w:t>
      </w:r>
      <w:r w:rsidRPr="00C242A8">
        <w:rPr>
          <w:rFonts w:ascii="Calibri (body)" w:hAnsi="Calibri (body)" w:cs="Calibri"/>
          <w:b/>
          <w:bCs/>
        </w:rPr>
        <w:t>need to report in CalJ</w:t>
      </w:r>
      <w:r w:rsidR="00A16BAD" w:rsidRPr="00C242A8">
        <w:rPr>
          <w:rFonts w:ascii="Calibri (body)" w:hAnsi="Calibri (body)" w:cs="Calibri"/>
          <w:b/>
          <w:bCs/>
        </w:rPr>
        <w:t>OBS</w:t>
      </w:r>
      <w:r w:rsidRPr="00C242A8">
        <w:rPr>
          <w:rFonts w:ascii="Calibri (body)" w:hAnsi="Calibri (body)" w:cs="Calibri"/>
          <w:b/>
          <w:bCs/>
        </w:rPr>
        <w:t xml:space="preserve">? </w:t>
      </w:r>
    </w:p>
    <w:p w14:paraId="64DBDE69" w14:textId="77777777" w:rsidR="00506040" w:rsidRPr="00502E62" w:rsidRDefault="00506040" w:rsidP="00B811CA"/>
    <w:p w14:paraId="5D952687" w14:textId="02754A25" w:rsidR="00506040" w:rsidRPr="00506040" w:rsidRDefault="00502E62" w:rsidP="00C242A8">
      <w:pPr>
        <w:ind w:firstLine="360"/>
      </w:pPr>
      <w:r w:rsidRPr="00502E62">
        <w:t>No, t</w:t>
      </w:r>
      <w:r w:rsidR="0071353A" w:rsidRPr="00502E62">
        <w:t xml:space="preserve">he lead applicant is responsible for </w:t>
      </w:r>
      <w:r w:rsidR="00A16BAD">
        <w:t>reporting all data</w:t>
      </w:r>
      <w:r w:rsidR="0071353A" w:rsidRPr="00502E62">
        <w:t xml:space="preserve"> in CalJOBS. </w:t>
      </w:r>
    </w:p>
    <w:p w14:paraId="3868C124" w14:textId="77777777" w:rsidR="00506040" w:rsidRDefault="00506040" w:rsidP="00B811CA"/>
    <w:p w14:paraId="0CB8AA78" w14:textId="77777777" w:rsidR="00C242A8" w:rsidRDefault="00C242A8">
      <w:pPr>
        <w:rPr>
          <w:rFonts w:ascii="Calibri (body)" w:hAnsi="Calibri (body)" w:cs="Calibri"/>
          <w:b/>
          <w:bCs/>
        </w:rPr>
      </w:pPr>
      <w:r>
        <w:rPr>
          <w:rFonts w:ascii="Calibri (body)" w:hAnsi="Calibri (body)" w:cs="Calibri"/>
          <w:b/>
          <w:bCs/>
        </w:rPr>
        <w:br w:type="page"/>
      </w:r>
    </w:p>
    <w:p w14:paraId="11F419A3" w14:textId="70A889BA" w:rsidR="00506040" w:rsidRPr="00C242A8" w:rsidRDefault="00AB5A30" w:rsidP="00C242A8">
      <w:pPr>
        <w:pStyle w:val="ListParagraph"/>
        <w:numPr>
          <w:ilvl w:val="0"/>
          <w:numId w:val="25"/>
        </w:numPr>
        <w:rPr>
          <w:rFonts w:ascii="Calibri (body)" w:hAnsi="Calibri (body)" w:cs="Calibri"/>
          <w:b/>
          <w:bCs/>
        </w:rPr>
      </w:pPr>
      <w:r w:rsidRPr="00C242A8">
        <w:rPr>
          <w:rFonts w:ascii="Calibri (body)" w:hAnsi="Calibri (body)" w:cs="Calibri"/>
          <w:b/>
          <w:bCs/>
        </w:rPr>
        <w:lastRenderedPageBreak/>
        <w:t>S</w:t>
      </w:r>
      <w:r w:rsidR="00506040" w:rsidRPr="00C242A8">
        <w:rPr>
          <w:rFonts w:ascii="Calibri (body)" w:hAnsi="Calibri (body)" w:cs="Calibri"/>
          <w:b/>
          <w:bCs/>
        </w:rPr>
        <w:t xml:space="preserve">hould the project total </w:t>
      </w:r>
      <w:r w:rsidRPr="00C242A8">
        <w:rPr>
          <w:rFonts w:ascii="Calibri (body)" w:hAnsi="Calibri (body)" w:cs="Calibri"/>
          <w:b/>
          <w:bCs/>
        </w:rPr>
        <w:t xml:space="preserve">be the total of requested and leveraged funds? </w:t>
      </w:r>
    </w:p>
    <w:p w14:paraId="3A217928" w14:textId="77777777" w:rsidR="00506040" w:rsidRPr="005A56AA" w:rsidRDefault="00506040" w:rsidP="00B811CA">
      <w:pPr>
        <w:rPr>
          <w:highlight w:val="yellow"/>
        </w:rPr>
      </w:pPr>
    </w:p>
    <w:p w14:paraId="53AD3148" w14:textId="7B366408" w:rsidR="00AB5A30" w:rsidRPr="00C242A8" w:rsidRDefault="009A5BCF" w:rsidP="00C242A8">
      <w:pPr>
        <w:ind w:left="360"/>
        <w:rPr>
          <w:highlight w:val="yellow"/>
        </w:rPr>
      </w:pPr>
      <w:r>
        <w:t>T</w:t>
      </w:r>
      <w:r w:rsidRPr="009A5BCF">
        <w:t>he total project cost will include the requested amount and the leveraged funds amount</w:t>
      </w:r>
      <w:r>
        <w:t>.</w:t>
      </w:r>
      <w:r w:rsidR="00C242A8">
        <w:t xml:space="preserve"> </w:t>
      </w:r>
      <w:r w:rsidR="00AB5A30" w:rsidRPr="00AB5A30">
        <w:t xml:space="preserve">For additional information </w:t>
      </w:r>
      <w:r>
        <w:t>on how to complete the budge</w:t>
      </w:r>
      <w:r w:rsidR="007072A6">
        <w:t>t</w:t>
      </w:r>
      <w:r w:rsidR="00A16BAD">
        <w:t>,</w:t>
      </w:r>
      <w:r>
        <w:t xml:space="preserve"> </w:t>
      </w:r>
      <w:r w:rsidR="00AB5A30" w:rsidRPr="00AB5A30">
        <w:t>see Appendix A of the SFP, Proposal Package Instruction</w:t>
      </w:r>
      <w:r w:rsidR="00A16BAD">
        <w:t>.</w:t>
      </w:r>
    </w:p>
    <w:p w14:paraId="15B34656" w14:textId="77777777" w:rsidR="00AB5A30" w:rsidRDefault="00AB5A30" w:rsidP="00B811CA">
      <w:pPr>
        <w:rPr>
          <w:b/>
        </w:rPr>
      </w:pPr>
    </w:p>
    <w:p w14:paraId="1E05621A" w14:textId="542ABE97" w:rsidR="0095391E" w:rsidRPr="00C242A8" w:rsidRDefault="0095391E" w:rsidP="00C242A8">
      <w:pPr>
        <w:pStyle w:val="ListParagraph"/>
        <w:numPr>
          <w:ilvl w:val="0"/>
          <w:numId w:val="25"/>
        </w:numPr>
        <w:rPr>
          <w:rFonts w:ascii="Calibri (body)" w:hAnsi="Calibri (body)" w:cs="Calibri"/>
          <w:b/>
          <w:bCs/>
        </w:rPr>
      </w:pPr>
      <w:r w:rsidRPr="00C242A8">
        <w:rPr>
          <w:rFonts w:ascii="Calibri (body)" w:hAnsi="Calibri (body)" w:cs="Calibri"/>
          <w:b/>
          <w:bCs/>
        </w:rPr>
        <w:t xml:space="preserve">What is </w:t>
      </w:r>
      <w:r w:rsidR="00A16BAD" w:rsidRPr="00C242A8">
        <w:rPr>
          <w:rFonts w:ascii="Calibri (body)" w:hAnsi="Calibri (body)" w:cs="Calibri"/>
          <w:b/>
          <w:bCs/>
        </w:rPr>
        <w:t xml:space="preserve">the </w:t>
      </w:r>
      <w:r w:rsidR="009A5BCF" w:rsidRPr="00C242A8">
        <w:rPr>
          <w:rFonts w:ascii="Calibri (body)" w:hAnsi="Calibri (body)" w:cs="Calibri"/>
          <w:b/>
          <w:bCs/>
        </w:rPr>
        <w:t>System for Award Management (</w:t>
      </w:r>
      <w:r w:rsidRPr="00C242A8">
        <w:rPr>
          <w:rFonts w:ascii="Calibri (body)" w:hAnsi="Calibri (body)" w:cs="Calibri"/>
          <w:b/>
          <w:bCs/>
        </w:rPr>
        <w:t>SAM</w:t>
      </w:r>
      <w:r w:rsidR="009A5BCF" w:rsidRPr="00C242A8">
        <w:rPr>
          <w:rFonts w:ascii="Calibri (body)" w:hAnsi="Calibri (body)" w:cs="Calibri"/>
          <w:b/>
          <w:bCs/>
        </w:rPr>
        <w:t>) requirement</w:t>
      </w:r>
      <w:r w:rsidR="00A16BAD" w:rsidRPr="00C242A8">
        <w:rPr>
          <w:rFonts w:ascii="Calibri (body)" w:hAnsi="Calibri (body)" w:cs="Calibri"/>
          <w:b/>
          <w:bCs/>
        </w:rPr>
        <w:t>,</w:t>
      </w:r>
      <w:r w:rsidR="009A5BCF" w:rsidRPr="00C242A8">
        <w:rPr>
          <w:rFonts w:ascii="Calibri (body)" w:hAnsi="Calibri (body)" w:cs="Calibri"/>
          <w:b/>
          <w:bCs/>
        </w:rPr>
        <w:t xml:space="preserve"> </w:t>
      </w:r>
      <w:r w:rsidRPr="00C242A8">
        <w:rPr>
          <w:rFonts w:ascii="Calibri (body)" w:hAnsi="Calibri (body)" w:cs="Calibri"/>
          <w:b/>
          <w:bCs/>
        </w:rPr>
        <w:t xml:space="preserve">and how </w:t>
      </w:r>
      <w:r w:rsidR="009A5BCF" w:rsidRPr="00C242A8">
        <w:rPr>
          <w:rFonts w:ascii="Calibri (body)" w:hAnsi="Calibri (body)" w:cs="Calibri"/>
          <w:b/>
          <w:bCs/>
        </w:rPr>
        <w:t xml:space="preserve">does a company ensure they are </w:t>
      </w:r>
      <w:r w:rsidRPr="00C242A8">
        <w:rPr>
          <w:rFonts w:ascii="Calibri (body)" w:hAnsi="Calibri (body)" w:cs="Calibri"/>
          <w:b/>
          <w:bCs/>
        </w:rPr>
        <w:t>registered?</w:t>
      </w:r>
    </w:p>
    <w:p w14:paraId="41352B64" w14:textId="77777777" w:rsidR="00BB0A6F" w:rsidRDefault="00BB0A6F" w:rsidP="00B811CA"/>
    <w:p w14:paraId="10C172C8" w14:textId="3C7599E8" w:rsidR="0095391E" w:rsidRDefault="00BB0A6F" w:rsidP="00C242A8">
      <w:pPr>
        <w:ind w:left="360"/>
      </w:pPr>
      <w:r w:rsidRPr="005A56AA">
        <w:t>SAM</w:t>
      </w:r>
      <w:r w:rsidR="00070A13">
        <w:t>.gov</w:t>
      </w:r>
      <w:r w:rsidRPr="005A56AA">
        <w:t xml:space="preserve"> is an official website for registering your business with the federal government. To remain eligible for funding, applicants must maintain an active registration in the SAM database. To check if your company is registered, please </w:t>
      </w:r>
      <w:r w:rsidR="005A56AA" w:rsidRPr="005A56AA">
        <w:t>visit</w:t>
      </w:r>
      <w:r w:rsidRPr="005A56AA">
        <w:t xml:space="preserve"> </w:t>
      </w:r>
      <w:hyperlink r:id="rId15" w:history="1">
        <w:r w:rsidR="00C242A8" w:rsidRPr="00196202">
          <w:rPr>
            <w:rStyle w:val="Hyperlink"/>
            <w:u w:val="none"/>
          </w:rPr>
          <w:t>www.SAM.gov</w:t>
        </w:r>
      </w:hyperlink>
      <w:r w:rsidRPr="005A56AA">
        <w:t>.</w:t>
      </w:r>
      <w:r w:rsidR="00C242A8">
        <w:t xml:space="preserve"> </w:t>
      </w:r>
      <w:r w:rsidR="0095391E" w:rsidRPr="005A56AA">
        <w:t>For additional information</w:t>
      </w:r>
      <w:r w:rsidR="00A16BAD">
        <w:t>,</w:t>
      </w:r>
      <w:r w:rsidR="0095391E" w:rsidRPr="005A56AA">
        <w:t xml:space="preserve"> see Section </w:t>
      </w:r>
      <w:r w:rsidRPr="005A56AA">
        <w:t>IV</w:t>
      </w:r>
      <w:r w:rsidR="0095391E" w:rsidRPr="005A56AA">
        <w:t xml:space="preserve"> of the SFP, </w:t>
      </w:r>
      <w:r w:rsidRPr="005A56AA">
        <w:t>Application and Program Requirements</w:t>
      </w:r>
      <w:r w:rsidR="0095391E" w:rsidRPr="005A56AA">
        <w:t>.</w:t>
      </w:r>
    </w:p>
    <w:p w14:paraId="1847C03D" w14:textId="77777777" w:rsidR="00BB0A6F" w:rsidRDefault="00BB0A6F" w:rsidP="00B811CA"/>
    <w:p w14:paraId="1B1587AD" w14:textId="045957DF" w:rsidR="00BB0A6F" w:rsidRPr="00196202" w:rsidRDefault="00070A13" w:rsidP="00196202">
      <w:pPr>
        <w:pStyle w:val="ListParagraph"/>
        <w:numPr>
          <w:ilvl w:val="0"/>
          <w:numId w:val="25"/>
        </w:numPr>
        <w:rPr>
          <w:rFonts w:ascii="Calibri (body)" w:hAnsi="Calibri (body)" w:cs="Calibri"/>
          <w:b/>
          <w:bCs/>
        </w:rPr>
      </w:pPr>
      <w:r w:rsidRPr="00196202">
        <w:rPr>
          <w:rFonts w:ascii="Calibri (body)" w:hAnsi="Calibri (body)" w:cs="Calibri"/>
          <w:b/>
          <w:bCs/>
        </w:rPr>
        <w:t>D</w:t>
      </w:r>
      <w:r w:rsidR="00BB0A6F" w:rsidRPr="00196202">
        <w:rPr>
          <w:rFonts w:ascii="Calibri (body)" w:hAnsi="Calibri (body)" w:cs="Calibri"/>
          <w:b/>
          <w:bCs/>
        </w:rPr>
        <w:t>oes every project require a mental health support?</w:t>
      </w:r>
    </w:p>
    <w:p w14:paraId="673E5AAC" w14:textId="77777777" w:rsidR="00BB0A6F" w:rsidRPr="00070A13" w:rsidRDefault="00BB0A6F" w:rsidP="00B811CA"/>
    <w:p w14:paraId="51C90075" w14:textId="0BDB1C2C" w:rsidR="00457CEB" w:rsidRDefault="00BB0A6F" w:rsidP="00196202">
      <w:pPr>
        <w:ind w:left="360"/>
      </w:pPr>
      <w:r w:rsidRPr="00070A13">
        <w:t xml:space="preserve">While the funding does </w:t>
      </w:r>
      <w:r w:rsidR="00457CEB" w:rsidRPr="00070A13">
        <w:t>require the implementation of trauma-informed and innovative</w:t>
      </w:r>
      <w:r w:rsidRPr="00070A13">
        <w:t xml:space="preserve"> wrap-around services, mental health services are not specifically required.</w:t>
      </w:r>
      <w:r w:rsidR="00457CEB" w:rsidRPr="00070A13">
        <w:t xml:space="preserve"> For additional information, see Section III of the SFP, Project Design</w:t>
      </w:r>
      <w:r w:rsidR="00A16BAD">
        <w:t>.</w:t>
      </w:r>
    </w:p>
    <w:p w14:paraId="14F7080F" w14:textId="77777777" w:rsidR="00185476" w:rsidRDefault="00185476" w:rsidP="00B811CA"/>
    <w:p w14:paraId="6E3FC8EF" w14:textId="7916706C" w:rsidR="00185476" w:rsidRPr="00196202" w:rsidRDefault="00185476" w:rsidP="00196202">
      <w:pPr>
        <w:pStyle w:val="ListParagraph"/>
        <w:numPr>
          <w:ilvl w:val="0"/>
          <w:numId w:val="25"/>
        </w:numPr>
        <w:rPr>
          <w:rFonts w:ascii="Calibri (body)" w:hAnsi="Calibri (body)" w:cs="Calibri"/>
          <w:b/>
          <w:bCs/>
        </w:rPr>
      </w:pPr>
      <w:r w:rsidRPr="00196202">
        <w:rPr>
          <w:rFonts w:ascii="Calibri (body)" w:hAnsi="Calibri (body)" w:cs="Calibri"/>
          <w:b/>
          <w:bCs/>
        </w:rPr>
        <w:t xml:space="preserve">What </w:t>
      </w:r>
      <w:r w:rsidR="00070A13" w:rsidRPr="00196202">
        <w:rPr>
          <w:rFonts w:ascii="Calibri (body)" w:hAnsi="Calibri (body)" w:cs="Calibri"/>
          <w:b/>
          <w:bCs/>
        </w:rPr>
        <w:t>are the requirements of the NOI</w:t>
      </w:r>
      <w:r w:rsidRPr="00196202">
        <w:rPr>
          <w:rFonts w:ascii="Calibri (body)" w:hAnsi="Calibri (body)" w:cs="Calibri"/>
          <w:b/>
          <w:bCs/>
        </w:rPr>
        <w:t xml:space="preserve">? </w:t>
      </w:r>
    </w:p>
    <w:p w14:paraId="58F209EA" w14:textId="77777777" w:rsidR="00185476" w:rsidRPr="005A56AA" w:rsidRDefault="00185476" w:rsidP="00B811CA"/>
    <w:p w14:paraId="57D9B42A" w14:textId="14C13169" w:rsidR="00185476" w:rsidRPr="00185476" w:rsidRDefault="00185476" w:rsidP="00196202">
      <w:pPr>
        <w:ind w:left="360"/>
      </w:pPr>
      <w:r w:rsidRPr="005A56AA">
        <w:t xml:space="preserve">The </w:t>
      </w:r>
      <w:r w:rsidR="00070A13">
        <w:t>NOI</w:t>
      </w:r>
      <w:r w:rsidRPr="005A56AA">
        <w:t xml:space="preserve"> </w:t>
      </w:r>
      <w:r w:rsidR="00070A13">
        <w:t xml:space="preserve">will be submitted in </w:t>
      </w:r>
      <w:r w:rsidRPr="005A56AA">
        <w:t xml:space="preserve">an email with the subject line </w:t>
      </w:r>
      <w:r w:rsidR="00A16BAD">
        <w:t>"</w:t>
      </w:r>
      <w:r w:rsidRPr="005A56AA">
        <w:t>Notice of Intent</w:t>
      </w:r>
      <w:r w:rsidR="00A16BAD">
        <w:t>,"</w:t>
      </w:r>
      <w:r w:rsidRPr="005A56AA">
        <w:t xml:space="preserve"> the body will contain </w:t>
      </w:r>
      <w:r w:rsidR="00A16BAD">
        <w:t>your organization's name</w:t>
      </w:r>
      <w:r w:rsidR="00070A13">
        <w:t xml:space="preserve"> </w:t>
      </w:r>
      <w:r w:rsidR="00A16BAD">
        <w:t xml:space="preserve">and will be </w:t>
      </w:r>
      <w:r w:rsidR="00070A13">
        <w:t xml:space="preserve">sent to </w:t>
      </w:r>
      <w:r w:rsidRPr="005A56AA">
        <w:t>WSBSFP3@edd.ca.gov by January 19</w:t>
      </w:r>
      <w:r w:rsidR="00070A13">
        <w:t xml:space="preserve">, </w:t>
      </w:r>
      <w:r w:rsidR="007072A6">
        <w:t>2024,</w:t>
      </w:r>
      <w:r w:rsidR="00070A13">
        <w:t xml:space="preserve"> by noon </w:t>
      </w:r>
      <w:r w:rsidRPr="005A56AA">
        <w:t>PST.</w:t>
      </w:r>
      <w:r>
        <w:t xml:space="preserve"> </w:t>
      </w:r>
    </w:p>
    <w:p w14:paraId="43733985" w14:textId="77777777" w:rsidR="00A16BAD" w:rsidRDefault="00A16BAD" w:rsidP="00B811CA">
      <w:bookmarkStart w:id="2" w:name="_Hlk156557954"/>
    </w:p>
    <w:p w14:paraId="2ECB683E" w14:textId="1B9EB3FE" w:rsidR="0095391E" w:rsidRPr="00196202" w:rsidRDefault="0095391E" w:rsidP="00196202">
      <w:pPr>
        <w:pStyle w:val="ListParagraph"/>
        <w:numPr>
          <w:ilvl w:val="0"/>
          <w:numId w:val="25"/>
        </w:numPr>
        <w:rPr>
          <w:b/>
          <w:bCs/>
        </w:rPr>
      </w:pPr>
      <w:r w:rsidRPr="00196202">
        <w:rPr>
          <w:b/>
          <w:bCs/>
        </w:rPr>
        <w:t>Please describe what the leverage requirement is and how this is similar or different from a match</w:t>
      </w:r>
      <w:r w:rsidR="00A16BAD" w:rsidRPr="00196202">
        <w:rPr>
          <w:b/>
          <w:bCs/>
        </w:rPr>
        <w:t>.</w:t>
      </w:r>
    </w:p>
    <w:p w14:paraId="63D6C126" w14:textId="77777777" w:rsidR="0095391E" w:rsidRPr="007072A6" w:rsidRDefault="0095391E" w:rsidP="00B811CA"/>
    <w:p w14:paraId="5198D44D" w14:textId="532111F7" w:rsidR="0071353A" w:rsidRPr="007072A6" w:rsidRDefault="00070A13" w:rsidP="00196202">
      <w:pPr>
        <w:ind w:left="360"/>
      </w:pPr>
      <w:r w:rsidRPr="007072A6">
        <w:t>The</w:t>
      </w:r>
      <w:r w:rsidR="00A16BAD">
        <w:t xml:space="preserve"> grant has no match requirement; however,</w:t>
      </w:r>
      <w:r w:rsidR="007072A6" w:rsidRPr="007072A6">
        <w:t xml:space="preserve"> a</w:t>
      </w:r>
      <w:r w:rsidR="000533B0" w:rsidRPr="007072A6">
        <w:t>pplicants must demonstrate the ability to leverage at least 20 percent of their budget with funds or services from other sources. Leveraged funds are a contribution of funds made available to the subrecipient to be explicitly used for project activities</w:t>
      </w:r>
      <w:r w:rsidR="00A16BAD">
        <w:t>. They</w:t>
      </w:r>
      <w:r w:rsidR="000533B0" w:rsidRPr="007072A6">
        <w:t xml:space="preserve"> must be consistent with the allowable activities of the fund source. The definition of </w:t>
      </w:r>
      <w:r w:rsidR="00A16BAD">
        <w:t>"</w:t>
      </w:r>
      <w:r w:rsidR="000533B0" w:rsidRPr="007072A6">
        <w:t>in-kind resources</w:t>
      </w:r>
      <w:r w:rsidR="00A16BAD">
        <w:t>"</w:t>
      </w:r>
      <w:r w:rsidR="000533B0" w:rsidRPr="007072A6">
        <w:t xml:space="preserve"> is a contribution of non-cash resources explicitly used for project activities. </w:t>
      </w:r>
      <w:r w:rsidR="007072A6" w:rsidRPr="007072A6">
        <w:t>For addition</w:t>
      </w:r>
      <w:r w:rsidR="00A16BAD">
        <w:t>al</w:t>
      </w:r>
      <w:r w:rsidR="007072A6" w:rsidRPr="007072A6">
        <w:t xml:space="preserve"> information</w:t>
      </w:r>
      <w:r w:rsidR="00A16BAD">
        <w:t>,</w:t>
      </w:r>
      <w:r w:rsidR="007072A6" w:rsidRPr="007072A6">
        <w:t xml:space="preserve"> see Section V of the SFP, Leveraging Funds and Resources.</w:t>
      </w:r>
    </w:p>
    <w:bookmarkEnd w:id="2"/>
    <w:p w14:paraId="40899954" w14:textId="77777777" w:rsidR="0067240A" w:rsidRPr="005A56AA" w:rsidRDefault="0067240A" w:rsidP="00B811CA">
      <w:pPr>
        <w:rPr>
          <w:highlight w:val="yellow"/>
        </w:rPr>
      </w:pPr>
    </w:p>
    <w:p w14:paraId="4B534B23" w14:textId="68B51CDB" w:rsidR="0095391E" w:rsidRPr="00196202" w:rsidRDefault="0095391E" w:rsidP="00196202">
      <w:pPr>
        <w:pStyle w:val="ListParagraph"/>
        <w:numPr>
          <w:ilvl w:val="0"/>
          <w:numId w:val="25"/>
        </w:numPr>
        <w:rPr>
          <w:rFonts w:ascii="Calibri (body)" w:hAnsi="Calibri (body)" w:cs="Calibri"/>
          <w:b/>
          <w:bCs/>
        </w:rPr>
      </w:pPr>
      <w:r w:rsidRPr="00196202">
        <w:rPr>
          <w:rFonts w:ascii="Calibri (body)" w:hAnsi="Calibri (body)" w:cs="Calibri"/>
          <w:b/>
          <w:bCs/>
        </w:rPr>
        <w:t>What is the difference between the Work Plan and the Logic Model?</w:t>
      </w:r>
    </w:p>
    <w:p w14:paraId="244A7E16" w14:textId="77777777" w:rsidR="0095391E" w:rsidRPr="007072A6" w:rsidRDefault="0095391E" w:rsidP="00B811CA"/>
    <w:p w14:paraId="58BDCECE" w14:textId="02626C44" w:rsidR="000533B0" w:rsidRPr="007072A6" w:rsidRDefault="000533B0" w:rsidP="00196202">
      <w:pPr>
        <w:ind w:left="360"/>
      </w:pPr>
      <w:r w:rsidRPr="007072A6">
        <w:t>The work plan demonstrates how the project will meet the defined goals and direct existing resources in new, more effective ways of serving the target population.</w:t>
      </w:r>
      <w:r w:rsidR="0071353A" w:rsidRPr="007072A6">
        <w:t xml:space="preserve"> The Work Plan also includes a timeline for when </w:t>
      </w:r>
      <w:r w:rsidR="00A16BAD">
        <w:t>specific</w:t>
      </w:r>
      <w:r w:rsidR="0071353A" w:rsidRPr="007072A6">
        <w:t xml:space="preserve"> activities will take place during the per</w:t>
      </w:r>
      <w:r w:rsidR="00A16BAD">
        <w:t>formance period</w:t>
      </w:r>
      <w:r w:rsidR="0071353A" w:rsidRPr="007072A6">
        <w:t xml:space="preserve">. </w:t>
      </w:r>
    </w:p>
    <w:p w14:paraId="60371A70" w14:textId="77777777" w:rsidR="000533B0" w:rsidRPr="007072A6" w:rsidRDefault="000533B0" w:rsidP="00196202">
      <w:pPr>
        <w:ind w:left="360"/>
      </w:pPr>
    </w:p>
    <w:p w14:paraId="7EF73F19" w14:textId="088F800E" w:rsidR="00185476" w:rsidRDefault="000533B0" w:rsidP="00196202">
      <w:pPr>
        <w:ind w:left="360"/>
      </w:pPr>
      <w:r w:rsidRPr="007072A6">
        <w:t>The Logic Model is a graphical representation of program activities and their intended outcomes as depicted in the overall project</w:t>
      </w:r>
      <w:r w:rsidR="00A16BAD">
        <w:t>'</w:t>
      </w:r>
      <w:r w:rsidRPr="007072A6">
        <w:t>s theory of change.</w:t>
      </w:r>
      <w:r w:rsidR="00196202">
        <w:t xml:space="preserve"> </w:t>
      </w:r>
      <w:r w:rsidR="007072A6" w:rsidRPr="007072A6">
        <w:t>For additional information</w:t>
      </w:r>
      <w:r w:rsidR="00A16BAD">
        <w:t>,</w:t>
      </w:r>
      <w:r w:rsidR="007072A6" w:rsidRPr="007072A6">
        <w:t xml:space="preserve"> see Appendix A of the SFP, Proposal Package Instruction</w:t>
      </w:r>
      <w:r w:rsidR="00A16BAD">
        <w:t>.</w:t>
      </w:r>
    </w:p>
    <w:p w14:paraId="6062AF22" w14:textId="77777777" w:rsidR="007072A6" w:rsidRPr="0095391E" w:rsidRDefault="007072A6" w:rsidP="00B811CA">
      <w:pPr>
        <w:rPr>
          <w:highlight w:val="green"/>
        </w:rPr>
      </w:pPr>
    </w:p>
    <w:p w14:paraId="5BDFF485" w14:textId="77777777" w:rsidR="00196202" w:rsidRDefault="00196202">
      <w:pPr>
        <w:rPr>
          <w:rFonts w:ascii="Calibri (body)" w:hAnsi="Calibri (body)" w:cs="Calibri"/>
          <w:b/>
          <w:bCs/>
        </w:rPr>
      </w:pPr>
      <w:r>
        <w:rPr>
          <w:rFonts w:ascii="Calibri (body)" w:hAnsi="Calibri (body)" w:cs="Calibri"/>
          <w:b/>
          <w:bCs/>
        </w:rPr>
        <w:br w:type="page"/>
      </w:r>
    </w:p>
    <w:p w14:paraId="55764B90" w14:textId="58E17204" w:rsidR="0095391E" w:rsidRPr="00196202" w:rsidRDefault="0095391E" w:rsidP="00196202">
      <w:pPr>
        <w:pStyle w:val="ListParagraph"/>
        <w:numPr>
          <w:ilvl w:val="0"/>
          <w:numId w:val="25"/>
        </w:numPr>
        <w:rPr>
          <w:rFonts w:ascii="Calibri (body)" w:hAnsi="Calibri (body)" w:cs="Calibri"/>
          <w:b/>
          <w:bCs/>
        </w:rPr>
      </w:pPr>
      <w:r w:rsidRPr="00196202">
        <w:rPr>
          <w:rFonts w:ascii="Calibri (body)" w:hAnsi="Calibri (body)" w:cs="Calibri"/>
          <w:b/>
          <w:bCs/>
        </w:rPr>
        <w:lastRenderedPageBreak/>
        <w:t>Are board members considered partners?</w:t>
      </w:r>
    </w:p>
    <w:p w14:paraId="185280D0" w14:textId="77777777" w:rsidR="0095391E" w:rsidRPr="007072A6" w:rsidRDefault="0095391E" w:rsidP="00B811CA"/>
    <w:p w14:paraId="24996721" w14:textId="5A32E5DD" w:rsidR="0095391E" w:rsidRPr="007072A6" w:rsidRDefault="0071353A" w:rsidP="00196202">
      <w:pPr>
        <w:ind w:left="360"/>
      </w:pPr>
      <w:r w:rsidRPr="007072A6">
        <w:t xml:space="preserve">Partners are those organizations and/or individuals an applicant will work with to provide services to address </w:t>
      </w:r>
      <w:r w:rsidR="00A16BAD">
        <w:t xml:space="preserve">the </w:t>
      </w:r>
      <w:r w:rsidRPr="007072A6">
        <w:t xml:space="preserve">basic needs of the target population to participate in training programs. </w:t>
      </w:r>
      <w:r w:rsidR="007072A6" w:rsidRPr="007072A6">
        <w:t>For additional information</w:t>
      </w:r>
      <w:r w:rsidR="00A16BAD">
        <w:t>,</w:t>
      </w:r>
      <w:r w:rsidR="007072A6" w:rsidRPr="007072A6">
        <w:t xml:space="preserve"> see </w:t>
      </w:r>
      <w:r w:rsidR="000F1E74" w:rsidRPr="007072A6">
        <w:t>Section III</w:t>
      </w:r>
      <w:r w:rsidR="007072A6" w:rsidRPr="007072A6">
        <w:t xml:space="preserve"> of the SFP</w:t>
      </w:r>
      <w:r w:rsidR="000F1E74" w:rsidRPr="007072A6">
        <w:t>, Collaboration and Strategic Partnerships</w:t>
      </w:r>
      <w:r w:rsidR="007072A6" w:rsidRPr="007072A6">
        <w:t>.</w:t>
      </w:r>
      <w:r w:rsidR="000F1E74" w:rsidRPr="007072A6">
        <w:t xml:space="preserve">  </w:t>
      </w:r>
    </w:p>
    <w:p w14:paraId="3550D814" w14:textId="77777777" w:rsidR="00185476" w:rsidRPr="0095391E" w:rsidRDefault="00185476" w:rsidP="00B811CA">
      <w:pPr>
        <w:rPr>
          <w:highlight w:val="green"/>
        </w:rPr>
      </w:pPr>
    </w:p>
    <w:p w14:paraId="6411F306" w14:textId="4F972452" w:rsidR="0095391E" w:rsidRPr="00196202" w:rsidRDefault="0095391E" w:rsidP="00196202">
      <w:pPr>
        <w:pStyle w:val="ListParagraph"/>
        <w:numPr>
          <w:ilvl w:val="0"/>
          <w:numId w:val="25"/>
        </w:numPr>
        <w:rPr>
          <w:b/>
          <w:bCs/>
        </w:rPr>
      </w:pPr>
      <w:r w:rsidRPr="00196202">
        <w:rPr>
          <w:b/>
          <w:bCs/>
        </w:rPr>
        <w:t>Will this solicitation be open next year for funding?</w:t>
      </w:r>
    </w:p>
    <w:p w14:paraId="5AB51C41" w14:textId="77777777" w:rsidR="0095391E" w:rsidRPr="005A56AA" w:rsidRDefault="0095391E" w:rsidP="00B811CA"/>
    <w:p w14:paraId="4D97BE12" w14:textId="6C14F7BD" w:rsidR="00BB0A6F" w:rsidRDefault="008B35AE" w:rsidP="00196202">
      <w:pPr>
        <w:ind w:left="360"/>
      </w:pPr>
      <w:r w:rsidRPr="005A56AA">
        <w:t xml:space="preserve">The EDD does anticipate funding this opportunity again. </w:t>
      </w:r>
      <w:r w:rsidR="0095391E" w:rsidRPr="005A56AA">
        <w:t xml:space="preserve">Please refer to the </w:t>
      </w:r>
      <w:r w:rsidR="009D28E2" w:rsidRPr="005A56AA">
        <w:t>EDD website</w:t>
      </w:r>
      <w:r w:rsidR="0095391E" w:rsidRPr="005A56AA">
        <w:t xml:space="preserve"> to stay </w:t>
      </w:r>
      <w:r w:rsidR="00A16BAD">
        <w:t>current</w:t>
      </w:r>
      <w:r w:rsidR="0095391E" w:rsidRPr="005A56AA">
        <w:t xml:space="preserve"> on new funding opportunities.</w:t>
      </w:r>
      <w:r w:rsidR="0095391E">
        <w:t xml:space="preserve"> </w:t>
      </w:r>
      <w:r w:rsidR="00234028" w:rsidRPr="00234028">
        <w:t>For additional information</w:t>
      </w:r>
      <w:r w:rsidR="00A16BAD">
        <w:t>,</w:t>
      </w:r>
      <w:r w:rsidR="00234028" w:rsidRPr="00234028">
        <w:t xml:space="preserve"> see </w:t>
      </w:r>
      <w:r w:rsidR="00234028">
        <w:t xml:space="preserve">the EDD website for future </w:t>
      </w:r>
      <w:r w:rsidR="00A16BAD">
        <w:t>solicitations for p</w:t>
      </w:r>
      <w:r w:rsidR="00234028">
        <w:t>roposals</w:t>
      </w:r>
      <w:r w:rsidR="00234028" w:rsidRPr="00234028">
        <w:t xml:space="preserve">.  </w:t>
      </w:r>
      <w:r w:rsidR="00234028">
        <w:t xml:space="preserve"> </w:t>
      </w:r>
    </w:p>
    <w:p w14:paraId="141F4FE7" w14:textId="77777777" w:rsidR="00234028" w:rsidRDefault="00234028" w:rsidP="00B811CA"/>
    <w:p w14:paraId="7189EB4F" w14:textId="68488304" w:rsidR="00BB0A6F" w:rsidRPr="00196202" w:rsidRDefault="0019062C" w:rsidP="00196202">
      <w:pPr>
        <w:pStyle w:val="ListParagraph"/>
        <w:numPr>
          <w:ilvl w:val="0"/>
          <w:numId w:val="25"/>
        </w:numPr>
        <w:rPr>
          <w:b/>
          <w:bCs/>
        </w:rPr>
      </w:pPr>
      <w:r w:rsidRPr="00196202">
        <w:rPr>
          <w:b/>
          <w:bCs/>
        </w:rPr>
        <w:t xml:space="preserve">Can an organization use </w:t>
      </w:r>
      <w:r w:rsidR="00BB0A6F" w:rsidRPr="00196202">
        <w:rPr>
          <w:b/>
          <w:bCs/>
        </w:rPr>
        <w:t xml:space="preserve">4-6 months </w:t>
      </w:r>
      <w:r w:rsidRPr="00196202">
        <w:rPr>
          <w:b/>
          <w:bCs/>
        </w:rPr>
        <w:t xml:space="preserve">to plan the project </w:t>
      </w:r>
      <w:r w:rsidR="00BB0A6F" w:rsidRPr="00196202">
        <w:rPr>
          <w:b/>
          <w:bCs/>
        </w:rPr>
        <w:t xml:space="preserve">before </w:t>
      </w:r>
      <w:r w:rsidRPr="00196202">
        <w:rPr>
          <w:b/>
          <w:bCs/>
        </w:rPr>
        <w:t>i</w:t>
      </w:r>
      <w:r w:rsidR="00A16BAD" w:rsidRPr="00196202">
        <w:rPr>
          <w:b/>
          <w:bCs/>
        </w:rPr>
        <w:t>mplementing</w:t>
      </w:r>
      <w:r w:rsidR="00BB0A6F" w:rsidRPr="00196202">
        <w:rPr>
          <w:b/>
          <w:bCs/>
        </w:rPr>
        <w:t xml:space="preserve"> training activities?</w:t>
      </w:r>
    </w:p>
    <w:p w14:paraId="0B3E38B3" w14:textId="77777777" w:rsidR="00BB0A6F" w:rsidRPr="00234028" w:rsidRDefault="00BB0A6F" w:rsidP="00B811CA"/>
    <w:p w14:paraId="2DB2BC2B" w14:textId="1281B13B" w:rsidR="00234028" w:rsidRDefault="00234028" w:rsidP="00196202">
      <w:pPr>
        <w:ind w:left="360"/>
      </w:pPr>
      <w:r w:rsidRPr="00234028">
        <w:t>If a planning phase is needed for the project, t</w:t>
      </w:r>
      <w:r w:rsidR="000F1E74" w:rsidRPr="00234028">
        <w:t xml:space="preserve">he </w:t>
      </w:r>
      <w:r w:rsidR="0019062C" w:rsidRPr="00234028">
        <w:t xml:space="preserve">applicant </w:t>
      </w:r>
      <w:r w:rsidR="00A16BAD">
        <w:t>must</w:t>
      </w:r>
      <w:r w:rsidR="0019062C" w:rsidRPr="00234028">
        <w:t xml:space="preserve"> </w:t>
      </w:r>
      <w:r w:rsidR="000F1E74" w:rsidRPr="00234028">
        <w:t>submit</w:t>
      </w:r>
      <w:r w:rsidR="0019062C" w:rsidRPr="00234028">
        <w:t xml:space="preserve"> a work plan that address</w:t>
      </w:r>
      <w:r w:rsidRPr="00234028">
        <w:t xml:space="preserve">es </w:t>
      </w:r>
      <w:r w:rsidR="0019062C" w:rsidRPr="00234028">
        <w:t xml:space="preserve">the </w:t>
      </w:r>
      <w:r w:rsidR="000F1E74" w:rsidRPr="00234028">
        <w:t xml:space="preserve">timeline </w:t>
      </w:r>
      <w:r w:rsidR="0019062C" w:rsidRPr="00234028">
        <w:t>for the proposed planning and implementation phase</w:t>
      </w:r>
      <w:r w:rsidRPr="00234028">
        <w:t>.</w:t>
      </w:r>
      <w:r w:rsidR="0019062C">
        <w:t xml:space="preserve"> </w:t>
      </w:r>
      <w:r w:rsidRPr="00234028">
        <w:t>For additional information</w:t>
      </w:r>
      <w:r>
        <w:t xml:space="preserve"> for completing Exhibit I: Work Plan,</w:t>
      </w:r>
      <w:r w:rsidRPr="00234028">
        <w:t xml:space="preserve"> see Appendix A of the SFP, Proposal Package Instruction</w:t>
      </w:r>
      <w:r w:rsidR="00196202">
        <w:t>.</w:t>
      </w:r>
    </w:p>
    <w:p w14:paraId="2218F472" w14:textId="77777777" w:rsidR="00457CEB" w:rsidRDefault="00457CEB" w:rsidP="00B811CA"/>
    <w:p w14:paraId="6F3FEF54" w14:textId="08982233" w:rsidR="00185476" w:rsidRPr="00196202" w:rsidRDefault="00185476" w:rsidP="00196202">
      <w:pPr>
        <w:pStyle w:val="ListParagraph"/>
        <w:numPr>
          <w:ilvl w:val="0"/>
          <w:numId w:val="25"/>
        </w:numPr>
        <w:rPr>
          <w:rFonts w:ascii="Calibri (body)" w:hAnsi="Calibri (body)" w:cs="Calibri"/>
          <w:b/>
          <w:bCs/>
        </w:rPr>
      </w:pPr>
      <w:r w:rsidRPr="00196202">
        <w:rPr>
          <w:rFonts w:ascii="Calibri (body)" w:hAnsi="Calibri (body)" w:cs="Calibri"/>
          <w:b/>
          <w:bCs/>
        </w:rPr>
        <w:t xml:space="preserve">Can </w:t>
      </w:r>
      <w:r w:rsidR="00234028" w:rsidRPr="00196202">
        <w:rPr>
          <w:rFonts w:ascii="Calibri (body)" w:hAnsi="Calibri (body)" w:cs="Calibri"/>
          <w:b/>
          <w:bCs/>
        </w:rPr>
        <w:t xml:space="preserve">an applicant </w:t>
      </w:r>
      <w:r w:rsidRPr="00196202">
        <w:rPr>
          <w:rFonts w:ascii="Calibri (body)" w:hAnsi="Calibri (body)" w:cs="Calibri"/>
          <w:b/>
          <w:bCs/>
        </w:rPr>
        <w:t>identify youth in continuation, adult, and/or GED program</w:t>
      </w:r>
      <w:r w:rsidR="00A16BAD" w:rsidRPr="00196202">
        <w:rPr>
          <w:rFonts w:ascii="Calibri (body)" w:hAnsi="Calibri (body)" w:cs="Calibri"/>
          <w:b/>
          <w:bCs/>
        </w:rPr>
        <w:t>s</w:t>
      </w:r>
      <w:r w:rsidRPr="00196202">
        <w:rPr>
          <w:rFonts w:ascii="Calibri (body)" w:hAnsi="Calibri (body)" w:cs="Calibri"/>
          <w:b/>
          <w:bCs/>
        </w:rPr>
        <w:t xml:space="preserve"> and school</w:t>
      </w:r>
      <w:r w:rsidR="00A16BAD" w:rsidRPr="00196202">
        <w:rPr>
          <w:rFonts w:ascii="Calibri (body)" w:hAnsi="Calibri (body)" w:cs="Calibri"/>
          <w:b/>
          <w:bCs/>
        </w:rPr>
        <w:t>s</w:t>
      </w:r>
      <w:r w:rsidRPr="00196202">
        <w:rPr>
          <w:rFonts w:ascii="Calibri (body)" w:hAnsi="Calibri (body)" w:cs="Calibri"/>
          <w:b/>
          <w:bCs/>
        </w:rPr>
        <w:t xml:space="preserve"> as one of our target </w:t>
      </w:r>
      <w:r w:rsidR="008B35AE" w:rsidRPr="00196202">
        <w:rPr>
          <w:rFonts w:ascii="Calibri (body)" w:hAnsi="Calibri (body)" w:cs="Calibri"/>
          <w:b/>
          <w:bCs/>
        </w:rPr>
        <w:t>populations</w:t>
      </w:r>
      <w:r w:rsidR="00234028" w:rsidRPr="00196202">
        <w:rPr>
          <w:rFonts w:ascii="Calibri (body)" w:hAnsi="Calibri (body)" w:cs="Calibri"/>
          <w:b/>
          <w:bCs/>
        </w:rPr>
        <w:t>?</w:t>
      </w:r>
    </w:p>
    <w:p w14:paraId="02CD6959" w14:textId="77777777" w:rsidR="00185476" w:rsidRPr="00234028" w:rsidRDefault="00185476" w:rsidP="00B811CA"/>
    <w:p w14:paraId="011714A3" w14:textId="5D1B83C9" w:rsidR="00185476" w:rsidRDefault="00185476" w:rsidP="00196202">
      <w:pPr>
        <w:ind w:left="360"/>
      </w:pPr>
      <w:r w:rsidRPr="00234028">
        <w:t xml:space="preserve">Projects may </w:t>
      </w:r>
      <w:r w:rsidR="000F1E74" w:rsidRPr="00234028">
        <w:t xml:space="preserve">propose sub-target populations in their project design. </w:t>
      </w:r>
      <w:r w:rsidRPr="00234028">
        <w:t>For additional information, see Section II of the SFP, Project Overview.</w:t>
      </w:r>
      <w:r>
        <w:t xml:space="preserve"> </w:t>
      </w:r>
    </w:p>
    <w:p w14:paraId="352753D7" w14:textId="77777777" w:rsidR="00E76C33" w:rsidRPr="004A492D" w:rsidRDefault="00E76C33" w:rsidP="00B811CA"/>
    <w:p w14:paraId="144D8060" w14:textId="581BE2D3" w:rsidR="006E575C" w:rsidRPr="00196202" w:rsidRDefault="006E575C" w:rsidP="00196202">
      <w:pPr>
        <w:pStyle w:val="ListParagraph"/>
        <w:numPr>
          <w:ilvl w:val="0"/>
          <w:numId w:val="25"/>
        </w:numPr>
        <w:rPr>
          <w:rFonts w:ascii="Calibri (body)" w:hAnsi="Calibri (body)" w:cs="Calibri"/>
          <w:b/>
          <w:bCs/>
        </w:rPr>
      </w:pPr>
      <w:r w:rsidRPr="00196202">
        <w:rPr>
          <w:rFonts w:ascii="Calibri (body)" w:hAnsi="Calibri (body)" w:cs="Calibri"/>
          <w:b/>
          <w:bCs/>
        </w:rPr>
        <w:t xml:space="preserve">Should the project goals/deliverables/outcomes be repeated in narrative section 11.2 (Planned Service Approach/Logic Model), the Logic Model, </w:t>
      </w:r>
      <w:r w:rsidR="00234028" w:rsidRPr="00196202">
        <w:rPr>
          <w:rFonts w:ascii="Calibri (body)" w:hAnsi="Calibri (body)" w:cs="Calibri"/>
          <w:b/>
          <w:bCs/>
        </w:rPr>
        <w:t>and</w:t>
      </w:r>
      <w:r w:rsidRPr="00196202">
        <w:rPr>
          <w:rFonts w:ascii="Calibri (body)" w:hAnsi="Calibri (body)" w:cs="Calibri"/>
          <w:b/>
          <w:bCs/>
        </w:rPr>
        <w:t xml:space="preserve"> the Project Work Plan?</w:t>
      </w:r>
    </w:p>
    <w:p w14:paraId="25104ADF" w14:textId="77777777" w:rsidR="00123760" w:rsidRPr="00A71F10" w:rsidRDefault="00123760" w:rsidP="00B811CA"/>
    <w:p w14:paraId="3E5723AB" w14:textId="08D4F50D" w:rsidR="00123760" w:rsidRPr="00A71F10" w:rsidRDefault="00A16BAD" w:rsidP="00196202">
      <w:pPr>
        <w:ind w:left="360"/>
      </w:pPr>
      <w:r>
        <w:t>A</w:t>
      </w:r>
      <w:r w:rsidR="00234028">
        <w:t xml:space="preserve">n applicant should include </w:t>
      </w:r>
      <w:r w:rsidR="00123760" w:rsidRPr="00A71F10">
        <w:t>the project goals</w:t>
      </w:r>
      <w:r w:rsidR="00234028">
        <w:t xml:space="preserve"> and</w:t>
      </w:r>
      <w:r w:rsidR="00123760" w:rsidRPr="00A71F10">
        <w:t xml:space="preserve"> deliverables </w:t>
      </w:r>
      <w:r w:rsidR="00234028">
        <w:t>in</w:t>
      </w:r>
      <w:r w:rsidR="008F62EC">
        <w:t xml:space="preserve"> all indicted sections of the</w:t>
      </w:r>
      <w:r w:rsidR="00123760" w:rsidRPr="00A71F10">
        <w:t xml:space="preserve"> </w:t>
      </w:r>
      <w:r w:rsidR="008F62EC">
        <w:t xml:space="preserve">Project </w:t>
      </w:r>
      <w:r w:rsidR="00123760" w:rsidRPr="00A71F10">
        <w:t>Narrative, Logic Model</w:t>
      </w:r>
      <w:r>
        <w:t>,</w:t>
      </w:r>
      <w:r w:rsidR="00123760" w:rsidRPr="00A71F10">
        <w:t xml:space="preserve"> and Project Work Plan</w:t>
      </w:r>
      <w:r w:rsidR="008F62EC">
        <w:t>.</w:t>
      </w:r>
      <w:r w:rsidR="00123760" w:rsidRPr="00A71F10">
        <w:t xml:space="preserve"> </w:t>
      </w:r>
      <w:bookmarkStart w:id="3" w:name="_Hlk156814785"/>
      <w:r w:rsidR="00123760" w:rsidRPr="00A71F10">
        <w:t>For additional information, see Appendix A of the SFP Proposal Package Instructions.</w:t>
      </w:r>
    </w:p>
    <w:bookmarkEnd w:id="3"/>
    <w:p w14:paraId="4BA4D183" w14:textId="77777777" w:rsidR="0067240A" w:rsidRPr="00185476" w:rsidRDefault="0067240A" w:rsidP="00B811CA">
      <w:pPr>
        <w:rPr>
          <w:highlight w:val="green"/>
        </w:rPr>
      </w:pPr>
    </w:p>
    <w:p w14:paraId="7C42A542" w14:textId="62C10AE0" w:rsidR="006E575C" w:rsidRPr="00196202" w:rsidRDefault="006E575C" w:rsidP="00196202">
      <w:pPr>
        <w:pStyle w:val="ListParagraph"/>
        <w:numPr>
          <w:ilvl w:val="0"/>
          <w:numId w:val="25"/>
        </w:numPr>
        <w:rPr>
          <w:rFonts w:ascii="Calibri (body)" w:hAnsi="Calibri (body)" w:cs="Calibri"/>
          <w:b/>
          <w:bCs/>
        </w:rPr>
      </w:pPr>
      <w:r w:rsidRPr="00196202">
        <w:rPr>
          <w:rFonts w:ascii="Calibri (body)" w:hAnsi="Calibri (body)" w:cs="Calibri"/>
          <w:b/>
          <w:bCs/>
        </w:rPr>
        <w:t xml:space="preserve">Please describe the </w:t>
      </w:r>
      <w:r w:rsidR="008F62EC" w:rsidRPr="00196202">
        <w:rPr>
          <w:rFonts w:ascii="Calibri (body)" w:hAnsi="Calibri (body)" w:cs="Calibri"/>
          <w:b/>
          <w:bCs/>
        </w:rPr>
        <w:t>infrastructure i</w:t>
      </w:r>
      <w:r w:rsidRPr="00196202">
        <w:rPr>
          <w:rFonts w:ascii="Calibri (body)" w:hAnsi="Calibri (body)" w:cs="Calibri"/>
          <w:b/>
          <w:bCs/>
        </w:rPr>
        <w:t xml:space="preserve">ndustry </w:t>
      </w:r>
      <w:r w:rsidR="008F62EC" w:rsidRPr="00196202">
        <w:rPr>
          <w:rFonts w:ascii="Calibri (body)" w:hAnsi="Calibri (body)" w:cs="Calibri"/>
          <w:b/>
          <w:bCs/>
        </w:rPr>
        <w:t>s</w:t>
      </w:r>
      <w:r w:rsidRPr="00196202">
        <w:rPr>
          <w:rFonts w:ascii="Calibri (body)" w:hAnsi="Calibri (body)" w:cs="Calibri"/>
          <w:b/>
          <w:bCs/>
        </w:rPr>
        <w:t xml:space="preserve">ector in more detail. </w:t>
      </w:r>
    </w:p>
    <w:p w14:paraId="5B6D0FFE" w14:textId="77777777" w:rsidR="00123760" w:rsidRPr="00A71F10" w:rsidRDefault="00123760" w:rsidP="00B811CA"/>
    <w:p w14:paraId="40BE6840" w14:textId="4DDE6FAF" w:rsidR="00123760" w:rsidRPr="004A492D" w:rsidRDefault="00123760" w:rsidP="00196202">
      <w:pPr>
        <w:ind w:left="360"/>
      </w:pPr>
      <w:r w:rsidRPr="00A71F10">
        <w:t xml:space="preserve">The </w:t>
      </w:r>
      <w:r w:rsidR="008F62EC" w:rsidRPr="00A71F10">
        <w:t>infrastructure</w:t>
      </w:r>
      <w:r w:rsidRPr="00A71F10">
        <w:t xml:space="preserve"> </w:t>
      </w:r>
      <w:r w:rsidR="008F62EC">
        <w:t>s</w:t>
      </w:r>
      <w:r w:rsidRPr="00A71F10">
        <w:t xml:space="preserve">ector has been designated as a target sector in the SFP due to its strong projected demand and career advancement opportunities. </w:t>
      </w:r>
      <w:r w:rsidR="00A16BAD">
        <w:t>When making a case for a target sector, some factors to conside</w:t>
      </w:r>
      <w:r w:rsidRPr="00A71F10">
        <w:t xml:space="preserve">r </w:t>
      </w:r>
      <w:r w:rsidR="00A16BAD">
        <w:t xml:space="preserve">should </w:t>
      </w:r>
      <w:r w:rsidR="008B35AE" w:rsidRPr="00A71F10">
        <w:t>include</w:t>
      </w:r>
      <w:r w:rsidRPr="00A71F10">
        <w:t xml:space="preserve"> sectors or industries that connect with apprenticeship programs, pre-apprenticeship programs, community college, and adult school programs with evidence of success. For additional information, see Section II of the SFP, Project Overview.</w:t>
      </w:r>
      <w:r>
        <w:t xml:space="preserve"> </w:t>
      </w:r>
    </w:p>
    <w:p w14:paraId="2CAB68E4" w14:textId="77777777" w:rsidR="00123760" w:rsidRPr="00185476" w:rsidRDefault="00123760" w:rsidP="00B811CA">
      <w:pPr>
        <w:rPr>
          <w:highlight w:val="green"/>
        </w:rPr>
      </w:pPr>
    </w:p>
    <w:p w14:paraId="36FF5BDB" w14:textId="0B2DE68D" w:rsidR="006E575C" w:rsidRPr="00196202" w:rsidRDefault="008F62EC" w:rsidP="00196202">
      <w:pPr>
        <w:pStyle w:val="ListParagraph"/>
        <w:numPr>
          <w:ilvl w:val="0"/>
          <w:numId w:val="25"/>
        </w:numPr>
        <w:rPr>
          <w:rFonts w:ascii="Calibri (body)" w:hAnsi="Calibri (body)" w:cs="Calibri"/>
          <w:b/>
          <w:bCs/>
        </w:rPr>
      </w:pPr>
      <w:r w:rsidRPr="00196202">
        <w:rPr>
          <w:rFonts w:ascii="Calibri (body)" w:hAnsi="Calibri (body)" w:cs="Calibri"/>
          <w:b/>
          <w:bCs/>
        </w:rPr>
        <w:t>When</w:t>
      </w:r>
      <w:r w:rsidR="006E575C" w:rsidRPr="00196202">
        <w:rPr>
          <w:rFonts w:ascii="Calibri (body)" w:hAnsi="Calibri (body)" w:cs="Calibri"/>
          <w:b/>
          <w:bCs/>
        </w:rPr>
        <w:t xml:space="preserve"> fiscal sponsor funds are used</w:t>
      </w:r>
      <w:r w:rsidR="00A16BAD" w:rsidRPr="00196202">
        <w:rPr>
          <w:rFonts w:ascii="Calibri (body)" w:hAnsi="Calibri (body)" w:cs="Calibri"/>
          <w:b/>
          <w:bCs/>
        </w:rPr>
        <w:t>,</w:t>
      </w:r>
      <w:r w:rsidR="006E575C" w:rsidRPr="00196202">
        <w:rPr>
          <w:rFonts w:ascii="Calibri (body)" w:hAnsi="Calibri (body)" w:cs="Calibri"/>
          <w:b/>
          <w:bCs/>
        </w:rPr>
        <w:t xml:space="preserve"> should their tax ID be included or the organization</w:t>
      </w:r>
      <w:r w:rsidR="00A16BAD" w:rsidRPr="00196202">
        <w:rPr>
          <w:rFonts w:ascii="Calibri (body)" w:hAnsi="Calibri (body)" w:cs="Calibri"/>
          <w:b/>
          <w:bCs/>
        </w:rPr>
        <w:t>'</w:t>
      </w:r>
      <w:r w:rsidR="006E575C" w:rsidRPr="00196202">
        <w:rPr>
          <w:rFonts w:ascii="Calibri (body)" w:hAnsi="Calibri (body)" w:cs="Calibri"/>
          <w:b/>
          <w:bCs/>
        </w:rPr>
        <w:t xml:space="preserve">s </w:t>
      </w:r>
      <w:r w:rsidR="00A16BAD" w:rsidRPr="00196202">
        <w:rPr>
          <w:rFonts w:ascii="Calibri (body)" w:hAnsi="Calibri (body)" w:cs="Calibri"/>
          <w:b/>
          <w:bCs/>
        </w:rPr>
        <w:t>primary</w:t>
      </w:r>
      <w:r w:rsidR="006E575C" w:rsidRPr="00196202">
        <w:rPr>
          <w:rFonts w:ascii="Calibri (body)" w:hAnsi="Calibri (body)" w:cs="Calibri"/>
          <w:b/>
          <w:bCs/>
        </w:rPr>
        <w:t xml:space="preserve"> tax ID? </w:t>
      </w:r>
    </w:p>
    <w:p w14:paraId="66E80482" w14:textId="77777777" w:rsidR="00F84D8B" w:rsidRPr="00A71F10" w:rsidRDefault="00F84D8B" w:rsidP="00B811CA"/>
    <w:p w14:paraId="58C2B5DA" w14:textId="043C6BBA" w:rsidR="008F62EC" w:rsidRDefault="009D28E2" w:rsidP="00196202">
      <w:pPr>
        <w:ind w:left="360"/>
      </w:pPr>
      <w:r w:rsidRPr="00A71F10">
        <w:t>Only the applicant</w:t>
      </w:r>
      <w:r w:rsidR="00A16BAD">
        <w:t>'</w:t>
      </w:r>
      <w:r w:rsidRPr="00A71F10">
        <w:t>s Tax ID is needed.</w:t>
      </w:r>
      <w:r w:rsidR="00196202">
        <w:t xml:space="preserve"> </w:t>
      </w:r>
      <w:r w:rsidR="008F62EC" w:rsidRPr="008F62EC">
        <w:t>For additional information</w:t>
      </w:r>
      <w:r w:rsidR="008F62EC">
        <w:t xml:space="preserve"> on </w:t>
      </w:r>
      <w:r w:rsidR="00A16BAD">
        <w:t>completing</w:t>
      </w:r>
      <w:r w:rsidR="008F62EC">
        <w:t xml:space="preserve"> the Cover/Signature page</w:t>
      </w:r>
      <w:r w:rsidR="008F62EC" w:rsidRPr="008F62EC">
        <w:t>, see Appendix A of the SFP, Proposal Package Instructions.</w:t>
      </w:r>
    </w:p>
    <w:p w14:paraId="5FC44ED8" w14:textId="77777777" w:rsidR="002C371D" w:rsidRPr="00185476" w:rsidRDefault="002C371D" w:rsidP="00B811CA"/>
    <w:p w14:paraId="43C909DC" w14:textId="76B22D5A" w:rsidR="00B719DF" w:rsidRPr="00196202" w:rsidRDefault="008F62EC" w:rsidP="00196202">
      <w:pPr>
        <w:pStyle w:val="ListParagraph"/>
        <w:numPr>
          <w:ilvl w:val="0"/>
          <w:numId w:val="25"/>
        </w:numPr>
        <w:rPr>
          <w:rFonts w:ascii="Calibri (body)" w:hAnsi="Calibri (body)" w:cs="Calibri"/>
          <w:b/>
          <w:bCs/>
        </w:rPr>
      </w:pPr>
      <w:r w:rsidRPr="00196202">
        <w:rPr>
          <w:rFonts w:ascii="Calibri (body)" w:hAnsi="Calibri (body)" w:cs="Calibri"/>
          <w:b/>
          <w:bCs/>
        </w:rPr>
        <w:lastRenderedPageBreak/>
        <w:t xml:space="preserve">If an applicant has </w:t>
      </w:r>
      <w:r w:rsidR="006E575C" w:rsidRPr="00196202">
        <w:rPr>
          <w:rFonts w:ascii="Calibri (body)" w:hAnsi="Calibri (body)" w:cs="Calibri"/>
          <w:b/>
          <w:bCs/>
        </w:rPr>
        <w:t>multiple affiliates that run training programs of different lengths to address region</w:t>
      </w:r>
      <w:r w:rsidR="00A16BAD" w:rsidRPr="00196202">
        <w:rPr>
          <w:rFonts w:ascii="Calibri (body)" w:hAnsi="Calibri (body)" w:cs="Calibri"/>
          <w:b/>
          <w:bCs/>
        </w:rPr>
        <w:t>-</w:t>
      </w:r>
      <w:r w:rsidR="006E575C" w:rsidRPr="00196202">
        <w:rPr>
          <w:rFonts w:ascii="Calibri (body)" w:hAnsi="Calibri (body)" w:cs="Calibri"/>
          <w:b/>
          <w:bCs/>
        </w:rPr>
        <w:t>specific barriers to employment</w:t>
      </w:r>
      <w:r w:rsidRPr="00196202">
        <w:rPr>
          <w:rFonts w:ascii="Calibri (body)" w:hAnsi="Calibri (body)" w:cs="Calibri"/>
          <w:b/>
          <w:bCs/>
        </w:rPr>
        <w:t xml:space="preserve"> with the same core curriculum, can they submit </w:t>
      </w:r>
      <w:r w:rsidR="006E575C" w:rsidRPr="00196202">
        <w:rPr>
          <w:rFonts w:ascii="Calibri (body)" w:hAnsi="Calibri (body)" w:cs="Calibri"/>
          <w:b/>
          <w:bCs/>
        </w:rPr>
        <w:t xml:space="preserve">one application for </w:t>
      </w:r>
      <w:r w:rsidR="00A16BAD" w:rsidRPr="00196202">
        <w:rPr>
          <w:rFonts w:ascii="Calibri (body)" w:hAnsi="Calibri (body)" w:cs="Calibri"/>
          <w:b/>
          <w:bCs/>
        </w:rPr>
        <w:t>various</w:t>
      </w:r>
      <w:r w:rsidR="006E575C" w:rsidRPr="00196202">
        <w:rPr>
          <w:rFonts w:ascii="Calibri (body)" w:hAnsi="Calibri (body)" w:cs="Calibri"/>
          <w:b/>
          <w:bCs/>
        </w:rPr>
        <w:t xml:space="preserve"> </w:t>
      </w:r>
      <w:r w:rsidR="00B719DF" w:rsidRPr="00196202">
        <w:rPr>
          <w:rFonts w:ascii="Calibri (body)" w:hAnsi="Calibri (body)" w:cs="Calibri"/>
          <w:b/>
          <w:bCs/>
        </w:rPr>
        <w:t>affiliates even</w:t>
      </w:r>
      <w:r w:rsidR="006E575C" w:rsidRPr="00196202">
        <w:rPr>
          <w:rFonts w:ascii="Calibri (body)" w:hAnsi="Calibri (body)" w:cs="Calibri"/>
          <w:b/>
          <w:bCs/>
        </w:rPr>
        <w:t xml:space="preserve"> though the cost per participant varies because of </w:t>
      </w:r>
      <w:r w:rsidR="00A16BAD" w:rsidRPr="00196202">
        <w:rPr>
          <w:rFonts w:ascii="Calibri (body)" w:hAnsi="Calibri (body)" w:cs="Calibri"/>
          <w:b/>
          <w:bCs/>
        </w:rPr>
        <w:t xml:space="preserve">the </w:t>
      </w:r>
      <w:r w:rsidR="006E575C" w:rsidRPr="00196202">
        <w:rPr>
          <w:rFonts w:ascii="Calibri (body)" w:hAnsi="Calibri (body)" w:cs="Calibri"/>
          <w:b/>
          <w:bCs/>
        </w:rPr>
        <w:t xml:space="preserve">length of </w:t>
      </w:r>
      <w:r w:rsidR="00A16BAD" w:rsidRPr="00196202">
        <w:rPr>
          <w:rFonts w:ascii="Calibri (body)" w:hAnsi="Calibri (body)" w:cs="Calibri"/>
          <w:b/>
          <w:bCs/>
        </w:rPr>
        <w:t xml:space="preserve">the </w:t>
      </w:r>
      <w:r w:rsidR="006E575C" w:rsidRPr="00196202">
        <w:rPr>
          <w:rFonts w:ascii="Calibri (body)" w:hAnsi="Calibri (body)" w:cs="Calibri"/>
          <w:b/>
          <w:bCs/>
        </w:rPr>
        <w:t>program per affiliate?</w:t>
      </w:r>
    </w:p>
    <w:p w14:paraId="1B667E4F" w14:textId="77777777" w:rsidR="00F84D8B" w:rsidRPr="00A71F10" w:rsidRDefault="00F84D8B" w:rsidP="00B811CA"/>
    <w:p w14:paraId="23005D9C" w14:textId="429E8D6B" w:rsidR="00E76C33" w:rsidRDefault="009D28E2" w:rsidP="00196202">
      <w:pPr>
        <w:ind w:left="360"/>
      </w:pPr>
      <w:r w:rsidRPr="00A71F10">
        <w:t>Only one application is allowed per entity. However, you can include</w:t>
      </w:r>
      <w:r w:rsidR="00EF026E">
        <w:t xml:space="preserve"> a budget that </w:t>
      </w:r>
      <w:r w:rsidR="00A16BAD">
        <w:t>subcontracts</w:t>
      </w:r>
      <w:r w:rsidR="00EF026E">
        <w:t xml:space="preserve"> or subawards multiple training partners. </w:t>
      </w:r>
      <w:r w:rsidR="008F62EC" w:rsidRPr="008F62EC">
        <w:t xml:space="preserve">For additional information on how to complete the </w:t>
      </w:r>
      <w:r w:rsidR="008F62EC">
        <w:t>Exhibit G Supplemental Budget</w:t>
      </w:r>
      <w:r w:rsidR="008F62EC" w:rsidRPr="008F62EC">
        <w:t>, see Appendix A of the SFP, Proposal Package Instructions.</w:t>
      </w:r>
    </w:p>
    <w:p w14:paraId="4AAD2C73" w14:textId="77777777" w:rsidR="0067240A" w:rsidRPr="00185476" w:rsidRDefault="0067240A" w:rsidP="00B811CA"/>
    <w:p w14:paraId="340D8E81" w14:textId="06D2AD33" w:rsidR="006E575C" w:rsidRPr="00196202" w:rsidRDefault="006E575C" w:rsidP="00196202">
      <w:pPr>
        <w:pStyle w:val="ListParagraph"/>
        <w:numPr>
          <w:ilvl w:val="0"/>
          <w:numId w:val="25"/>
        </w:numPr>
        <w:rPr>
          <w:rFonts w:ascii="Calibri (body)" w:hAnsi="Calibri (body)" w:cs="Calibri"/>
          <w:b/>
          <w:bCs/>
        </w:rPr>
      </w:pPr>
      <w:r w:rsidRPr="00196202">
        <w:rPr>
          <w:rFonts w:ascii="Calibri (body)" w:hAnsi="Calibri (body)" w:cs="Calibri"/>
          <w:b/>
          <w:bCs/>
        </w:rPr>
        <w:t>Can you further explain the difference between partnership agreement letters and commitment letters?</w:t>
      </w:r>
    </w:p>
    <w:p w14:paraId="6FDF7859" w14:textId="77777777" w:rsidR="00F84D8B" w:rsidRPr="00A71F10" w:rsidRDefault="00F84D8B" w:rsidP="00B811CA"/>
    <w:p w14:paraId="602165BF" w14:textId="3EFA5AFC" w:rsidR="00A16BAD" w:rsidRDefault="00F84D8B" w:rsidP="00196202">
      <w:pPr>
        <w:ind w:left="360"/>
      </w:pPr>
      <w:r w:rsidRPr="00A71F10">
        <w:t>Applicants must submit partnership agreement letters from any proposed partners. Any partner, including the applicant providing the whole or part of the leveraged in-kind or cash contribution to the program, must also provide a commitment letter stating the amount of the cash and/or in-kind contribution being leveraged for the project. If the applicant is one of the partners and/or provides required leveraged funds or resources, they must provide their letter to document the commitment.</w:t>
      </w:r>
      <w:r w:rsidR="00196202">
        <w:t xml:space="preserve"> </w:t>
      </w:r>
      <w:r w:rsidRPr="00A71F10">
        <w:t>For additional information, see Appendix A of the SFP Proposal Package Instructions.</w:t>
      </w:r>
    </w:p>
    <w:p w14:paraId="4E9E2684" w14:textId="77777777" w:rsidR="00E76C33" w:rsidRPr="00E76C33" w:rsidRDefault="00E76C33" w:rsidP="00B811CA"/>
    <w:p w14:paraId="0E46C927" w14:textId="7E06656A" w:rsidR="006E575C" w:rsidRPr="00196202" w:rsidRDefault="006E575C" w:rsidP="00196202">
      <w:pPr>
        <w:pStyle w:val="ListParagraph"/>
        <w:numPr>
          <w:ilvl w:val="0"/>
          <w:numId w:val="25"/>
        </w:numPr>
        <w:rPr>
          <w:rFonts w:ascii="Calibri (body)" w:hAnsi="Calibri (body)" w:cs="Calibri"/>
          <w:b/>
          <w:bCs/>
        </w:rPr>
      </w:pPr>
      <w:r w:rsidRPr="00196202">
        <w:rPr>
          <w:rFonts w:ascii="Calibri (body)" w:hAnsi="Calibri (body)" w:cs="Calibri"/>
          <w:b/>
          <w:bCs/>
        </w:rPr>
        <w:t>How are commitment and partnership agreement letters differentiated?</w:t>
      </w:r>
    </w:p>
    <w:p w14:paraId="678393CC" w14:textId="77777777" w:rsidR="00F84D8B" w:rsidRPr="00A71F10" w:rsidRDefault="00F84D8B" w:rsidP="00B811CA"/>
    <w:p w14:paraId="2E28877D" w14:textId="6B1E1856" w:rsidR="00AF4A15" w:rsidRPr="00F84D8B" w:rsidRDefault="00F84D8B" w:rsidP="00196202">
      <w:pPr>
        <w:ind w:left="360"/>
      </w:pPr>
      <w:r w:rsidRPr="00A71F10">
        <w:t xml:space="preserve">Commitment letters </w:t>
      </w:r>
      <w:r w:rsidR="00A16BAD">
        <w:t>must</w:t>
      </w:r>
      <w:r w:rsidRPr="00A71F10">
        <w:t xml:space="preserve"> be submitted to verify </w:t>
      </w:r>
      <w:r w:rsidR="00A16BAD">
        <w:t>each entity's dollar amount and sources</w:t>
      </w:r>
      <w:r w:rsidRPr="00A71F10">
        <w:t xml:space="preserve"> pledging cash or in-kind resources to the project to help satisfy the 20</w:t>
      </w:r>
      <w:r w:rsidR="00EF026E">
        <w:t xml:space="preserve"> percent </w:t>
      </w:r>
      <w:r w:rsidRPr="00A71F10">
        <w:t xml:space="preserve">leveraged funding. The Partnership agreement is required as evidence of partnering agencies </w:t>
      </w:r>
      <w:r w:rsidR="00AF4A15" w:rsidRPr="00A71F10">
        <w:t>regardless of whether said agency is contributing to leveraged f</w:t>
      </w:r>
      <w:r w:rsidR="00A16BAD">
        <w:t>inanc</w:t>
      </w:r>
      <w:r w:rsidR="00AF4A15" w:rsidRPr="00A71F10">
        <w:t xml:space="preserve">ing or not. Please note that an agency contributing to leveraged funding </w:t>
      </w:r>
      <w:r w:rsidR="00A16BAD">
        <w:t>must</w:t>
      </w:r>
      <w:r w:rsidR="00AF4A15" w:rsidRPr="00A71F10">
        <w:t xml:space="preserve"> complete both letters. For additional information, see Appendix A of the SFP Proposal Package Instructions.</w:t>
      </w:r>
      <w:r w:rsidR="00AF4A15">
        <w:t xml:space="preserve"> </w:t>
      </w:r>
    </w:p>
    <w:p w14:paraId="1E1ED912" w14:textId="77777777" w:rsidR="0067240A" w:rsidRPr="00185476" w:rsidRDefault="0067240A" w:rsidP="00B811CA"/>
    <w:p w14:paraId="4C9F9EBB" w14:textId="61B29B01" w:rsidR="006E575C" w:rsidRPr="00196202" w:rsidRDefault="00EF026E" w:rsidP="00196202">
      <w:pPr>
        <w:pStyle w:val="ListParagraph"/>
        <w:numPr>
          <w:ilvl w:val="0"/>
          <w:numId w:val="25"/>
        </w:numPr>
        <w:rPr>
          <w:rFonts w:ascii="Calibri (body)" w:hAnsi="Calibri (body)" w:cs="Calibri"/>
          <w:b/>
          <w:bCs/>
        </w:rPr>
      </w:pPr>
      <w:r w:rsidRPr="00196202">
        <w:rPr>
          <w:rFonts w:ascii="Calibri (body)" w:hAnsi="Calibri (body)" w:cs="Calibri"/>
          <w:b/>
          <w:bCs/>
        </w:rPr>
        <w:t>The SFP list</w:t>
      </w:r>
      <w:r w:rsidR="00A16BAD" w:rsidRPr="00196202">
        <w:rPr>
          <w:rFonts w:ascii="Calibri (body)" w:hAnsi="Calibri (body)" w:cs="Calibri"/>
          <w:b/>
          <w:bCs/>
        </w:rPr>
        <w:t>s</w:t>
      </w:r>
      <w:r w:rsidRPr="00196202">
        <w:rPr>
          <w:rFonts w:ascii="Calibri (body)" w:hAnsi="Calibri (body)" w:cs="Calibri"/>
          <w:b/>
          <w:bCs/>
        </w:rPr>
        <w:t xml:space="preserve"> the use of the</w:t>
      </w:r>
      <w:r w:rsidR="006E575C" w:rsidRPr="00196202">
        <w:rPr>
          <w:rFonts w:ascii="Calibri (body)" w:hAnsi="Calibri (body)" w:cs="Calibri"/>
          <w:b/>
          <w:bCs/>
        </w:rPr>
        <w:t xml:space="preserve"> State Performance WIOA goals or local board negotiated goals</w:t>
      </w:r>
      <w:r w:rsidRPr="00196202">
        <w:rPr>
          <w:rFonts w:ascii="Calibri (body)" w:hAnsi="Calibri (body)" w:cs="Calibri"/>
          <w:b/>
          <w:bCs/>
        </w:rPr>
        <w:t>, which is required?</w:t>
      </w:r>
    </w:p>
    <w:p w14:paraId="4EAB9A4E" w14:textId="77777777" w:rsidR="00AF4A15" w:rsidRPr="00A71F10" w:rsidRDefault="00AF4A15" w:rsidP="00B811CA"/>
    <w:p w14:paraId="385D7FA7" w14:textId="592602BD" w:rsidR="00AF4A15" w:rsidRPr="00AF4A15" w:rsidRDefault="00AF4A15" w:rsidP="00196202">
      <w:pPr>
        <w:ind w:left="360"/>
      </w:pPr>
      <w:r w:rsidRPr="00A71F10">
        <w:t>The applicant is encouraged to meet or exceed the state-negotiated performance goals in delivering on the measurable employment and quality job outcomes outlined in the SFP. Applicants should tailor performance goals to the project needs and regional objectives. The project narrative explanation of performance goals must reflect a data-driven local/regional economic analysis that supports the proposed project performance goals concerning service delivery, target populations, and skill attainment.</w:t>
      </w:r>
      <w:r w:rsidR="00196202">
        <w:t xml:space="preserve"> </w:t>
      </w:r>
      <w:r w:rsidRPr="00A71F10">
        <w:t>For additional information</w:t>
      </w:r>
      <w:r w:rsidR="00A16BAD">
        <w:t>,</w:t>
      </w:r>
      <w:r w:rsidRPr="00A71F10">
        <w:t xml:space="preserve"> see Section IV of the SFP, Application and Program Requirements.</w:t>
      </w:r>
    </w:p>
    <w:p w14:paraId="2A5C81B8" w14:textId="77777777" w:rsidR="00185476" w:rsidRPr="00185476" w:rsidRDefault="00185476" w:rsidP="00B811CA"/>
    <w:p w14:paraId="24DF7A8D" w14:textId="122E3C24" w:rsidR="006E575C" w:rsidRPr="00196202" w:rsidRDefault="006E575C" w:rsidP="00196202">
      <w:pPr>
        <w:pStyle w:val="ListParagraph"/>
        <w:numPr>
          <w:ilvl w:val="0"/>
          <w:numId w:val="25"/>
        </w:numPr>
        <w:rPr>
          <w:rFonts w:ascii="Calibri (body)" w:hAnsi="Calibri (body)" w:cs="Calibri"/>
          <w:b/>
          <w:bCs/>
        </w:rPr>
      </w:pPr>
      <w:bookmarkStart w:id="4" w:name="_Hlk156557837"/>
      <w:r w:rsidRPr="00196202">
        <w:rPr>
          <w:rFonts w:ascii="Calibri (body)" w:hAnsi="Calibri (body)" w:cs="Calibri"/>
          <w:b/>
          <w:bCs/>
        </w:rPr>
        <w:t>Is the 10</w:t>
      </w:r>
      <w:r w:rsidR="00D86051" w:rsidRPr="00196202">
        <w:rPr>
          <w:rFonts w:ascii="Calibri (body)" w:hAnsi="Calibri (body)" w:cs="Calibri"/>
          <w:b/>
          <w:bCs/>
        </w:rPr>
        <w:t xml:space="preserve"> percent </w:t>
      </w:r>
      <w:r w:rsidRPr="00196202">
        <w:rPr>
          <w:rFonts w:ascii="Calibri (body)" w:hAnsi="Calibri (body)" w:cs="Calibri"/>
          <w:b/>
          <w:bCs/>
        </w:rPr>
        <w:t>cap on administrative</w:t>
      </w:r>
      <w:r w:rsidR="00CC37BC" w:rsidRPr="00196202">
        <w:rPr>
          <w:rFonts w:ascii="Calibri (body)" w:hAnsi="Calibri (body)" w:cs="Calibri"/>
          <w:b/>
          <w:bCs/>
        </w:rPr>
        <w:t xml:space="preserve"> costs</w:t>
      </w:r>
      <w:r w:rsidRPr="00196202">
        <w:rPr>
          <w:rFonts w:ascii="Calibri (body)" w:hAnsi="Calibri (body)" w:cs="Calibri"/>
          <w:b/>
          <w:bCs/>
        </w:rPr>
        <w:t xml:space="preserve"> the same </w:t>
      </w:r>
      <w:r w:rsidR="00CC37BC" w:rsidRPr="00196202">
        <w:rPr>
          <w:rFonts w:ascii="Calibri (body)" w:hAnsi="Calibri (body)" w:cs="Calibri"/>
          <w:b/>
          <w:bCs/>
        </w:rPr>
        <w:t>for</w:t>
      </w:r>
      <w:r w:rsidRPr="00196202">
        <w:rPr>
          <w:rFonts w:ascii="Calibri (body)" w:hAnsi="Calibri (body)" w:cs="Calibri"/>
          <w:b/>
          <w:bCs/>
        </w:rPr>
        <w:t xml:space="preserve"> indirect</w:t>
      </w:r>
      <w:r w:rsidR="00CC37BC" w:rsidRPr="00196202">
        <w:rPr>
          <w:rFonts w:ascii="Calibri (body)" w:hAnsi="Calibri (body)" w:cs="Calibri"/>
          <w:b/>
          <w:bCs/>
        </w:rPr>
        <w:t xml:space="preserve"> costs</w:t>
      </w:r>
      <w:r w:rsidRPr="00196202">
        <w:rPr>
          <w:rFonts w:ascii="Calibri (body)" w:hAnsi="Calibri (body)" w:cs="Calibri"/>
          <w:b/>
          <w:bCs/>
        </w:rPr>
        <w:t xml:space="preserve">? </w:t>
      </w:r>
      <w:r w:rsidR="00CC37BC" w:rsidRPr="00196202">
        <w:rPr>
          <w:rFonts w:ascii="Calibri (body)" w:hAnsi="Calibri (body)" w:cs="Calibri"/>
          <w:b/>
          <w:bCs/>
        </w:rPr>
        <w:t xml:space="preserve">Can an applicant use a </w:t>
      </w:r>
      <w:r w:rsidRPr="00196202">
        <w:rPr>
          <w:rFonts w:ascii="Calibri (body)" w:hAnsi="Calibri (body)" w:cs="Calibri"/>
          <w:b/>
          <w:bCs/>
        </w:rPr>
        <w:t xml:space="preserve">higher indirect rate </w:t>
      </w:r>
      <w:r w:rsidR="00CC37BC" w:rsidRPr="00196202">
        <w:rPr>
          <w:rFonts w:ascii="Calibri (body)" w:hAnsi="Calibri (body)" w:cs="Calibri"/>
          <w:b/>
          <w:bCs/>
        </w:rPr>
        <w:t>if</w:t>
      </w:r>
      <w:r w:rsidRPr="00196202">
        <w:rPr>
          <w:rFonts w:ascii="Calibri (body)" w:hAnsi="Calibri (body)" w:cs="Calibri"/>
          <w:b/>
          <w:bCs/>
        </w:rPr>
        <w:t xml:space="preserve"> administrative costs in the rest of the budget are </w:t>
      </w:r>
      <w:r w:rsidR="00D86051" w:rsidRPr="00196202">
        <w:rPr>
          <w:rFonts w:ascii="Calibri (body)" w:hAnsi="Calibri (body)" w:cs="Calibri"/>
          <w:b/>
          <w:bCs/>
        </w:rPr>
        <w:t>10 percent</w:t>
      </w:r>
      <w:r w:rsidRPr="00196202">
        <w:rPr>
          <w:rFonts w:ascii="Calibri (body)" w:hAnsi="Calibri (body)" w:cs="Calibri"/>
          <w:b/>
          <w:bCs/>
        </w:rPr>
        <w:t xml:space="preserve"> or less?</w:t>
      </w:r>
    </w:p>
    <w:p w14:paraId="68C419B0" w14:textId="77777777" w:rsidR="00AF4A15" w:rsidRPr="00CC37BC" w:rsidRDefault="00AF4A15" w:rsidP="00B811CA"/>
    <w:bookmarkEnd w:id="4"/>
    <w:p w14:paraId="10AA618D" w14:textId="5A8BAC26" w:rsidR="00AF5D6D" w:rsidRPr="00CC37BC" w:rsidRDefault="00AF5D6D" w:rsidP="00196202">
      <w:pPr>
        <w:ind w:left="360"/>
      </w:pPr>
      <w:r w:rsidRPr="00CC37BC">
        <w:t>No, administrative and indirect costs are not the same. The 10</w:t>
      </w:r>
      <w:r w:rsidR="00A16BAD">
        <w:t xml:space="preserve"> percent </w:t>
      </w:r>
      <w:r w:rsidRPr="00CC37BC">
        <w:t>cap applies to all administrative costs</w:t>
      </w:r>
      <w:r w:rsidR="00A16BAD">
        <w:t>, whether</w:t>
      </w:r>
      <w:r w:rsidRPr="00CC37BC">
        <w:t xml:space="preserve"> direct or indirect. The 10</w:t>
      </w:r>
      <w:r w:rsidR="00D86051">
        <w:t xml:space="preserve"> percent</w:t>
      </w:r>
      <w:r w:rsidRPr="00CC37BC">
        <w:t xml:space="preserve"> cap does not apply to any portion of indirect costs that are programmatic costs.  An indirect cost rate of </w:t>
      </w:r>
      <w:r w:rsidR="00A16BAD">
        <w:t xml:space="preserve">more than 10 percent can be charged </w:t>
      </w:r>
      <w:proofErr w:type="gramStart"/>
      <w:r w:rsidR="00A16BAD">
        <w:t>as</w:t>
      </w:r>
      <w:r w:rsidRPr="00CC37BC">
        <w:t xml:space="preserve"> long as</w:t>
      </w:r>
      <w:proofErr w:type="gramEnd"/>
      <w:r w:rsidRPr="00CC37BC">
        <w:t xml:space="preserve"> the dollar amount of the administrative portion of indirect costs plus any direct </w:t>
      </w:r>
      <w:r w:rsidRPr="00CC37BC">
        <w:lastRenderedPageBreak/>
        <w:t>administrative costs remains under 10</w:t>
      </w:r>
      <w:r w:rsidR="00D86051">
        <w:t xml:space="preserve"> percent</w:t>
      </w:r>
      <w:r w:rsidRPr="00CC37BC">
        <w:t>. Please note that indirect cost rates are not calculated as a percentage of the total award but rather as a percentage of the base identified in your Negotiated Indirect Cost Rate Agreement (NICRA) or Cost Allocation Plan (CAP) or for those claiming the 10</w:t>
      </w:r>
      <w:r w:rsidR="00D86051">
        <w:t xml:space="preserve"> percent</w:t>
      </w:r>
      <w:r w:rsidRPr="00CC37BC">
        <w:t xml:space="preserve"> de minimis rate, as a percentage of Modified Total Direct Costs (MTDC) as defined in 2 CFR 200.68. </w:t>
      </w:r>
    </w:p>
    <w:p w14:paraId="44440130" w14:textId="77777777" w:rsidR="00185476" w:rsidRPr="00185476" w:rsidRDefault="00185476" w:rsidP="00B811CA"/>
    <w:p w14:paraId="2C6D40ED" w14:textId="4B6A153B" w:rsidR="006E575C" w:rsidRPr="00196202" w:rsidRDefault="00D86051" w:rsidP="00196202">
      <w:pPr>
        <w:pStyle w:val="ListParagraph"/>
        <w:numPr>
          <w:ilvl w:val="0"/>
          <w:numId w:val="25"/>
        </w:numPr>
        <w:rPr>
          <w:rFonts w:ascii="Calibri (body)" w:hAnsi="Calibri (body)" w:cs="Calibri"/>
          <w:b/>
          <w:bCs/>
        </w:rPr>
      </w:pPr>
      <w:r w:rsidRPr="00196202">
        <w:rPr>
          <w:rFonts w:ascii="Calibri (body)" w:hAnsi="Calibri (body)" w:cs="Calibri"/>
          <w:b/>
          <w:bCs/>
        </w:rPr>
        <w:t>Can an applicant</w:t>
      </w:r>
      <w:r w:rsidR="006E575C" w:rsidRPr="00196202">
        <w:rPr>
          <w:rFonts w:ascii="Calibri (body)" w:hAnsi="Calibri (body)" w:cs="Calibri"/>
          <w:b/>
          <w:bCs/>
        </w:rPr>
        <w:t xml:space="preserve"> submit multiple budget narratives rolling up into a larger, single</w:t>
      </w:r>
      <w:r w:rsidR="00A16BAD" w:rsidRPr="00196202">
        <w:rPr>
          <w:rFonts w:ascii="Calibri (body)" w:hAnsi="Calibri (body)" w:cs="Calibri"/>
          <w:b/>
          <w:bCs/>
        </w:rPr>
        <w:t>-</w:t>
      </w:r>
      <w:r w:rsidR="004B2C88" w:rsidRPr="00196202">
        <w:rPr>
          <w:rFonts w:ascii="Calibri (body)" w:hAnsi="Calibri (body)" w:cs="Calibri"/>
          <w:b/>
          <w:bCs/>
        </w:rPr>
        <w:t>budget narrative</w:t>
      </w:r>
      <w:r w:rsidRPr="00196202">
        <w:rPr>
          <w:rFonts w:ascii="Calibri (body)" w:hAnsi="Calibri (body)" w:cs="Calibri"/>
          <w:b/>
          <w:bCs/>
        </w:rPr>
        <w:t>?</w:t>
      </w:r>
    </w:p>
    <w:p w14:paraId="586AE32E" w14:textId="77777777" w:rsidR="00AF4A15" w:rsidRPr="00D86051" w:rsidRDefault="00AF4A15" w:rsidP="00B811CA"/>
    <w:p w14:paraId="09477C7D" w14:textId="58FA26CA" w:rsidR="0057254C" w:rsidRDefault="00C871B6" w:rsidP="00196202">
      <w:pPr>
        <w:ind w:left="360"/>
      </w:pPr>
      <w:r w:rsidRPr="00D86051">
        <w:t>Projects are required to submit one</w:t>
      </w:r>
      <w:r w:rsidR="00D86051" w:rsidRPr="00D86051">
        <w:t xml:space="preserve"> Exhibit F, F2, and G (if applicable).</w:t>
      </w:r>
      <w:r w:rsidR="00196202">
        <w:t xml:space="preserve"> </w:t>
      </w:r>
      <w:r w:rsidR="00D86051" w:rsidRPr="00D86051">
        <w:t xml:space="preserve">For additional information on </w:t>
      </w:r>
      <w:r w:rsidR="00A16BAD">
        <w:t>completing</w:t>
      </w:r>
      <w:r w:rsidR="00D86051" w:rsidRPr="00D86051">
        <w:t xml:space="preserve"> the budget exhibits, see Appendix A of the SFP, Proposal Package Instructions.</w:t>
      </w:r>
    </w:p>
    <w:p w14:paraId="119AB664" w14:textId="77777777" w:rsidR="0057254C" w:rsidRPr="00185476" w:rsidRDefault="0057254C" w:rsidP="00B811CA"/>
    <w:p w14:paraId="7660856F" w14:textId="616D2351" w:rsidR="006E575C" w:rsidRPr="00196202" w:rsidRDefault="006E575C" w:rsidP="00196202">
      <w:pPr>
        <w:pStyle w:val="ListParagraph"/>
        <w:numPr>
          <w:ilvl w:val="0"/>
          <w:numId w:val="25"/>
        </w:numPr>
        <w:rPr>
          <w:rFonts w:ascii="Calibri (body)" w:hAnsi="Calibri (body)" w:cs="Calibri"/>
          <w:b/>
          <w:bCs/>
        </w:rPr>
      </w:pPr>
      <w:r w:rsidRPr="00196202">
        <w:rPr>
          <w:rFonts w:ascii="Calibri (body)" w:hAnsi="Calibri (body)" w:cs="Calibri"/>
          <w:b/>
          <w:bCs/>
        </w:rPr>
        <w:t>Is there a maximum amount allowed for subcontracting?</w:t>
      </w:r>
    </w:p>
    <w:p w14:paraId="20C606F6" w14:textId="77777777" w:rsidR="00AF4A15" w:rsidRPr="00D86051" w:rsidRDefault="00AF4A15" w:rsidP="00B811CA"/>
    <w:p w14:paraId="44125338" w14:textId="3CF5E856" w:rsidR="00185476" w:rsidRPr="00D86051" w:rsidRDefault="00C871B6" w:rsidP="00196202">
      <w:pPr>
        <w:ind w:left="360"/>
      </w:pPr>
      <w:r w:rsidRPr="00D86051">
        <w:t>No</w:t>
      </w:r>
      <w:r w:rsidR="00D86051">
        <w:t>, but an applicant must submit Exhibit G: Supplemental Budget listing all subcontractor</w:t>
      </w:r>
      <w:r w:rsidR="00A16BAD">
        <w:t>s and the subaward request amoun</w:t>
      </w:r>
      <w:r w:rsidR="00D86051">
        <w:t>t.</w:t>
      </w:r>
      <w:r w:rsidR="00196202">
        <w:t xml:space="preserve"> </w:t>
      </w:r>
      <w:r w:rsidR="00D86051" w:rsidRPr="00D86051">
        <w:t>For additional information on how to complete the Exhibit G Supplemental Budget, see Appendix A of the SFP, Proposal Package Instructions.</w:t>
      </w:r>
    </w:p>
    <w:p w14:paraId="2434DFA6" w14:textId="77777777" w:rsidR="00D86051" w:rsidRPr="00D86051" w:rsidRDefault="00D86051" w:rsidP="00B811CA"/>
    <w:p w14:paraId="57CC3EED" w14:textId="5A708A01" w:rsidR="006E575C" w:rsidRPr="00196202" w:rsidRDefault="006E575C" w:rsidP="00196202">
      <w:pPr>
        <w:pStyle w:val="ListParagraph"/>
        <w:numPr>
          <w:ilvl w:val="0"/>
          <w:numId w:val="25"/>
        </w:numPr>
        <w:rPr>
          <w:rFonts w:ascii="Calibri (body)" w:hAnsi="Calibri (body)" w:cs="Calibri"/>
          <w:b/>
          <w:bCs/>
        </w:rPr>
      </w:pPr>
      <w:r w:rsidRPr="00196202">
        <w:rPr>
          <w:rFonts w:ascii="Calibri (body)" w:hAnsi="Calibri (body)" w:cs="Calibri"/>
          <w:b/>
          <w:bCs/>
        </w:rPr>
        <w:t xml:space="preserve">Will </w:t>
      </w:r>
      <w:r w:rsidR="00D86051" w:rsidRPr="00196202">
        <w:rPr>
          <w:rFonts w:ascii="Calibri (body)" w:hAnsi="Calibri (body)" w:cs="Calibri"/>
          <w:b/>
          <w:bCs/>
        </w:rPr>
        <w:t xml:space="preserve">an applicant </w:t>
      </w:r>
      <w:r w:rsidRPr="00196202">
        <w:rPr>
          <w:rFonts w:ascii="Calibri (body)" w:hAnsi="Calibri (body)" w:cs="Calibri"/>
          <w:b/>
          <w:bCs/>
        </w:rPr>
        <w:t xml:space="preserve">receive confirmation that </w:t>
      </w:r>
      <w:r w:rsidR="00D86051" w:rsidRPr="00196202">
        <w:rPr>
          <w:rFonts w:ascii="Calibri (body)" w:hAnsi="Calibri (body)" w:cs="Calibri"/>
          <w:b/>
          <w:bCs/>
        </w:rPr>
        <w:t xml:space="preserve">their </w:t>
      </w:r>
      <w:r w:rsidRPr="00196202">
        <w:rPr>
          <w:rFonts w:ascii="Calibri (body)" w:hAnsi="Calibri (body)" w:cs="Calibri"/>
          <w:b/>
          <w:bCs/>
        </w:rPr>
        <w:t>application was received?</w:t>
      </w:r>
    </w:p>
    <w:p w14:paraId="299BD7B2" w14:textId="77777777" w:rsidR="00AF4A15" w:rsidRPr="00AD1572" w:rsidRDefault="00AF4A15" w:rsidP="00B811CA"/>
    <w:p w14:paraId="7315C17B" w14:textId="629BDE98" w:rsidR="00AF4A15" w:rsidRPr="00AD1572" w:rsidRDefault="00AD1572" w:rsidP="00196202">
      <w:pPr>
        <w:ind w:firstLine="360"/>
      </w:pPr>
      <w:r>
        <w:t xml:space="preserve">Yes, all applicants will receive an email confirmation. </w:t>
      </w:r>
    </w:p>
    <w:p w14:paraId="7EDD76ED" w14:textId="77777777" w:rsidR="00185476" w:rsidRPr="00185476" w:rsidRDefault="00185476" w:rsidP="00B811CA">
      <w:pPr>
        <w:rPr>
          <w:highlight w:val="green"/>
        </w:rPr>
      </w:pPr>
    </w:p>
    <w:p w14:paraId="53D9C21B" w14:textId="2A9FDB11" w:rsidR="004B2C88" w:rsidRPr="006D0F6C" w:rsidRDefault="006E575C" w:rsidP="006D0F6C">
      <w:pPr>
        <w:pStyle w:val="ListParagraph"/>
        <w:numPr>
          <w:ilvl w:val="0"/>
          <w:numId w:val="25"/>
        </w:numPr>
        <w:rPr>
          <w:rFonts w:ascii="Calibri (body)" w:hAnsi="Calibri (body)" w:cs="Calibri"/>
          <w:b/>
          <w:bCs/>
        </w:rPr>
      </w:pPr>
      <w:r w:rsidRPr="006D0F6C">
        <w:rPr>
          <w:rFonts w:ascii="Calibri (body)" w:hAnsi="Calibri (body)" w:cs="Calibri"/>
          <w:b/>
          <w:bCs/>
        </w:rPr>
        <w:t>How is an organization/agency defined for the single application limit</w:t>
      </w:r>
      <w:r w:rsidR="00D86051" w:rsidRPr="006D0F6C">
        <w:rPr>
          <w:rFonts w:ascii="Calibri (body)" w:hAnsi="Calibri (body)" w:cs="Calibri"/>
          <w:b/>
          <w:bCs/>
        </w:rPr>
        <w:t>?</w:t>
      </w:r>
    </w:p>
    <w:p w14:paraId="7DD6F70E" w14:textId="77777777" w:rsidR="00D86051" w:rsidRPr="00251405" w:rsidRDefault="00D86051" w:rsidP="00B811CA"/>
    <w:p w14:paraId="4CB35B5F" w14:textId="6ED58566" w:rsidR="004B2C88" w:rsidRPr="004B2C88" w:rsidRDefault="002765EA" w:rsidP="006D0F6C">
      <w:pPr>
        <w:ind w:left="360"/>
      </w:pPr>
      <w:r w:rsidRPr="00251405">
        <w:t>It is based on the registration with the System for Award Management</w:t>
      </w:r>
      <w:r w:rsidR="0057254C">
        <w:t xml:space="preserve"> (SAM)</w:t>
      </w:r>
      <w:r w:rsidRPr="00251405">
        <w:t>.</w:t>
      </w:r>
      <w:r w:rsidR="00D86051" w:rsidRPr="00251405">
        <w:t xml:space="preserve"> Only one application will be accepted per entity reg</w:t>
      </w:r>
      <w:r w:rsidR="00251405" w:rsidRPr="00251405">
        <w:t>istered</w:t>
      </w:r>
      <w:r w:rsidR="00D86051" w:rsidRPr="00251405">
        <w:t xml:space="preserve"> in SAM.</w:t>
      </w:r>
    </w:p>
    <w:p w14:paraId="126C9E7C" w14:textId="77777777" w:rsidR="004C049F" w:rsidRDefault="004C049F" w:rsidP="00B811CA"/>
    <w:p w14:paraId="256F4D18" w14:textId="7E6B22A5" w:rsidR="004C049F" w:rsidRPr="006D0F6C" w:rsidRDefault="004C049F" w:rsidP="006D0F6C">
      <w:pPr>
        <w:pStyle w:val="ListParagraph"/>
        <w:numPr>
          <w:ilvl w:val="0"/>
          <w:numId w:val="25"/>
        </w:numPr>
        <w:rPr>
          <w:b/>
          <w:bCs/>
        </w:rPr>
      </w:pPr>
      <w:r w:rsidRPr="006D0F6C">
        <w:rPr>
          <w:b/>
          <w:bCs/>
        </w:rPr>
        <w:t xml:space="preserve">Can the proposed program for the grant build </w:t>
      </w:r>
      <w:r w:rsidR="004B2C88" w:rsidRPr="006D0F6C">
        <w:rPr>
          <w:b/>
          <w:bCs/>
        </w:rPr>
        <w:t>off</w:t>
      </w:r>
      <w:r w:rsidRPr="006D0F6C">
        <w:rPr>
          <w:b/>
          <w:bCs/>
        </w:rPr>
        <w:t xml:space="preserve"> an existing program? If so, are any elements that need to be added to satisfy the funding requirements?</w:t>
      </w:r>
    </w:p>
    <w:p w14:paraId="5B521351" w14:textId="77777777" w:rsidR="004B2C88" w:rsidRPr="00251405" w:rsidRDefault="004B2C88" w:rsidP="00B811CA"/>
    <w:p w14:paraId="66775E52" w14:textId="59580F4D" w:rsidR="004B2C88" w:rsidRPr="004B2C88" w:rsidRDefault="004B2C88" w:rsidP="006D0F6C">
      <w:pPr>
        <w:ind w:left="360"/>
      </w:pPr>
      <w:r w:rsidRPr="00251405">
        <w:t xml:space="preserve">Yes, applicants will complete a detailed work plan demonstrating how their project will meet the defined goals and direct existing resources in new, more effective ways of serving the target population. The program </w:t>
      </w:r>
      <w:r w:rsidR="00A16BAD">
        <w:t>must</w:t>
      </w:r>
      <w:r w:rsidRPr="00251405">
        <w:t xml:space="preserve"> follow the guidelines set forth by the SFP for Program Design.</w:t>
      </w:r>
      <w:r w:rsidR="006D0F6C">
        <w:t xml:space="preserve"> </w:t>
      </w:r>
      <w:r w:rsidRPr="00251405">
        <w:t>For additional information, see Section III of the SFP, Project Design.</w:t>
      </w:r>
      <w:r>
        <w:t xml:space="preserve"> </w:t>
      </w:r>
    </w:p>
    <w:p w14:paraId="14CEB2AA" w14:textId="65079570" w:rsidR="006E575C" w:rsidRDefault="006E575C" w:rsidP="00B811CA">
      <w:pPr>
        <w:rPr>
          <w:rFonts w:ascii="Calibri (body)" w:hAnsi="Calibri (body)" w:cs="Calibri"/>
        </w:rPr>
      </w:pPr>
    </w:p>
    <w:p w14:paraId="1701D0B8" w14:textId="2C52D572" w:rsidR="00BB5E97" w:rsidRPr="006D0F6C" w:rsidRDefault="00BB5E97" w:rsidP="006D0F6C">
      <w:pPr>
        <w:pStyle w:val="ListParagraph"/>
        <w:numPr>
          <w:ilvl w:val="0"/>
          <w:numId w:val="25"/>
        </w:numPr>
        <w:rPr>
          <w:b/>
          <w:bCs/>
        </w:rPr>
      </w:pPr>
      <w:r w:rsidRPr="006D0F6C">
        <w:rPr>
          <w:b/>
          <w:bCs/>
        </w:rPr>
        <w:t>What is the difference between the required vs critical partners?</w:t>
      </w:r>
    </w:p>
    <w:p w14:paraId="3BB0E77B" w14:textId="77777777" w:rsidR="00BB5E97" w:rsidRPr="00AD1572" w:rsidRDefault="00BB5E97" w:rsidP="00B811CA"/>
    <w:p w14:paraId="68121637" w14:textId="232A1784" w:rsidR="00BB5E97" w:rsidRDefault="00846C75" w:rsidP="006D0F6C">
      <w:pPr>
        <w:ind w:left="360"/>
      </w:pPr>
      <w:r w:rsidRPr="00AD1572">
        <w:t>They are the same.</w:t>
      </w:r>
      <w:r>
        <w:t xml:space="preserve"> </w:t>
      </w:r>
      <w:r w:rsidR="00251405" w:rsidRPr="00251405">
        <w:t>For additional information</w:t>
      </w:r>
      <w:r w:rsidR="00A16BAD">
        <w:t>,</w:t>
      </w:r>
      <w:r w:rsidR="00251405" w:rsidRPr="00251405">
        <w:t xml:space="preserve"> see Section IV of the SFP, Application and Program Requirements.</w:t>
      </w:r>
    </w:p>
    <w:p w14:paraId="33E35C10" w14:textId="77777777" w:rsidR="00A16BAD" w:rsidRDefault="00A16BAD" w:rsidP="00B811CA"/>
    <w:p w14:paraId="18EB39A3" w14:textId="321FBB6B" w:rsidR="00BB5E97" w:rsidRPr="006D0F6C" w:rsidRDefault="00BB5E97" w:rsidP="006D0F6C">
      <w:pPr>
        <w:pStyle w:val="ListParagraph"/>
        <w:numPr>
          <w:ilvl w:val="0"/>
          <w:numId w:val="25"/>
        </w:numPr>
        <w:rPr>
          <w:b/>
          <w:bCs/>
        </w:rPr>
      </w:pPr>
      <w:r w:rsidRPr="006D0F6C">
        <w:rPr>
          <w:b/>
          <w:bCs/>
        </w:rPr>
        <w:t>Will the funding be added to a sub grant agreement if the applicant is currently a grantee of EDD?</w:t>
      </w:r>
    </w:p>
    <w:p w14:paraId="130EED25" w14:textId="77777777" w:rsidR="00BB5E97" w:rsidRPr="00251405" w:rsidRDefault="00BB5E97" w:rsidP="00B811CA"/>
    <w:p w14:paraId="6BFAFF8F" w14:textId="22FE2AE6" w:rsidR="00A16BAD" w:rsidRDefault="00A16BAD" w:rsidP="006D0F6C">
      <w:pPr>
        <w:ind w:left="360"/>
      </w:pPr>
      <w:r>
        <w:t>If awarded,</w:t>
      </w:r>
      <w:r w:rsidR="00251405" w:rsidRPr="00251405">
        <w:t xml:space="preserve"> this grant will be added to the current grant agreement. </w:t>
      </w:r>
      <w:r>
        <w:t>A new sub-grant agreement will be administrated if the awardee is a new applicant</w:t>
      </w:r>
      <w:r w:rsidR="00251405" w:rsidRPr="00251405">
        <w:t>.</w:t>
      </w:r>
      <w:r w:rsidR="00C871B6">
        <w:t xml:space="preserve"> </w:t>
      </w:r>
    </w:p>
    <w:p w14:paraId="66C59EF3" w14:textId="77777777" w:rsidR="00A16BAD" w:rsidRDefault="00A16BAD" w:rsidP="00B811CA"/>
    <w:p w14:paraId="786B4ED4" w14:textId="2B20466B" w:rsidR="00BB5E97" w:rsidRPr="006D0F6C" w:rsidRDefault="00BB5E97" w:rsidP="006D0F6C">
      <w:pPr>
        <w:pStyle w:val="ListParagraph"/>
        <w:numPr>
          <w:ilvl w:val="0"/>
          <w:numId w:val="25"/>
        </w:numPr>
        <w:rPr>
          <w:b/>
          <w:bCs/>
        </w:rPr>
      </w:pPr>
      <w:r w:rsidRPr="006D0F6C">
        <w:rPr>
          <w:b/>
          <w:bCs/>
        </w:rPr>
        <w:lastRenderedPageBreak/>
        <w:t xml:space="preserve">If an existing program serves </w:t>
      </w:r>
      <w:r w:rsidR="00A16BAD" w:rsidRPr="006D0F6C">
        <w:rPr>
          <w:b/>
          <w:bCs/>
        </w:rPr>
        <w:t>primari</w:t>
      </w:r>
      <w:r w:rsidRPr="006D0F6C">
        <w:rPr>
          <w:b/>
          <w:bCs/>
        </w:rPr>
        <w:t>ly young adults aged 18-28 but also has some older participants outside of that age range, is the entire program eligible for funding if the focus of growth is on young adults?</w:t>
      </w:r>
    </w:p>
    <w:p w14:paraId="47BC07E3" w14:textId="77777777" w:rsidR="00BB5E97" w:rsidRPr="00A21851" w:rsidRDefault="00BB5E97" w:rsidP="00B811CA"/>
    <w:p w14:paraId="4C726BEC" w14:textId="579BA3A0" w:rsidR="00BB5E97" w:rsidRDefault="002765EA" w:rsidP="006D0F6C">
      <w:pPr>
        <w:ind w:left="360"/>
      </w:pPr>
      <w:r w:rsidRPr="00A21851">
        <w:t xml:space="preserve">An existing program can be eligible </w:t>
      </w:r>
      <w:r w:rsidR="00A16BAD" w:rsidRPr="00A21851">
        <w:t>if</w:t>
      </w:r>
      <w:r w:rsidRPr="00A21851">
        <w:t xml:space="preserve"> all individuals enrolled are 18-28 years of age and meet WIOA Title I Adult eligibility requirements.</w:t>
      </w:r>
      <w:r w:rsidR="006D0F6C">
        <w:t xml:space="preserve"> </w:t>
      </w:r>
      <w:r w:rsidR="00A21851" w:rsidRPr="00A21851">
        <w:t>For additional information</w:t>
      </w:r>
      <w:r w:rsidR="00A16BAD">
        <w:t>,</w:t>
      </w:r>
      <w:r w:rsidR="00A21851" w:rsidRPr="00A21851">
        <w:t xml:space="preserve"> see Section II of the SFP, Eligibility.</w:t>
      </w:r>
    </w:p>
    <w:p w14:paraId="731D5B4E" w14:textId="77777777" w:rsidR="00703251" w:rsidRDefault="00703251" w:rsidP="00B811CA"/>
    <w:p w14:paraId="5CA31945" w14:textId="41C09704" w:rsidR="00BB5E97" w:rsidRPr="006D0F6C" w:rsidRDefault="00BB5E97" w:rsidP="006D0F6C">
      <w:pPr>
        <w:pStyle w:val="ListParagraph"/>
        <w:numPr>
          <w:ilvl w:val="0"/>
          <w:numId w:val="25"/>
        </w:numPr>
        <w:rPr>
          <w:b/>
          <w:bCs/>
        </w:rPr>
      </w:pPr>
      <w:bookmarkStart w:id="5" w:name="_Hlk156559087"/>
      <w:r w:rsidRPr="006D0F6C">
        <w:rPr>
          <w:b/>
          <w:bCs/>
        </w:rPr>
        <w:t>Can a newer non</w:t>
      </w:r>
      <w:r w:rsidR="00A16BAD" w:rsidRPr="006D0F6C">
        <w:rPr>
          <w:b/>
          <w:bCs/>
        </w:rPr>
        <w:t>-</w:t>
      </w:r>
      <w:r w:rsidRPr="006D0F6C">
        <w:rPr>
          <w:b/>
          <w:bCs/>
        </w:rPr>
        <w:t xml:space="preserve">profit claim </w:t>
      </w:r>
      <w:r w:rsidR="00A21851" w:rsidRPr="006D0F6C">
        <w:rPr>
          <w:b/>
          <w:bCs/>
        </w:rPr>
        <w:t>indirect cost</w:t>
      </w:r>
      <w:r w:rsidRPr="006D0F6C">
        <w:rPr>
          <w:b/>
          <w:bCs/>
        </w:rPr>
        <w:t xml:space="preserve">? </w:t>
      </w:r>
      <w:r w:rsidR="00A16BAD" w:rsidRPr="006D0F6C">
        <w:rPr>
          <w:b/>
          <w:bCs/>
        </w:rPr>
        <w:t>How would the modified total direct costs (MTDC) be calculated if so</w:t>
      </w:r>
      <w:r w:rsidRPr="006D0F6C">
        <w:rPr>
          <w:b/>
          <w:bCs/>
        </w:rPr>
        <w:t>? Can 10</w:t>
      </w:r>
      <w:r w:rsidR="00A21851" w:rsidRPr="006D0F6C">
        <w:rPr>
          <w:b/>
          <w:bCs/>
        </w:rPr>
        <w:t xml:space="preserve"> percent</w:t>
      </w:r>
      <w:r w:rsidRPr="006D0F6C">
        <w:rPr>
          <w:b/>
          <w:bCs/>
        </w:rPr>
        <w:t xml:space="preserve"> of requested funds be claimed for indirect costs </w:t>
      </w:r>
      <w:r w:rsidR="00A21851" w:rsidRPr="006D0F6C">
        <w:rPr>
          <w:b/>
          <w:bCs/>
        </w:rPr>
        <w:t>and another</w:t>
      </w:r>
      <w:r w:rsidRPr="006D0F6C">
        <w:rPr>
          <w:b/>
          <w:bCs/>
        </w:rPr>
        <w:t xml:space="preserve"> 10</w:t>
      </w:r>
      <w:r w:rsidR="00A21851" w:rsidRPr="006D0F6C">
        <w:rPr>
          <w:b/>
          <w:bCs/>
        </w:rPr>
        <w:t xml:space="preserve"> percent</w:t>
      </w:r>
      <w:r w:rsidRPr="006D0F6C">
        <w:rPr>
          <w:b/>
          <w:bCs/>
        </w:rPr>
        <w:t xml:space="preserve"> for administrative, or is it one or the other?</w:t>
      </w:r>
    </w:p>
    <w:p w14:paraId="780D526A" w14:textId="77777777" w:rsidR="00BB5E97" w:rsidRPr="00A21851" w:rsidRDefault="00BB5E97" w:rsidP="00B811CA"/>
    <w:bookmarkEnd w:id="5"/>
    <w:p w14:paraId="35C17BEB" w14:textId="3FDDCBB4" w:rsidR="00AF5D6D" w:rsidRPr="00A21851" w:rsidRDefault="00AF5D6D" w:rsidP="006D0F6C">
      <w:pPr>
        <w:ind w:left="360"/>
      </w:pPr>
      <w:r w:rsidRPr="00A21851">
        <w:t xml:space="preserve">A newer non-profit that does not have an approved NICRA or established CAP may use the 10% de minimis indirect cost rate.  Modified Total Direct Costs (MTDC) is defined in 2 CFR 200.68.  To calculate MTDC, add all allowable cost items listed in the referenced definition and apply the 10% de minimis rate to that total to </w:t>
      </w:r>
      <w:r w:rsidR="00A16BAD">
        <w:t>determine</w:t>
      </w:r>
      <w:r w:rsidRPr="00A21851">
        <w:t xml:space="preserve"> the total dollar amount for indirect costs.</w:t>
      </w:r>
    </w:p>
    <w:p w14:paraId="5ABBBE69" w14:textId="77777777" w:rsidR="00AF5D6D" w:rsidRPr="00A21851" w:rsidRDefault="00AF5D6D" w:rsidP="006D0F6C">
      <w:pPr>
        <w:ind w:left="360"/>
      </w:pPr>
    </w:p>
    <w:p w14:paraId="6F84AC64" w14:textId="7C321C94" w:rsidR="00AF5D6D" w:rsidRPr="00A21851" w:rsidRDefault="00AF5D6D" w:rsidP="006D0F6C">
      <w:pPr>
        <w:ind w:left="360"/>
      </w:pPr>
      <w:r w:rsidRPr="00A21851">
        <w:t xml:space="preserve">Applicants can claim both direct and indirect administrative </w:t>
      </w:r>
      <w:r w:rsidR="00A16BAD" w:rsidRPr="00A21851">
        <w:t>costs if</w:t>
      </w:r>
      <w:r w:rsidRPr="00A21851">
        <w:t xml:space="preserve"> the combined total dollar amount remains under 10% of the total award.</w:t>
      </w:r>
    </w:p>
    <w:p w14:paraId="38FF6972" w14:textId="77777777" w:rsidR="00F439CC" w:rsidRPr="00F439CC" w:rsidRDefault="00F439CC" w:rsidP="00B811CA"/>
    <w:p w14:paraId="3C938B71" w14:textId="0195939D" w:rsidR="006D0F6C" w:rsidRPr="006D0F6C" w:rsidRDefault="006D0F6C" w:rsidP="006D0F6C">
      <w:pPr>
        <w:pStyle w:val="ListParagraph"/>
        <w:numPr>
          <w:ilvl w:val="0"/>
          <w:numId w:val="25"/>
        </w:numPr>
        <w:rPr>
          <w:b/>
          <w:bCs/>
        </w:rPr>
      </w:pPr>
      <w:r w:rsidRPr="006D0F6C">
        <w:rPr>
          <w:b/>
          <w:bCs/>
        </w:rPr>
        <w:t>Can an organization apply for two different EDD grants simultaneously? Example: Opportunity Young Adult and ESP, when does that come out?</w:t>
      </w:r>
    </w:p>
    <w:p w14:paraId="30AEF255" w14:textId="77777777" w:rsidR="006D0F6C" w:rsidRDefault="006D0F6C" w:rsidP="00B811CA"/>
    <w:p w14:paraId="6AAE025D" w14:textId="624CA04F" w:rsidR="00BB5E97" w:rsidRPr="00AD1572" w:rsidRDefault="00BB5E97" w:rsidP="006D0F6C">
      <w:pPr>
        <w:ind w:firstLine="360"/>
      </w:pPr>
      <w:r w:rsidRPr="00AD1572">
        <w:t>Yes</w:t>
      </w:r>
      <w:r w:rsidR="00AD1572">
        <w:t xml:space="preserve">, organizations can apply for different EDD grants at any given time. </w:t>
      </w:r>
    </w:p>
    <w:p w14:paraId="309D8D11" w14:textId="77777777" w:rsidR="00BB5E97" w:rsidRPr="00563980" w:rsidRDefault="00BB5E97" w:rsidP="00B811CA">
      <w:pPr>
        <w:rPr>
          <w:highlight w:val="green"/>
        </w:rPr>
      </w:pPr>
    </w:p>
    <w:p w14:paraId="27399281" w14:textId="212B6FCE" w:rsidR="00BB5E97" w:rsidRPr="006D0F6C" w:rsidRDefault="00A21851" w:rsidP="006D0F6C">
      <w:pPr>
        <w:pStyle w:val="ListParagraph"/>
        <w:numPr>
          <w:ilvl w:val="0"/>
          <w:numId w:val="25"/>
        </w:numPr>
        <w:rPr>
          <w:b/>
          <w:bCs/>
        </w:rPr>
      </w:pPr>
      <w:r w:rsidRPr="006D0F6C">
        <w:rPr>
          <w:b/>
          <w:bCs/>
        </w:rPr>
        <w:t>A</w:t>
      </w:r>
      <w:r w:rsidR="00BB5E97" w:rsidRPr="006D0F6C">
        <w:rPr>
          <w:b/>
          <w:bCs/>
        </w:rPr>
        <w:t>re city/local governments not eligible to apply?</w:t>
      </w:r>
    </w:p>
    <w:p w14:paraId="66B623B8" w14:textId="77777777" w:rsidR="00BB5E97" w:rsidRPr="00AD1572" w:rsidRDefault="00BB5E97" w:rsidP="00B811CA"/>
    <w:p w14:paraId="74854745" w14:textId="65D03AC1" w:rsidR="00BB5E97" w:rsidRPr="00AD1572" w:rsidRDefault="00703251" w:rsidP="006D0F6C">
      <w:pPr>
        <w:ind w:firstLine="360"/>
      </w:pPr>
      <w:r>
        <w:t>C</w:t>
      </w:r>
      <w:r w:rsidR="00BB5E97" w:rsidRPr="00AD1572">
        <w:t>ity</w:t>
      </w:r>
      <w:r w:rsidR="00AD1572">
        <w:t xml:space="preserve"> or </w:t>
      </w:r>
      <w:r w:rsidR="00BB5E97" w:rsidRPr="00AD1572">
        <w:t xml:space="preserve">local governments are eligible to apply </w:t>
      </w:r>
      <w:r w:rsidR="00A16BAD">
        <w:t>for</w:t>
      </w:r>
      <w:r w:rsidR="00BB5E97" w:rsidRPr="00AD1572">
        <w:t xml:space="preserve"> this grant.</w:t>
      </w:r>
    </w:p>
    <w:p w14:paraId="380C24D1" w14:textId="77777777" w:rsidR="00BB5E97" w:rsidRPr="00563980" w:rsidRDefault="00BB5E97" w:rsidP="00B811CA">
      <w:pPr>
        <w:rPr>
          <w:highlight w:val="green"/>
        </w:rPr>
      </w:pPr>
    </w:p>
    <w:p w14:paraId="44ED3E6B" w14:textId="5C1FEDBF" w:rsidR="00BB5E97" w:rsidRPr="006D0F6C" w:rsidRDefault="00BB5E97" w:rsidP="006D0F6C">
      <w:pPr>
        <w:pStyle w:val="ListParagraph"/>
        <w:numPr>
          <w:ilvl w:val="0"/>
          <w:numId w:val="25"/>
        </w:numPr>
        <w:rPr>
          <w:b/>
          <w:bCs/>
        </w:rPr>
      </w:pPr>
      <w:r w:rsidRPr="006D0F6C">
        <w:rPr>
          <w:b/>
          <w:bCs/>
        </w:rPr>
        <w:t xml:space="preserve">The SFP recommends leasing </w:t>
      </w:r>
      <w:r w:rsidR="00A16BAD" w:rsidRPr="006D0F6C">
        <w:rPr>
          <w:b/>
          <w:bCs/>
        </w:rPr>
        <w:t>"</w:t>
      </w:r>
      <w:r w:rsidRPr="006D0F6C">
        <w:rPr>
          <w:b/>
          <w:bCs/>
        </w:rPr>
        <w:t>expensive equipment</w:t>
      </w:r>
      <w:r w:rsidR="00A16BAD" w:rsidRPr="006D0F6C">
        <w:rPr>
          <w:b/>
          <w:bCs/>
        </w:rPr>
        <w:t>"</w:t>
      </w:r>
      <w:r w:rsidRPr="006D0F6C">
        <w:rPr>
          <w:b/>
          <w:bCs/>
        </w:rPr>
        <w:t xml:space="preserve"> rather than buying it, given the short-term funding period for this program</w:t>
      </w:r>
      <w:r w:rsidR="00A21851" w:rsidRPr="006D0F6C">
        <w:rPr>
          <w:b/>
          <w:bCs/>
        </w:rPr>
        <w:t>. I</w:t>
      </w:r>
      <w:r w:rsidRPr="006D0F6C">
        <w:rPr>
          <w:b/>
          <w:bCs/>
        </w:rPr>
        <w:t>s there a limit on how much money can be spent on equipment that can be followed when preparing a budget?</w:t>
      </w:r>
    </w:p>
    <w:p w14:paraId="5C805634" w14:textId="77777777" w:rsidR="00BB5E97" w:rsidRPr="00AD1572" w:rsidRDefault="00BB5E97" w:rsidP="00B811CA"/>
    <w:p w14:paraId="0BCEF6C8" w14:textId="539861AA" w:rsidR="00BB5E97" w:rsidRPr="00AD1572" w:rsidRDefault="00BB5E97" w:rsidP="006D0F6C">
      <w:pPr>
        <w:ind w:left="360"/>
      </w:pPr>
      <w:r w:rsidRPr="00AD1572">
        <w:t>If the applicant plans to purchase equipment with a unit cost of $5,000 or more and a useful life span of more than one year, the Supplemental Budget (Exhibit G), Section I: Equipment must be completed</w:t>
      </w:r>
      <w:r w:rsidR="00A21851">
        <w:t xml:space="preserve"> and approved by the EDD.</w:t>
      </w:r>
      <w:r w:rsidR="006D0F6C">
        <w:t xml:space="preserve"> </w:t>
      </w:r>
      <w:r w:rsidRPr="00AD1572">
        <w:t>For additional information, see page 34 of the SFP, Exhibit G Supplemental Budget.</w:t>
      </w:r>
    </w:p>
    <w:p w14:paraId="1DDE1513" w14:textId="77777777" w:rsidR="00BB5E97" w:rsidRPr="00563980" w:rsidRDefault="00BB5E97" w:rsidP="00B811CA">
      <w:pPr>
        <w:rPr>
          <w:highlight w:val="green"/>
        </w:rPr>
      </w:pPr>
    </w:p>
    <w:p w14:paraId="58DC289A" w14:textId="626DFB16" w:rsidR="00BB5E97" w:rsidRPr="006D0F6C" w:rsidRDefault="00BB5E97" w:rsidP="006D0F6C">
      <w:pPr>
        <w:pStyle w:val="ListParagraph"/>
        <w:numPr>
          <w:ilvl w:val="0"/>
          <w:numId w:val="25"/>
        </w:numPr>
        <w:rPr>
          <w:b/>
          <w:bCs/>
        </w:rPr>
      </w:pPr>
      <w:r w:rsidRPr="006D0F6C">
        <w:rPr>
          <w:b/>
          <w:bCs/>
        </w:rPr>
        <w:t xml:space="preserve">Will funding come through a </w:t>
      </w:r>
      <w:r w:rsidR="00564106" w:rsidRPr="006D0F6C">
        <w:rPr>
          <w:b/>
          <w:bCs/>
        </w:rPr>
        <w:t>s</w:t>
      </w:r>
      <w:r w:rsidRPr="006D0F6C">
        <w:rPr>
          <w:b/>
          <w:bCs/>
        </w:rPr>
        <w:t>ubgrant?</w:t>
      </w:r>
    </w:p>
    <w:p w14:paraId="110E7663" w14:textId="77777777" w:rsidR="00BB5E97" w:rsidRPr="00564106" w:rsidRDefault="00BB5E97" w:rsidP="00B811CA"/>
    <w:p w14:paraId="71A432FA" w14:textId="72877ED2" w:rsidR="00563980" w:rsidRDefault="00703251" w:rsidP="006D0F6C">
      <w:pPr>
        <w:ind w:firstLine="360"/>
      </w:pPr>
      <w:r w:rsidRPr="00564106">
        <w:t>Yes,</w:t>
      </w:r>
      <w:r>
        <w:t xml:space="preserve"> the funding will be a subgrant.</w:t>
      </w:r>
    </w:p>
    <w:p w14:paraId="7F5AC0ED" w14:textId="77777777" w:rsidR="00563980" w:rsidRDefault="00563980" w:rsidP="00B811CA"/>
    <w:p w14:paraId="2B171CA6" w14:textId="678623D3" w:rsidR="00BB5E97" w:rsidRPr="006D0F6C" w:rsidRDefault="00564106" w:rsidP="006D0F6C">
      <w:pPr>
        <w:pStyle w:val="ListParagraph"/>
        <w:numPr>
          <w:ilvl w:val="0"/>
          <w:numId w:val="25"/>
        </w:numPr>
        <w:rPr>
          <w:b/>
          <w:bCs/>
        </w:rPr>
      </w:pPr>
      <w:r w:rsidRPr="006D0F6C">
        <w:rPr>
          <w:b/>
          <w:bCs/>
        </w:rPr>
        <w:t xml:space="preserve">Is </w:t>
      </w:r>
      <w:r w:rsidR="00BB5E97" w:rsidRPr="006D0F6C">
        <w:rPr>
          <w:b/>
          <w:bCs/>
        </w:rPr>
        <w:t xml:space="preserve">community organizing </w:t>
      </w:r>
      <w:r w:rsidRPr="006D0F6C">
        <w:rPr>
          <w:b/>
          <w:bCs/>
        </w:rPr>
        <w:t>considered a</w:t>
      </w:r>
      <w:r w:rsidR="00BB5E97" w:rsidRPr="006D0F6C">
        <w:rPr>
          <w:b/>
          <w:bCs/>
        </w:rPr>
        <w:t xml:space="preserve"> qualified career for this program?</w:t>
      </w:r>
    </w:p>
    <w:p w14:paraId="30B2E120" w14:textId="77777777" w:rsidR="00BB5E97" w:rsidRPr="00564106" w:rsidRDefault="00BB5E97" w:rsidP="00B811CA"/>
    <w:p w14:paraId="1F144796" w14:textId="709EB394" w:rsidR="00BB5E97" w:rsidRPr="00564106" w:rsidRDefault="00564106" w:rsidP="006D0F6C">
      <w:pPr>
        <w:ind w:left="360"/>
      </w:pPr>
      <w:r w:rsidRPr="00564106">
        <w:t xml:space="preserve">The OYA Career Pathway Program should target sectors with quality jobs with strong projected demand and career advancement opportunities, such as Public, Agriculture, Infrastructure, Manufacturing, and Health. Applicants can target other sectors but should make a case for </w:t>
      </w:r>
      <w:r w:rsidRPr="00564106">
        <w:lastRenderedPageBreak/>
        <w:t>consideration of those sectors. Factors include but are not limited to sectors or industries that connect with apprenticeship programs, pre-apprenticeship programs, community college, and adult school programs with evidence of success.</w:t>
      </w:r>
      <w:r w:rsidR="006D0F6C">
        <w:t xml:space="preserve"> </w:t>
      </w:r>
      <w:r w:rsidRPr="00564106">
        <w:t>For additional information</w:t>
      </w:r>
      <w:r w:rsidR="00A16BAD">
        <w:t>,</w:t>
      </w:r>
      <w:r w:rsidRPr="00564106">
        <w:t xml:space="preserve"> see Section II of the SFP, </w:t>
      </w:r>
      <w:r w:rsidR="00703251">
        <w:t>Program Overview</w:t>
      </w:r>
      <w:r w:rsidRPr="00564106">
        <w:t>.</w:t>
      </w:r>
    </w:p>
    <w:p w14:paraId="4BFD79A4" w14:textId="77777777" w:rsidR="00564106" w:rsidRPr="00564106" w:rsidRDefault="00564106" w:rsidP="00B811CA"/>
    <w:p w14:paraId="680B1776" w14:textId="675CB89C" w:rsidR="00BB5E97" w:rsidRPr="006D0F6C" w:rsidRDefault="00A16BAD" w:rsidP="006D0F6C">
      <w:pPr>
        <w:pStyle w:val="ListParagraph"/>
        <w:numPr>
          <w:ilvl w:val="0"/>
          <w:numId w:val="25"/>
        </w:numPr>
        <w:rPr>
          <w:b/>
          <w:bCs/>
        </w:rPr>
      </w:pPr>
      <w:r w:rsidRPr="006D0F6C">
        <w:rPr>
          <w:b/>
          <w:bCs/>
        </w:rPr>
        <w:t>Should training programs</w:t>
      </w:r>
      <w:r w:rsidR="00BB5E97" w:rsidRPr="006D0F6C">
        <w:rPr>
          <w:b/>
          <w:bCs/>
        </w:rPr>
        <w:t xml:space="preserve"> be on the</w:t>
      </w:r>
      <w:r w:rsidR="00564106" w:rsidRPr="006D0F6C">
        <w:rPr>
          <w:b/>
          <w:bCs/>
        </w:rPr>
        <w:t xml:space="preserve"> Employment Training Panel List (ETPL)</w:t>
      </w:r>
      <w:r w:rsidR="00BB5E97" w:rsidRPr="006D0F6C">
        <w:rPr>
          <w:b/>
          <w:bCs/>
        </w:rPr>
        <w:t>?</w:t>
      </w:r>
    </w:p>
    <w:p w14:paraId="0C8FFF22" w14:textId="77777777" w:rsidR="00BB5E97" w:rsidRPr="00564106" w:rsidRDefault="00BB5E97" w:rsidP="00B811CA"/>
    <w:p w14:paraId="7B2D4347" w14:textId="4453DEAB" w:rsidR="006D70D6" w:rsidRPr="00564106" w:rsidRDefault="006D70D6" w:rsidP="006D0F6C">
      <w:pPr>
        <w:ind w:firstLine="360"/>
      </w:pPr>
      <w:r w:rsidRPr="00564106">
        <w:t>Trainings must be allowable under the WIOA Title I Adult and Youth program.</w:t>
      </w:r>
    </w:p>
    <w:p w14:paraId="7D94137A" w14:textId="77777777" w:rsidR="00BB5E97" w:rsidRPr="009D28E2" w:rsidRDefault="00BB5E97" w:rsidP="00B811CA">
      <w:pPr>
        <w:rPr>
          <w:highlight w:val="green"/>
        </w:rPr>
      </w:pPr>
    </w:p>
    <w:p w14:paraId="34BC349E" w14:textId="3EEFA131" w:rsidR="00BB5E97" w:rsidRPr="006D0F6C" w:rsidRDefault="00BB5E97" w:rsidP="006D0F6C">
      <w:pPr>
        <w:pStyle w:val="ListParagraph"/>
        <w:numPr>
          <w:ilvl w:val="0"/>
          <w:numId w:val="25"/>
        </w:numPr>
        <w:rPr>
          <w:b/>
          <w:bCs/>
        </w:rPr>
      </w:pPr>
      <w:r w:rsidRPr="006D0F6C">
        <w:rPr>
          <w:b/>
          <w:bCs/>
        </w:rPr>
        <w:t xml:space="preserve">Is the funding available for existing programs, as well as new ones? </w:t>
      </w:r>
    </w:p>
    <w:p w14:paraId="333B70A2" w14:textId="77777777" w:rsidR="00BB5E97" w:rsidRPr="00564106" w:rsidRDefault="00BB5E97" w:rsidP="00B811CA"/>
    <w:p w14:paraId="0A5CCB86" w14:textId="53763985" w:rsidR="00BB5E97" w:rsidRDefault="00BB5E97" w:rsidP="006D0F6C">
      <w:pPr>
        <w:ind w:left="360"/>
      </w:pPr>
      <w:r w:rsidRPr="00564106">
        <w:t>Yes</w:t>
      </w:r>
      <w:r w:rsidR="000F3FF3">
        <w:t xml:space="preserve">, funding is available for existing programs and new programs. </w:t>
      </w:r>
      <w:proofErr w:type="gramStart"/>
      <w:r w:rsidR="000F3FF3">
        <w:t>As long as</w:t>
      </w:r>
      <w:proofErr w:type="gramEnd"/>
      <w:r w:rsidR="000F3FF3">
        <w:t xml:space="preserve"> they meet </w:t>
      </w:r>
      <w:r w:rsidR="000F3FF3" w:rsidRPr="00A21851">
        <w:t>WIOA Title I Adult eligibility requirements.</w:t>
      </w:r>
      <w:r w:rsidR="006D0F6C">
        <w:t xml:space="preserve"> </w:t>
      </w:r>
      <w:r w:rsidR="000F3FF3" w:rsidRPr="00A21851">
        <w:t>For additional information</w:t>
      </w:r>
      <w:r w:rsidR="000F3FF3">
        <w:t>,</w:t>
      </w:r>
      <w:r w:rsidR="000F3FF3" w:rsidRPr="00A21851">
        <w:t xml:space="preserve"> see Section II of the SFP, Eligibility.</w:t>
      </w:r>
    </w:p>
    <w:p w14:paraId="4229AC29" w14:textId="77777777" w:rsidR="00BB5E97" w:rsidRDefault="00BB5E97" w:rsidP="00B811CA"/>
    <w:p w14:paraId="6EDB8A63" w14:textId="6B9E5F37" w:rsidR="00BB5E97" w:rsidRPr="006D0F6C" w:rsidRDefault="00BB5E97" w:rsidP="006D0F6C">
      <w:pPr>
        <w:pStyle w:val="ListParagraph"/>
        <w:numPr>
          <w:ilvl w:val="0"/>
          <w:numId w:val="25"/>
        </w:numPr>
        <w:rPr>
          <w:b/>
          <w:bCs/>
        </w:rPr>
      </w:pPr>
      <w:r w:rsidRPr="006D0F6C">
        <w:rPr>
          <w:b/>
          <w:bCs/>
        </w:rPr>
        <w:t>Is</w:t>
      </w:r>
      <w:r w:rsidR="001B66F0" w:rsidRPr="006D0F6C">
        <w:rPr>
          <w:b/>
          <w:bCs/>
        </w:rPr>
        <w:t xml:space="preserve"> On</w:t>
      </w:r>
      <w:r w:rsidR="00A16BAD" w:rsidRPr="006D0F6C">
        <w:rPr>
          <w:b/>
          <w:bCs/>
        </w:rPr>
        <w:t>-the-</w:t>
      </w:r>
      <w:r w:rsidR="001B66F0" w:rsidRPr="006D0F6C">
        <w:rPr>
          <w:b/>
          <w:bCs/>
        </w:rPr>
        <w:t>job training (</w:t>
      </w:r>
      <w:r w:rsidRPr="006D0F6C">
        <w:rPr>
          <w:b/>
          <w:bCs/>
        </w:rPr>
        <w:t>OJT</w:t>
      </w:r>
      <w:r w:rsidR="001B66F0" w:rsidRPr="006D0F6C">
        <w:rPr>
          <w:b/>
          <w:bCs/>
        </w:rPr>
        <w:t>)</w:t>
      </w:r>
      <w:r w:rsidRPr="006D0F6C">
        <w:rPr>
          <w:b/>
          <w:bCs/>
        </w:rPr>
        <w:t xml:space="preserve"> a requirement?</w:t>
      </w:r>
    </w:p>
    <w:p w14:paraId="7758F910" w14:textId="77777777" w:rsidR="00BB5E97" w:rsidRPr="006D70D6" w:rsidRDefault="00BB5E97" w:rsidP="00B811CA"/>
    <w:p w14:paraId="644BFC44" w14:textId="79897296" w:rsidR="00BB5E97" w:rsidRDefault="00A16BAD" w:rsidP="006D0F6C">
      <w:pPr>
        <w:ind w:left="360"/>
      </w:pPr>
      <w:r>
        <w:t>W</w:t>
      </w:r>
      <w:r w:rsidR="001B66F0">
        <w:t>ork-based learning (WBL)</w:t>
      </w:r>
      <w:r>
        <w:t>,</w:t>
      </w:r>
      <w:r w:rsidR="001B66F0">
        <w:t xml:space="preserve"> </w:t>
      </w:r>
      <w:r w:rsidR="00BB5E97" w:rsidRPr="006D70D6">
        <w:t xml:space="preserve">such as </w:t>
      </w:r>
      <w:r w:rsidR="001B66F0">
        <w:t xml:space="preserve">OJT, </w:t>
      </w:r>
      <w:r w:rsidR="00BB5E97" w:rsidRPr="006D70D6">
        <w:t>paid internships, pre-apprenticeships, and mentorships</w:t>
      </w:r>
      <w:r>
        <w:t>,</w:t>
      </w:r>
      <w:r w:rsidR="00BB5E97" w:rsidRPr="006D70D6">
        <w:t xml:space="preserve"> should be a focus of project design</w:t>
      </w:r>
      <w:r>
        <w:t>;</w:t>
      </w:r>
      <w:r w:rsidR="00BB5E97" w:rsidRPr="006D70D6">
        <w:t xml:space="preserve"> however</w:t>
      </w:r>
      <w:r>
        <w:t>,</w:t>
      </w:r>
      <w:r w:rsidR="00BB5E97" w:rsidRPr="006D70D6">
        <w:t xml:space="preserve"> it is not a requirement. For additional information, see Section III of the SFP, Project Design.</w:t>
      </w:r>
    </w:p>
    <w:p w14:paraId="5219B8A2" w14:textId="77777777" w:rsidR="00BB5E97" w:rsidRDefault="00BB5E97" w:rsidP="00B811CA"/>
    <w:p w14:paraId="3FCD0953" w14:textId="7A28A89E" w:rsidR="00BB5E97" w:rsidRPr="006D0F6C" w:rsidRDefault="001B66F0" w:rsidP="006D0F6C">
      <w:pPr>
        <w:pStyle w:val="ListParagraph"/>
        <w:numPr>
          <w:ilvl w:val="0"/>
          <w:numId w:val="25"/>
        </w:numPr>
        <w:rPr>
          <w:b/>
          <w:bCs/>
        </w:rPr>
      </w:pPr>
      <w:r w:rsidRPr="006D0F6C">
        <w:rPr>
          <w:b/>
          <w:bCs/>
        </w:rPr>
        <w:t xml:space="preserve">What </w:t>
      </w:r>
      <w:r w:rsidR="00A16BAD" w:rsidRPr="006D0F6C">
        <w:rPr>
          <w:b/>
          <w:bCs/>
        </w:rPr>
        <w:t>doe</w:t>
      </w:r>
      <w:r w:rsidRPr="006D0F6C">
        <w:rPr>
          <w:b/>
          <w:bCs/>
        </w:rPr>
        <w:t xml:space="preserve">s the </w:t>
      </w:r>
      <w:r w:rsidR="00BB5E97" w:rsidRPr="006D0F6C">
        <w:rPr>
          <w:b/>
          <w:bCs/>
        </w:rPr>
        <w:t>term "worker voice"</w:t>
      </w:r>
      <w:r w:rsidRPr="006D0F6C">
        <w:rPr>
          <w:b/>
          <w:bCs/>
        </w:rPr>
        <w:t xml:space="preserve"> mean</w:t>
      </w:r>
      <w:r w:rsidR="00BB5E97" w:rsidRPr="006D0F6C">
        <w:rPr>
          <w:b/>
          <w:bCs/>
        </w:rPr>
        <w:t>?</w:t>
      </w:r>
    </w:p>
    <w:p w14:paraId="37EB9343" w14:textId="77777777" w:rsidR="00BB5E97" w:rsidRPr="001B66F0" w:rsidRDefault="00BB5E97" w:rsidP="00B811CA"/>
    <w:p w14:paraId="637D5092" w14:textId="186AE8FE" w:rsidR="00BB5E97" w:rsidRDefault="00472F6F" w:rsidP="006D0F6C">
      <w:pPr>
        <w:ind w:firstLine="360"/>
      </w:pPr>
      <w:r w:rsidRPr="001B66F0">
        <w:t>Workers or their representatives are involved in the full spectrum of partnership activities.</w:t>
      </w:r>
    </w:p>
    <w:p w14:paraId="5988EC12" w14:textId="77777777" w:rsidR="00BB5E97" w:rsidRDefault="00BB5E97" w:rsidP="00B811CA"/>
    <w:p w14:paraId="74D5521E" w14:textId="383F32C0" w:rsidR="00BB5E97" w:rsidRPr="006D0F6C" w:rsidRDefault="00BB5E97" w:rsidP="006D0F6C">
      <w:pPr>
        <w:pStyle w:val="ListParagraph"/>
        <w:numPr>
          <w:ilvl w:val="0"/>
          <w:numId w:val="25"/>
        </w:numPr>
        <w:rPr>
          <w:b/>
          <w:bCs/>
        </w:rPr>
      </w:pPr>
      <w:r w:rsidRPr="006D0F6C">
        <w:rPr>
          <w:b/>
          <w:bCs/>
        </w:rPr>
        <w:t xml:space="preserve">Can the grant </w:t>
      </w:r>
      <w:r w:rsidR="001B66F0" w:rsidRPr="006D0F6C">
        <w:rPr>
          <w:b/>
          <w:bCs/>
        </w:rPr>
        <w:t xml:space="preserve">funds </w:t>
      </w:r>
      <w:r w:rsidRPr="006D0F6C">
        <w:rPr>
          <w:b/>
          <w:bCs/>
        </w:rPr>
        <w:t>be used to support internships</w:t>
      </w:r>
      <w:r w:rsidR="001B66F0" w:rsidRPr="006D0F6C">
        <w:rPr>
          <w:b/>
          <w:bCs/>
        </w:rPr>
        <w:t xml:space="preserve"> that pay</w:t>
      </w:r>
      <w:r w:rsidRPr="006D0F6C">
        <w:rPr>
          <w:b/>
          <w:bCs/>
        </w:rPr>
        <w:t xml:space="preserve"> $18</w:t>
      </w:r>
      <w:r w:rsidR="001B66F0" w:rsidRPr="006D0F6C">
        <w:rPr>
          <w:b/>
          <w:bCs/>
        </w:rPr>
        <w:t xml:space="preserve"> an h</w:t>
      </w:r>
      <w:r w:rsidRPr="006D0F6C">
        <w:rPr>
          <w:b/>
          <w:bCs/>
        </w:rPr>
        <w:t>our?</w:t>
      </w:r>
    </w:p>
    <w:p w14:paraId="36BC3219" w14:textId="77777777" w:rsidR="00BB5E97" w:rsidRPr="001B66F0" w:rsidRDefault="00BB5E97" w:rsidP="00B811CA"/>
    <w:p w14:paraId="1F9727DB" w14:textId="3A7ABEF7" w:rsidR="00BB5E97" w:rsidRPr="001B66F0" w:rsidRDefault="00BB5E97" w:rsidP="006D0F6C">
      <w:pPr>
        <w:ind w:left="360"/>
      </w:pPr>
      <w:r w:rsidRPr="001B66F0">
        <w:t>Yes, internships and work experiences linked to careers are WIOA</w:t>
      </w:r>
      <w:r w:rsidR="00A16BAD">
        <w:t>-</w:t>
      </w:r>
      <w:r w:rsidRPr="001B66F0">
        <w:t>allowable activities.</w:t>
      </w:r>
      <w:r w:rsidR="006D0F6C">
        <w:t xml:space="preserve"> </w:t>
      </w:r>
      <w:r w:rsidRPr="001B66F0">
        <w:t>For additional information, see Appendix B of the SFP</w:t>
      </w:r>
      <w:r w:rsidR="001B66F0" w:rsidRPr="001B66F0">
        <w:t xml:space="preserve"> Allowable Activities</w:t>
      </w:r>
      <w:r w:rsidRPr="001B66F0">
        <w:t>.</w:t>
      </w:r>
    </w:p>
    <w:p w14:paraId="1A8013CE" w14:textId="77777777" w:rsidR="001B66F0" w:rsidRPr="009D28E2" w:rsidRDefault="001B66F0" w:rsidP="00B811CA">
      <w:pPr>
        <w:rPr>
          <w:highlight w:val="green"/>
        </w:rPr>
      </w:pPr>
    </w:p>
    <w:p w14:paraId="21919FA8" w14:textId="34EBDAF6" w:rsidR="00BB5E97" w:rsidRPr="00FC7D27" w:rsidRDefault="00BB5E97" w:rsidP="00FC7D27">
      <w:pPr>
        <w:pStyle w:val="ListParagraph"/>
        <w:numPr>
          <w:ilvl w:val="0"/>
          <w:numId w:val="25"/>
        </w:numPr>
        <w:rPr>
          <w:b/>
          <w:bCs/>
        </w:rPr>
      </w:pPr>
      <w:r w:rsidRPr="00FC7D27">
        <w:rPr>
          <w:b/>
          <w:bCs/>
        </w:rPr>
        <w:t>Could subgrantees enter info</w:t>
      </w:r>
      <w:r w:rsidR="00962ED4" w:rsidRPr="00FC7D27">
        <w:rPr>
          <w:b/>
          <w:bCs/>
        </w:rPr>
        <w:t>rmation</w:t>
      </w:r>
      <w:r w:rsidRPr="00FC7D27">
        <w:rPr>
          <w:b/>
          <w:bCs/>
        </w:rPr>
        <w:t xml:space="preserve"> into another system to capture data outside CalJ</w:t>
      </w:r>
      <w:r w:rsidR="001B66F0" w:rsidRPr="00FC7D27">
        <w:rPr>
          <w:b/>
          <w:bCs/>
        </w:rPr>
        <w:t>OB</w:t>
      </w:r>
      <w:r w:rsidR="00962ED4" w:rsidRPr="00FC7D27">
        <w:rPr>
          <w:b/>
          <w:bCs/>
        </w:rPr>
        <w:t>S</w:t>
      </w:r>
      <w:r w:rsidRPr="00FC7D27">
        <w:rPr>
          <w:b/>
          <w:bCs/>
        </w:rPr>
        <w:t>?</w:t>
      </w:r>
    </w:p>
    <w:p w14:paraId="6AA6C0BA" w14:textId="77777777" w:rsidR="00BB5E97" w:rsidRPr="001B66F0" w:rsidRDefault="00BB5E97" w:rsidP="00B811CA"/>
    <w:p w14:paraId="18B884A6" w14:textId="175403C3" w:rsidR="00962ED4" w:rsidRPr="00962ED4" w:rsidRDefault="00472F6F" w:rsidP="00FC7D27">
      <w:pPr>
        <w:ind w:left="360"/>
      </w:pPr>
      <w:r w:rsidRPr="001B66F0">
        <w:t>The program requires that all data associated with performance be tracked in CalJOBS.</w:t>
      </w:r>
      <w:r w:rsidR="00FC7D27">
        <w:t xml:space="preserve"> </w:t>
      </w:r>
      <w:r w:rsidR="00962ED4" w:rsidRPr="001B66F0">
        <w:t xml:space="preserve">For additional information, see </w:t>
      </w:r>
      <w:r w:rsidR="00962ED4">
        <w:t>Section VIII of the SFP, Administrative Requirements</w:t>
      </w:r>
      <w:r w:rsidR="00962ED4" w:rsidRPr="001B66F0">
        <w:t>.</w:t>
      </w:r>
    </w:p>
    <w:p w14:paraId="6072B1E4" w14:textId="77777777" w:rsidR="00A16BAD" w:rsidRPr="009D28E2" w:rsidRDefault="00A16BAD" w:rsidP="00B811CA">
      <w:pPr>
        <w:rPr>
          <w:highlight w:val="green"/>
        </w:rPr>
      </w:pPr>
    </w:p>
    <w:p w14:paraId="61388EF8" w14:textId="62C88334" w:rsidR="00BB5E97" w:rsidRPr="00FC7D27" w:rsidRDefault="00BB5E97" w:rsidP="00FC7D27">
      <w:pPr>
        <w:pStyle w:val="ListParagraph"/>
        <w:numPr>
          <w:ilvl w:val="0"/>
          <w:numId w:val="25"/>
        </w:numPr>
        <w:rPr>
          <w:b/>
          <w:bCs/>
        </w:rPr>
      </w:pPr>
      <w:r w:rsidRPr="00FC7D27">
        <w:rPr>
          <w:b/>
          <w:bCs/>
        </w:rPr>
        <w:t>Is this federal funding?</w:t>
      </w:r>
    </w:p>
    <w:p w14:paraId="51D1AE8A" w14:textId="77777777" w:rsidR="00BB5E97" w:rsidRDefault="00BB5E97" w:rsidP="00B811CA"/>
    <w:p w14:paraId="7421B3EE" w14:textId="77777777" w:rsidR="00BB5E97" w:rsidRDefault="00BB5E97" w:rsidP="00FC7D27">
      <w:pPr>
        <w:ind w:left="360"/>
      </w:pPr>
      <w:r>
        <w:t>Yes, this Opportunity Young Adult Career Pathway Program is funded by a grant award of $16 million (100%) from the U.S. Department of Labor, with $0 (0%) financed from non-federal sources.</w:t>
      </w:r>
    </w:p>
    <w:p w14:paraId="4C009C75" w14:textId="77777777" w:rsidR="00BB5E97" w:rsidRDefault="00BB5E97" w:rsidP="00B811CA"/>
    <w:p w14:paraId="4E7F1D07" w14:textId="23E110D7" w:rsidR="00BB5E97" w:rsidRPr="00FC7D27" w:rsidRDefault="00A16BAD" w:rsidP="00FC7D27">
      <w:pPr>
        <w:pStyle w:val="ListParagraph"/>
        <w:numPr>
          <w:ilvl w:val="0"/>
          <w:numId w:val="25"/>
        </w:numPr>
        <w:rPr>
          <w:b/>
          <w:bCs/>
        </w:rPr>
      </w:pPr>
      <w:r w:rsidRPr="00FC7D27">
        <w:rPr>
          <w:b/>
          <w:bCs/>
        </w:rPr>
        <w:t>Can applicants</w:t>
      </w:r>
      <w:r w:rsidR="00BB5E97" w:rsidRPr="00FC7D27">
        <w:rPr>
          <w:b/>
          <w:bCs/>
        </w:rPr>
        <w:t xml:space="preserve"> provide participants with tools such as laptops or computers for training/school?</w:t>
      </w:r>
    </w:p>
    <w:p w14:paraId="7D897E4A" w14:textId="77777777" w:rsidR="00BB5E97" w:rsidRPr="001B66F0" w:rsidRDefault="00BB5E97" w:rsidP="00B811CA"/>
    <w:p w14:paraId="142B3D0D" w14:textId="521A9BFB" w:rsidR="00BB5E97" w:rsidRDefault="00BB5E97" w:rsidP="00FC7D27">
      <w:pPr>
        <w:ind w:left="360"/>
      </w:pPr>
      <w:r w:rsidRPr="001B66F0">
        <w:t xml:space="preserve">Yes, </w:t>
      </w:r>
      <w:r w:rsidR="001B66F0" w:rsidRPr="001B66F0">
        <w:t>if</w:t>
      </w:r>
      <w:r w:rsidRPr="001B66F0">
        <w:t xml:space="preserve"> the costs for the tools meet the criteria for allowable costs under WIOA.</w:t>
      </w:r>
      <w:r w:rsidR="00FC7D27">
        <w:t xml:space="preserve"> </w:t>
      </w:r>
      <w:r w:rsidRPr="001B66F0">
        <w:t>For additional information on allowable costs, see Appendix C of the SFP</w:t>
      </w:r>
      <w:r w:rsidR="001B66F0">
        <w:t>.</w:t>
      </w:r>
    </w:p>
    <w:p w14:paraId="14B034B0" w14:textId="77777777" w:rsidR="00563980" w:rsidRDefault="00563980" w:rsidP="00B811CA"/>
    <w:p w14:paraId="739AEC60" w14:textId="77777777" w:rsidR="00FC7D27" w:rsidRDefault="00FC7D27">
      <w:pPr>
        <w:rPr>
          <w:b/>
          <w:bCs/>
        </w:rPr>
      </w:pPr>
      <w:r>
        <w:rPr>
          <w:b/>
          <w:bCs/>
        </w:rPr>
        <w:br w:type="page"/>
      </w:r>
    </w:p>
    <w:p w14:paraId="59D1E2FA" w14:textId="5BD41E4A" w:rsidR="00BB5E97" w:rsidRPr="00FC7D27" w:rsidRDefault="00BB5E97" w:rsidP="00FC7D27">
      <w:pPr>
        <w:pStyle w:val="ListParagraph"/>
        <w:numPr>
          <w:ilvl w:val="0"/>
          <w:numId w:val="25"/>
        </w:numPr>
        <w:rPr>
          <w:b/>
          <w:bCs/>
        </w:rPr>
      </w:pPr>
      <w:r w:rsidRPr="00FC7D27">
        <w:rPr>
          <w:b/>
          <w:bCs/>
        </w:rPr>
        <w:lastRenderedPageBreak/>
        <w:t>Please elaborate on "Explicitly emphasizing public sector career pathways</w:t>
      </w:r>
      <w:r w:rsidR="00A16BAD" w:rsidRPr="00FC7D27">
        <w:rPr>
          <w:b/>
          <w:bCs/>
        </w:rPr>
        <w:t>."</w:t>
      </w:r>
      <w:r w:rsidRPr="00FC7D27">
        <w:rPr>
          <w:b/>
          <w:bCs/>
        </w:rPr>
        <w:t xml:space="preserve"> Is that limited to the industries mentioned prior or any public sector career pathways within cities </w:t>
      </w:r>
      <w:r w:rsidR="00A16BAD" w:rsidRPr="00FC7D27">
        <w:rPr>
          <w:b/>
          <w:bCs/>
        </w:rPr>
        <w:t xml:space="preserve">and </w:t>
      </w:r>
      <w:r w:rsidRPr="00FC7D27">
        <w:rPr>
          <w:b/>
          <w:bCs/>
        </w:rPr>
        <w:t>counties</w:t>
      </w:r>
      <w:r w:rsidR="001A2C94" w:rsidRPr="00FC7D27">
        <w:rPr>
          <w:b/>
          <w:bCs/>
        </w:rPr>
        <w:t>?</w:t>
      </w:r>
    </w:p>
    <w:p w14:paraId="73E29D86" w14:textId="77777777" w:rsidR="00563980" w:rsidRPr="001A2C94" w:rsidRDefault="00563980" w:rsidP="00B811CA"/>
    <w:p w14:paraId="12E1D521" w14:textId="36F46194" w:rsidR="00BB5E97" w:rsidRDefault="001A2C94" w:rsidP="00FC7D27">
      <w:pPr>
        <w:ind w:firstLine="360"/>
      </w:pPr>
      <w:r w:rsidRPr="001A2C94">
        <w:t xml:space="preserve">Applicants can target all public sectors but should make a case for consideration of those sectors. </w:t>
      </w:r>
    </w:p>
    <w:p w14:paraId="51A1BA5D" w14:textId="77777777" w:rsidR="00563980" w:rsidRDefault="00563980" w:rsidP="00B811CA"/>
    <w:p w14:paraId="7CBA15BF" w14:textId="439B9643" w:rsidR="00BB5E97" w:rsidRPr="00FC7D27" w:rsidRDefault="00BB5E97" w:rsidP="00FC7D27">
      <w:pPr>
        <w:pStyle w:val="ListParagraph"/>
        <w:numPr>
          <w:ilvl w:val="0"/>
          <w:numId w:val="25"/>
        </w:numPr>
        <w:rPr>
          <w:b/>
          <w:bCs/>
        </w:rPr>
      </w:pPr>
      <w:r w:rsidRPr="00FC7D27">
        <w:rPr>
          <w:b/>
          <w:bCs/>
        </w:rPr>
        <w:t>Should information on the budget exhibits be provided in the project narrative</w:t>
      </w:r>
      <w:r w:rsidR="00A16BAD" w:rsidRPr="00FC7D27">
        <w:rPr>
          <w:b/>
          <w:bCs/>
        </w:rPr>
        <w:t>,</w:t>
      </w:r>
      <w:r w:rsidRPr="00FC7D27">
        <w:rPr>
          <w:b/>
          <w:bCs/>
        </w:rPr>
        <w:t xml:space="preserve"> or</w:t>
      </w:r>
      <w:r w:rsidR="00E0710D" w:rsidRPr="00FC7D27">
        <w:rPr>
          <w:b/>
          <w:bCs/>
        </w:rPr>
        <w:t xml:space="preserve"> can an applicant </w:t>
      </w:r>
      <w:r w:rsidR="00AB3612" w:rsidRPr="00FC7D27">
        <w:rPr>
          <w:b/>
          <w:bCs/>
        </w:rPr>
        <w:t>only r</w:t>
      </w:r>
      <w:r w:rsidRPr="00FC7D27">
        <w:rPr>
          <w:b/>
          <w:bCs/>
        </w:rPr>
        <w:t>eference those exhibits</w:t>
      </w:r>
      <w:r w:rsidR="00AB3612" w:rsidRPr="00FC7D27">
        <w:rPr>
          <w:b/>
          <w:bCs/>
        </w:rPr>
        <w:t xml:space="preserve"> in Section VI</w:t>
      </w:r>
      <w:r w:rsidRPr="00FC7D27">
        <w:rPr>
          <w:b/>
          <w:bCs/>
        </w:rPr>
        <w:t>?</w:t>
      </w:r>
    </w:p>
    <w:p w14:paraId="09E13A86" w14:textId="77777777" w:rsidR="00BB5E97" w:rsidRPr="00AB3612" w:rsidRDefault="00BB5E97" w:rsidP="00B811CA"/>
    <w:p w14:paraId="23C6FD08" w14:textId="14C7997C" w:rsidR="00BB5E97" w:rsidRDefault="00AB3612" w:rsidP="00FC7D27">
      <w:pPr>
        <w:ind w:left="360"/>
      </w:pPr>
      <w:r w:rsidRPr="00AB3612">
        <w:t>The applicant must complete all the budget document</w:t>
      </w:r>
      <w:r w:rsidR="00A16BAD">
        <w:t>s</w:t>
      </w:r>
      <w:r w:rsidRPr="00AB3612">
        <w:t xml:space="preserve"> outlined in the SFP and provide a detailed narrative in Section VI of Exhibit A.</w:t>
      </w:r>
      <w:r w:rsidR="00FC7D27">
        <w:t xml:space="preserve"> </w:t>
      </w:r>
      <w:r w:rsidRPr="00AB3612">
        <w:t xml:space="preserve">For additional information on </w:t>
      </w:r>
      <w:r w:rsidR="00A16BAD">
        <w:t>completing</w:t>
      </w:r>
      <w:r w:rsidRPr="00AB3612">
        <w:t xml:space="preserve"> the budget and project narrative documents, see Appendix A of the SFP, Proposal Package Instructions.</w:t>
      </w:r>
    </w:p>
    <w:p w14:paraId="1915F7E3" w14:textId="77777777" w:rsidR="00AB3612" w:rsidRDefault="00AB3612" w:rsidP="00B811CA">
      <w:pPr>
        <w:rPr>
          <w:highlight w:val="yellow"/>
        </w:rPr>
      </w:pPr>
    </w:p>
    <w:p w14:paraId="6FE734EC" w14:textId="65E340F3" w:rsidR="00BB5E97" w:rsidRPr="00FC7D27" w:rsidRDefault="00BB5E97" w:rsidP="00FC7D27">
      <w:pPr>
        <w:pStyle w:val="ListParagraph"/>
        <w:numPr>
          <w:ilvl w:val="0"/>
          <w:numId w:val="25"/>
        </w:numPr>
        <w:rPr>
          <w:b/>
          <w:bCs/>
        </w:rPr>
      </w:pPr>
      <w:r w:rsidRPr="00FC7D27">
        <w:rPr>
          <w:b/>
          <w:bCs/>
        </w:rPr>
        <w:t>Can the leveraged funding include WIOA Title I Youth Funds?</w:t>
      </w:r>
    </w:p>
    <w:p w14:paraId="13E631AE" w14:textId="77777777" w:rsidR="00BB5E97" w:rsidRPr="00AB3612" w:rsidRDefault="00BB5E97" w:rsidP="00B811CA"/>
    <w:p w14:paraId="010CA214" w14:textId="77777777" w:rsidR="00BB5E97" w:rsidRDefault="00BB5E97" w:rsidP="00FC7D27">
      <w:pPr>
        <w:ind w:left="360"/>
      </w:pPr>
      <w:r w:rsidRPr="00AB3612">
        <w:t>The leveraged funds may include other WIOA funds, provided this project's scope falls under the allowable activities of those funds.</w:t>
      </w:r>
    </w:p>
    <w:p w14:paraId="5CB27FC7" w14:textId="77777777" w:rsidR="00BB5E97" w:rsidRDefault="00BB5E97" w:rsidP="00B811CA"/>
    <w:p w14:paraId="40A8811D" w14:textId="22585956" w:rsidR="00BB5E97" w:rsidRPr="00E83938" w:rsidRDefault="00BB5E97" w:rsidP="00E83938">
      <w:pPr>
        <w:pStyle w:val="ListParagraph"/>
        <w:numPr>
          <w:ilvl w:val="0"/>
          <w:numId w:val="25"/>
        </w:numPr>
        <w:rPr>
          <w:b/>
          <w:bCs/>
        </w:rPr>
      </w:pPr>
      <w:r w:rsidRPr="00E83938">
        <w:rPr>
          <w:b/>
          <w:bCs/>
        </w:rPr>
        <w:t>Can less than $2,000,000 be requested?</w:t>
      </w:r>
    </w:p>
    <w:p w14:paraId="1B6E038A" w14:textId="77777777" w:rsidR="00BB5E97" w:rsidRPr="00AB3612" w:rsidRDefault="00BB5E97" w:rsidP="00B811CA"/>
    <w:p w14:paraId="69C32486" w14:textId="08FDC4A2" w:rsidR="00BB5E97" w:rsidRDefault="00BB5E97" w:rsidP="00E83938">
      <w:pPr>
        <w:ind w:left="360"/>
      </w:pPr>
      <w:r w:rsidRPr="00AB3612">
        <w:t>Applicants can apply for a minimum of $2 million and a maximum of $2.5 million. Any funds not expended during the grant agreement period shall be returned to the state. For additional information, see section V of the SFP, Funding Request.</w:t>
      </w:r>
      <w:r>
        <w:t xml:space="preserve"> </w:t>
      </w:r>
    </w:p>
    <w:p w14:paraId="7E5D086F" w14:textId="77777777" w:rsidR="00BB5E97" w:rsidRDefault="00BB5E97" w:rsidP="00B811CA"/>
    <w:p w14:paraId="52198FC5" w14:textId="33264747" w:rsidR="00BB5E97" w:rsidRPr="00E83938" w:rsidRDefault="00BB5E97" w:rsidP="00E83938">
      <w:pPr>
        <w:pStyle w:val="ListParagraph"/>
        <w:numPr>
          <w:ilvl w:val="0"/>
          <w:numId w:val="25"/>
        </w:numPr>
        <w:rPr>
          <w:b/>
          <w:bCs/>
        </w:rPr>
      </w:pPr>
      <w:r w:rsidRPr="00E83938">
        <w:rPr>
          <w:b/>
          <w:bCs/>
        </w:rPr>
        <w:t xml:space="preserve">Should the program costs be listed for a single </w:t>
      </w:r>
      <w:r w:rsidR="00AB3612" w:rsidRPr="00E83938">
        <w:rPr>
          <w:b/>
          <w:bCs/>
        </w:rPr>
        <w:t>year,</w:t>
      </w:r>
      <w:r w:rsidRPr="00E83938">
        <w:rPr>
          <w:b/>
          <w:bCs/>
        </w:rPr>
        <w:t xml:space="preserve"> or can applicants list anticipated spending over the </w:t>
      </w:r>
      <w:r w:rsidR="00AB3612" w:rsidRPr="00E83938">
        <w:rPr>
          <w:b/>
          <w:bCs/>
        </w:rPr>
        <w:t>18–24-month period of performance?</w:t>
      </w:r>
      <w:r w:rsidRPr="00E83938">
        <w:rPr>
          <w:b/>
          <w:bCs/>
        </w:rPr>
        <w:t xml:space="preserve"> </w:t>
      </w:r>
    </w:p>
    <w:p w14:paraId="39AD65BD" w14:textId="77777777" w:rsidR="00BB5E97" w:rsidRPr="00AB3612" w:rsidRDefault="00BB5E97" w:rsidP="00B811CA"/>
    <w:p w14:paraId="3B4FC052" w14:textId="67A2557F" w:rsidR="00BB5E97" w:rsidRDefault="00385CD7" w:rsidP="00E83938">
      <w:pPr>
        <w:ind w:firstLine="360"/>
      </w:pPr>
      <w:r w:rsidRPr="00AB3612">
        <w:t>All program costs and project goals should be listed for the entirety of the project.</w:t>
      </w:r>
      <w:r>
        <w:t xml:space="preserve"> </w:t>
      </w:r>
    </w:p>
    <w:p w14:paraId="779D3CE9" w14:textId="77777777" w:rsidR="00A16BAD" w:rsidRDefault="00A16BAD" w:rsidP="00B811CA"/>
    <w:p w14:paraId="7D91EBF1" w14:textId="5BBE4722" w:rsidR="00BB5E97" w:rsidRPr="00E83938" w:rsidRDefault="00BB5E97" w:rsidP="00E83938">
      <w:pPr>
        <w:pStyle w:val="ListParagraph"/>
        <w:numPr>
          <w:ilvl w:val="0"/>
          <w:numId w:val="25"/>
        </w:numPr>
        <w:rPr>
          <w:b/>
          <w:bCs/>
        </w:rPr>
      </w:pPr>
      <w:r w:rsidRPr="00E83938">
        <w:rPr>
          <w:b/>
          <w:bCs/>
        </w:rPr>
        <w:t>If applicants are applying as a non</w:t>
      </w:r>
      <w:r w:rsidR="00A16BAD" w:rsidRPr="00E83938">
        <w:rPr>
          <w:b/>
          <w:bCs/>
        </w:rPr>
        <w:t>-</w:t>
      </w:r>
      <w:r w:rsidRPr="00E83938">
        <w:rPr>
          <w:b/>
          <w:bCs/>
        </w:rPr>
        <w:t>profit, is there a need or want for collaboration with the local public employment agency or other local public agencies?</w:t>
      </w:r>
    </w:p>
    <w:p w14:paraId="62157ACE" w14:textId="77777777" w:rsidR="00BB5E97" w:rsidRDefault="00BB5E97" w:rsidP="00B811CA"/>
    <w:p w14:paraId="658758BC" w14:textId="283A1DE4" w:rsidR="00D56509" w:rsidRPr="00D56509" w:rsidRDefault="00D56509" w:rsidP="00E83938">
      <w:pPr>
        <w:ind w:left="360"/>
        <w:rPr>
          <w:b/>
          <w:bCs/>
        </w:rPr>
      </w:pPr>
      <w:r w:rsidRPr="00D56509">
        <w:rPr>
          <w:bCs/>
        </w:rPr>
        <w:t xml:space="preserve">Successful applicants are strongly encouraged to establish partnerships </w:t>
      </w:r>
      <w:r w:rsidR="006E49D7" w:rsidRPr="00D56509">
        <w:rPr>
          <w:bCs/>
        </w:rPr>
        <w:t>with organizations with a strong relationship</w:t>
      </w:r>
      <w:r>
        <w:rPr>
          <w:bCs/>
        </w:rPr>
        <w:t xml:space="preserve"> with the target population</w:t>
      </w:r>
      <w:r w:rsidR="00A16BAD">
        <w:rPr>
          <w:bCs/>
        </w:rPr>
        <w:t>,</w:t>
      </w:r>
      <w:r>
        <w:rPr>
          <w:bCs/>
        </w:rPr>
        <w:t xml:space="preserve"> including </w:t>
      </w:r>
      <w:r w:rsidR="00A16BAD">
        <w:rPr>
          <w:bCs/>
        </w:rPr>
        <w:t>but</w:t>
      </w:r>
      <w:r>
        <w:rPr>
          <w:bCs/>
        </w:rPr>
        <w:t xml:space="preserve"> not limited to partner</w:t>
      </w:r>
      <w:r w:rsidRPr="00D56509">
        <w:rPr>
          <w:bCs/>
        </w:rPr>
        <w:t xml:space="preserve">ships </w:t>
      </w:r>
      <w:r w:rsidR="006E49D7" w:rsidRPr="00D56509">
        <w:rPr>
          <w:bCs/>
        </w:rPr>
        <w:t xml:space="preserve">with </w:t>
      </w:r>
      <w:r w:rsidRPr="00D56509">
        <w:rPr>
          <w:bCs/>
        </w:rPr>
        <w:t>local public employment agenc</w:t>
      </w:r>
      <w:r w:rsidR="00A16BAD">
        <w:rPr>
          <w:bCs/>
        </w:rPr>
        <w:t>ies</w:t>
      </w:r>
      <w:r w:rsidRPr="00D56509">
        <w:rPr>
          <w:bCs/>
        </w:rPr>
        <w:t xml:space="preserve"> or any other local public agencies</w:t>
      </w:r>
      <w:r>
        <w:rPr>
          <w:bCs/>
        </w:rPr>
        <w:t>.</w:t>
      </w:r>
    </w:p>
    <w:p w14:paraId="6D150D38" w14:textId="146416DD" w:rsidR="00BB5E97" w:rsidRDefault="00BB5E97" w:rsidP="00B811CA"/>
    <w:p w14:paraId="2DE7F4AE" w14:textId="35AA93FF" w:rsidR="00BB5E97" w:rsidRPr="00E83938" w:rsidRDefault="00A16BAD" w:rsidP="00E83938">
      <w:pPr>
        <w:pStyle w:val="ListParagraph"/>
        <w:numPr>
          <w:ilvl w:val="0"/>
          <w:numId w:val="25"/>
        </w:numPr>
        <w:rPr>
          <w:b/>
          <w:bCs/>
        </w:rPr>
      </w:pPr>
      <w:r w:rsidRPr="00E83938">
        <w:rPr>
          <w:b/>
          <w:bCs/>
        </w:rPr>
        <w:t>Are applicants required to serve a specific number of young adults</w:t>
      </w:r>
      <w:r w:rsidR="00BB5E97" w:rsidRPr="00E83938">
        <w:rPr>
          <w:b/>
          <w:bCs/>
        </w:rPr>
        <w:t xml:space="preserve">? </w:t>
      </w:r>
    </w:p>
    <w:p w14:paraId="36A29120" w14:textId="77777777" w:rsidR="00BB5E97" w:rsidRPr="006E49D7" w:rsidRDefault="00BB5E97" w:rsidP="00B811CA"/>
    <w:p w14:paraId="288872F9" w14:textId="4F1A21CE" w:rsidR="00BB5E97" w:rsidRDefault="00BB5E97" w:rsidP="00E83938">
      <w:pPr>
        <w:ind w:left="360"/>
      </w:pPr>
      <w:r w:rsidRPr="006E49D7">
        <w:t>Applicants may serve any number of participants but must provide a rationale for the cost per participant. The funding cap of $15,000 per participant is highly encouraged</w:t>
      </w:r>
      <w:r w:rsidR="00A16BAD">
        <w:t>;</w:t>
      </w:r>
      <w:r w:rsidRPr="006E49D7">
        <w:t xml:space="preserve"> however</w:t>
      </w:r>
      <w:r w:rsidR="00A16BAD">
        <w:t>,</w:t>
      </w:r>
      <w:r w:rsidRPr="006E49D7">
        <w:t xml:space="preserve"> the average cost per participant may vary based on geographic location, target population, service type, and intensity.</w:t>
      </w:r>
      <w:r w:rsidR="00E83938">
        <w:t xml:space="preserve"> </w:t>
      </w:r>
      <w:r w:rsidRPr="006E49D7">
        <w:t>For additional information, see section V of the SFP, Funding Request.</w:t>
      </w:r>
      <w:r>
        <w:t xml:space="preserve"> </w:t>
      </w:r>
    </w:p>
    <w:p w14:paraId="15AF890F" w14:textId="77777777" w:rsidR="00BB5E97" w:rsidRDefault="00BB5E97" w:rsidP="00B811CA"/>
    <w:p w14:paraId="2CA7D1AA" w14:textId="77777777" w:rsidR="00E83938" w:rsidRDefault="00E83938">
      <w:pPr>
        <w:rPr>
          <w:b/>
          <w:bCs/>
        </w:rPr>
      </w:pPr>
      <w:r>
        <w:rPr>
          <w:b/>
          <w:bCs/>
        </w:rPr>
        <w:br w:type="page"/>
      </w:r>
    </w:p>
    <w:p w14:paraId="0A29CCAF" w14:textId="3D3B7297" w:rsidR="00BB5E97" w:rsidRPr="00E83938" w:rsidRDefault="00BB5E97" w:rsidP="00E83938">
      <w:pPr>
        <w:pStyle w:val="ListParagraph"/>
        <w:numPr>
          <w:ilvl w:val="0"/>
          <w:numId w:val="25"/>
        </w:numPr>
        <w:rPr>
          <w:b/>
          <w:bCs/>
        </w:rPr>
      </w:pPr>
      <w:r w:rsidRPr="00E83938">
        <w:rPr>
          <w:b/>
          <w:bCs/>
        </w:rPr>
        <w:lastRenderedPageBreak/>
        <w:t>If an applicant</w:t>
      </w:r>
      <w:r w:rsidR="00A16BAD" w:rsidRPr="00E83938">
        <w:rPr>
          <w:b/>
          <w:bCs/>
        </w:rPr>
        <w:t>'</w:t>
      </w:r>
      <w:r w:rsidRPr="00E83938">
        <w:rPr>
          <w:b/>
          <w:bCs/>
        </w:rPr>
        <w:t xml:space="preserve">s program has students from other counties or </w:t>
      </w:r>
      <w:r w:rsidR="00A16BAD" w:rsidRPr="00E83938">
        <w:rPr>
          <w:b/>
          <w:bCs/>
        </w:rPr>
        <w:t>out of state, can they</w:t>
      </w:r>
      <w:r w:rsidRPr="00E83938">
        <w:rPr>
          <w:b/>
          <w:bCs/>
        </w:rPr>
        <w:t xml:space="preserve"> use state funds for those students?</w:t>
      </w:r>
    </w:p>
    <w:p w14:paraId="009E0CF3" w14:textId="77777777" w:rsidR="00BB5E97" w:rsidRPr="00BB1B37" w:rsidRDefault="00BB5E97" w:rsidP="00B811CA"/>
    <w:p w14:paraId="4A6382AB" w14:textId="5337FDBB" w:rsidR="00BB5E97" w:rsidRPr="00BB1B37" w:rsidRDefault="00A16BAD" w:rsidP="00E83938">
      <w:pPr>
        <w:ind w:left="360"/>
      </w:pPr>
      <w:r>
        <w:t>The p</w:t>
      </w:r>
      <w:r w:rsidR="00BB1B37" w:rsidRPr="00BB1B37">
        <w:t xml:space="preserve">rogram must serve participants in California and </w:t>
      </w:r>
      <w:r w:rsidR="003579E4" w:rsidRPr="00BB1B37">
        <w:t xml:space="preserve">meet the </w:t>
      </w:r>
      <w:r w:rsidR="00BB1B37" w:rsidRPr="00BB1B37">
        <w:t xml:space="preserve">WIOA Title I </w:t>
      </w:r>
      <w:r w:rsidR="003579E4" w:rsidRPr="00BB1B37">
        <w:t>program eligibility requirements</w:t>
      </w:r>
      <w:r w:rsidR="00BB1B37" w:rsidRPr="00BB1B37">
        <w:t xml:space="preserve"> </w:t>
      </w:r>
      <w:r w:rsidR="003579E4" w:rsidRPr="00BB1B37">
        <w:t xml:space="preserve">to be enrolled in this program. </w:t>
      </w:r>
    </w:p>
    <w:p w14:paraId="6698C365" w14:textId="77777777" w:rsidR="00BB5E97" w:rsidRPr="00BB1B37" w:rsidRDefault="00BB5E97" w:rsidP="00B811CA"/>
    <w:p w14:paraId="0D8CE6DE" w14:textId="2E13F24B" w:rsidR="00BB5E97" w:rsidRPr="00E83938" w:rsidRDefault="00BB5E97" w:rsidP="00E83938">
      <w:pPr>
        <w:pStyle w:val="ListParagraph"/>
        <w:numPr>
          <w:ilvl w:val="0"/>
          <w:numId w:val="25"/>
        </w:numPr>
        <w:rPr>
          <w:b/>
          <w:bCs/>
        </w:rPr>
      </w:pPr>
      <w:r w:rsidRPr="00E83938">
        <w:rPr>
          <w:b/>
          <w:bCs/>
        </w:rPr>
        <w:t>What is the definition of "infrastructure" as an employment sector?</w:t>
      </w:r>
    </w:p>
    <w:p w14:paraId="718178B6" w14:textId="77777777" w:rsidR="00BB5E97" w:rsidRPr="007C1D7C" w:rsidRDefault="00BB5E97" w:rsidP="00B811CA">
      <w:pPr>
        <w:rPr>
          <w:highlight w:val="yellow"/>
        </w:rPr>
      </w:pPr>
    </w:p>
    <w:p w14:paraId="0F00C273" w14:textId="1069CAC4" w:rsidR="00BB5E97" w:rsidRDefault="00BB1B37" w:rsidP="00E83938">
      <w:pPr>
        <w:ind w:left="360"/>
      </w:pPr>
      <w:r>
        <w:t>I</w:t>
      </w:r>
      <w:r w:rsidRPr="00BB1B37">
        <w:t xml:space="preserve">nfrastructure is defined as the basic physical systems of a business, region, or nation and often involves the production of public goods or production processes. </w:t>
      </w:r>
      <w:r w:rsidR="00A16BAD">
        <w:t>Infrastructure includes</w:t>
      </w:r>
      <w:r w:rsidRPr="00BB1B37">
        <w:t xml:space="preserve"> transportation, communication networks, sewage, water, and school systems.</w:t>
      </w:r>
    </w:p>
    <w:p w14:paraId="2B3071A6" w14:textId="77777777" w:rsidR="00BB5E97" w:rsidRDefault="00BB5E97" w:rsidP="00B811CA"/>
    <w:p w14:paraId="7C84A5CC" w14:textId="740D823A" w:rsidR="00BB5E97" w:rsidRPr="00E83938" w:rsidRDefault="00BB5E97" w:rsidP="00E83938">
      <w:pPr>
        <w:pStyle w:val="ListParagraph"/>
        <w:numPr>
          <w:ilvl w:val="0"/>
          <w:numId w:val="25"/>
        </w:numPr>
        <w:rPr>
          <w:b/>
          <w:bCs/>
        </w:rPr>
      </w:pPr>
      <w:r w:rsidRPr="00E83938">
        <w:rPr>
          <w:b/>
          <w:bCs/>
        </w:rPr>
        <w:t xml:space="preserve">If </w:t>
      </w:r>
      <w:r w:rsidR="00BB1B37" w:rsidRPr="00E83938">
        <w:rPr>
          <w:b/>
          <w:bCs/>
        </w:rPr>
        <w:t>an applicant</w:t>
      </w:r>
      <w:r w:rsidR="00A16BAD" w:rsidRPr="00E83938">
        <w:rPr>
          <w:b/>
          <w:bCs/>
        </w:rPr>
        <w:t>'</w:t>
      </w:r>
      <w:r w:rsidR="00BB1B37" w:rsidRPr="00E83938">
        <w:rPr>
          <w:b/>
          <w:bCs/>
        </w:rPr>
        <w:t>s organization i</w:t>
      </w:r>
      <w:r w:rsidR="00A16BAD" w:rsidRPr="00E83938">
        <w:rPr>
          <w:b/>
          <w:bCs/>
        </w:rPr>
        <w:t>s</w:t>
      </w:r>
      <w:r w:rsidR="00BB1B37" w:rsidRPr="00E83938">
        <w:rPr>
          <w:b/>
          <w:bCs/>
        </w:rPr>
        <w:t xml:space="preserve"> not l</w:t>
      </w:r>
      <w:r w:rsidRPr="00E83938">
        <w:rPr>
          <w:b/>
          <w:bCs/>
        </w:rPr>
        <w:t xml:space="preserve">isted as a </w:t>
      </w:r>
      <w:r w:rsidR="00BB1B37" w:rsidRPr="00E83938">
        <w:rPr>
          <w:b/>
          <w:bCs/>
        </w:rPr>
        <w:t>t</w:t>
      </w:r>
      <w:r w:rsidRPr="00E83938">
        <w:rPr>
          <w:b/>
          <w:bCs/>
        </w:rPr>
        <w:t xml:space="preserve">arget </w:t>
      </w:r>
      <w:r w:rsidR="00BB1B37" w:rsidRPr="00E83938">
        <w:rPr>
          <w:b/>
          <w:bCs/>
        </w:rPr>
        <w:t>r</w:t>
      </w:r>
      <w:r w:rsidRPr="00E83938">
        <w:rPr>
          <w:b/>
          <w:bCs/>
        </w:rPr>
        <w:t xml:space="preserve">egion, </w:t>
      </w:r>
      <w:r w:rsidR="00BB1B37" w:rsidRPr="00E83938">
        <w:rPr>
          <w:b/>
          <w:bCs/>
        </w:rPr>
        <w:t>can they apply for the grant?</w:t>
      </w:r>
      <w:r w:rsidRPr="00E83938">
        <w:rPr>
          <w:b/>
          <w:bCs/>
        </w:rPr>
        <w:t xml:space="preserve"> </w:t>
      </w:r>
    </w:p>
    <w:p w14:paraId="07D981AB" w14:textId="77777777" w:rsidR="00BB5E97" w:rsidRPr="006E49D7" w:rsidRDefault="00BB5E97" w:rsidP="00B811CA"/>
    <w:p w14:paraId="24347CF7" w14:textId="1E2603EE" w:rsidR="00BB5E97" w:rsidRDefault="00BB5E97" w:rsidP="00E83938">
      <w:pPr>
        <w:ind w:left="360"/>
      </w:pPr>
      <w:r w:rsidRPr="006E49D7">
        <w:t>There are suggested target regions</w:t>
      </w:r>
      <w:r w:rsidR="00A16BAD">
        <w:t>;</w:t>
      </w:r>
      <w:r w:rsidRPr="006E49D7">
        <w:t xml:space="preserve"> however</w:t>
      </w:r>
      <w:r w:rsidR="00A16BAD">
        <w:t>,</w:t>
      </w:r>
      <w:r w:rsidRPr="006E49D7">
        <w:t xml:space="preserve"> OYA Career Pathway Programs should focus on services in counties and California where significantly large or concentrated amounts of OYA with employment barriers reside. Applicants should identify the target region(s) and make a case that there is a concentrated population of the targeted demographic in the target region(s).</w:t>
      </w:r>
      <w:r w:rsidR="00E83938">
        <w:t xml:space="preserve"> </w:t>
      </w:r>
      <w:r w:rsidRPr="006E49D7">
        <w:t xml:space="preserve">For additional information, see </w:t>
      </w:r>
      <w:r w:rsidR="00BB1B37">
        <w:t>S</w:t>
      </w:r>
      <w:r w:rsidRPr="006E49D7">
        <w:t>ection II of the SFP, Target Regions.</w:t>
      </w:r>
    </w:p>
    <w:p w14:paraId="0CAAD199" w14:textId="77777777" w:rsidR="00BB5E97" w:rsidRDefault="00BB5E97" w:rsidP="00B811CA"/>
    <w:p w14:paraId="08813C17" w14:textId="679FC861" w:rsidR="00651538" w:rsidRPr="00E83938" w:rsidRDefault="00BB1B37" w:rsidP="00E83938">
      <w:pPr>
        <w:pStyle w:val="ListParagraph"/>
        <w:numPr>
          <w:ilvl w:val="0"/>
          <w:numId w:val="25"/>
        </w:numPr>
        <w:rPr>
          <w:b/>
          <w:bCs/>
          <w14:ligatures w14:val="standardContextual"/>
        </w:rPr>
      </w:pPr>
      <w:r w:rsidRPr="00E83938">
        <w:rPr>
          <w:b/>
          <w:bCs/>
          <w14:ligatures w14:val="standardContextual"/>
        </w:rPr>
        <w:t xml:space="preserve">Can you provide some clarification on mandatory partnerships? For </w:t>
      </w:r>
      <w:r w:rsidR="00A16BAD" w:rsidRPr="00E83938">
        <w:rPr>
          <w:b/>
          <w:bCs/>
          <w14:ligatures w14:val="standardContextual"/>
        </w:rPr>
        <w:t>example,</w:t>
      </w:r>
      <w:r w:rsidRPr="00E83938">
        <w:rPr>
          <w:b/>
          <w:bCs/>
          <w14:ligatures w14:val="standardContextual"/>
        </w:rPr>
        <w:t xml:space="preserve"> would a </w:t>
      </w:r>
      <w:r w:rsidR="00651538" w:rsidRPr="00E83938">
        <w:rPr>
          <w:b/>
          <w:bCs/>
          <w14:ligatures w14:val="standardContextual"/>
        </w:rPr>
        <w:t>non</w:t>
      </w:r>
      <w:r w:rsidR="00A16BAD" w:rsidRPr="00E83938">
        <w:rPr>
          <w:b/>
          <w:bCs/>
          <w14:ligatures w14:val="standardContextual"/>
        </w:rPr>
        <w:t>-</w:t>
      </w:r>
      <w:r w:rsidR="00651538" w:rsidRPr="00E83938">
        <w:rPr>
          <w:b/>
          <w:bCs/>
          <w14:ligatures w14:val="standardContextual"/>
        </w:rPr>
        <w:t>profit organization</w:t>
      </w:r>
      <w:r w:rsidRPr="00E83938">
        <w:rPr>
          <w:b/>
          <w:bCs/>
          <w14:ligatures w14:val="standardContextual"/>
        </w:rPr>
        <w:t xml:space="preserve"> </w:t>
      </w:r>
      <w:r w:rsidR="00651538" w:rsidRPr="00E83938">
        <w:rPr>
          <w:b/>
          <w:bCs/>
          <w14:ligatures w14:val="standardContextual"/>
        </w:rPr>
        <w:t>be required to partner with our local workforce development board?</w:t>
      </w:r>
    </w:p>
    <w:p w14:paraId="652D4497" w14:textId="77777777" w:rsidR="00F87D71" w:rsidRDefault="00F87D71" w:rsidP="00B811CA"/>
    <w:p w14:paraId="5DD32425" w14:textId="2FA86C95" w:rsidR="004A492D" w:rsidRPr="00E83938" w:rsidRDefault="00BB1B37" w:rsidP="00E83938">
      <w:pPr>
        <w:ind w:left="360"/>
      </w:pPr>
      <w:r>
        <w:t>This funding does not require mandatory partnership</w:t>
      </w:r>
      <w:r w:rsidR="00A16BAD">
        <w:t>;</w:t>
      </w:r>
      <w:r>
        <w:t xml:space="preserve"> s</w:t>
      </w:r>
      <w:r w:rsidR="006E49D7">
        <w:t>uccessful applicants are strongly encouraged to establish partnerships</w:t>
      </w:r>
      <w:r>
        <w:t>.</w:t>
      </w:r>
      <w:r w:rsidR="00E83938">
        <w:t xml:space="preserve"> </w:t>
      </w:r>
      <w:r>
        <w:t xml:space="preserve">For additional information on a list of </w:t>
      </w:r>
      <w:r w:rsidR="006E49D7">
        <w:t>collaborative partnerships</w:t>
      </w:r>
      <w:r>
        <w:t xml:space="preserve">, see Section III, </w:t>
      </w:r>
      <w:r w:rsidR="006E49D7">
        <w:t>Collaboration and Strategic Partnerships.</w:t>
      </w:r>
    </w:p>
    <w:p w14:paraId="38E429ED" w14:textId="77777777" w:rsidR="00D001C9" w:rsidRPr="00152BBA" w:rsidRDefault="00D001C9" w:rsidP="00B811CA"/>
    <w:sectPr w:rsidR="00D001C9" w:rsidRPr="00152BBA" w:rsidSect="00B811CA">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88E8" w14:textId="77777777" w:rsidR="00A113A8" w:rsidRDefault="00A113A8" w:rsidP="00C4619D">
      <w:r>
        <w:separator/>
      </w:r>
    </w:p>
  </w:endnote>
  <w:endnote w:type="continuationSeparator" w:id="0">
    <w:p w14:paraId="0B4E3313" w14:textId="77777777" w:rsidR="00A113A8" w:rsidRDefault="00A113A8" w:rsidP="00C4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1535" w14:textId="6C26557C" w:rsidR="006B0413" w:rsidRPr="00A20493" w:rsidRDefault="009D03C1" w:rsidP="006B0413">
    <w:pPr>
      <w:pStyle w:val="Footer"/>
      <w:rPr>
        <w:szCs w:val="24"/>
      </w:rPr>
    </w:pPr>
    <w:sdt>
      <w:sdtPr>
        <w:id w:val="2060745792"/>
        <w:docPartObj>
          <w:docPartGallery w:val="Page Numbers (Top of Page)"/>
          <w:docPartUnique/>
        </w:docPartObj>
      </w:sdtPr>
      <w:sdtEndPr>
        <w:rPr>
          <w:szCs w:val="24"/>
        </w:rPr>
      </w:sdtEndPr>
      <w:sdtContent>
        <w:r w:rsidR="003D51CA">
          <w:t>OYACPP</w:t>
        </w:r>
        <w:r w:rsidR="006B0413">
          <w:t xml:space="preserve"> </w:t>
        </w:r>
        <w:r w:rsidR="006B0413">
          <w:rPr>
            <w:szCs w:val="24"/>
          </w:rPr>
          <w:t>SFP PY 23</w:t>
        </w:r>
        <w:r w:rsidR="006B0413" w:rsidRPr="00A20493">
          <w:rPr>
            <w:szCs w:val="24"/>
          </w:rPr>
          <w:t>-</w:t>
        </w:r>
        <w:r w:rsidR="006B0413">
          <w:rPr>
            <w:szCs w:val="24"/>
          </w:rPr>
          <w:t>24</w:t>
        </w:r>
        <w:r w:rsidR="006B0413" w:rsidRPr="00A20493">
          <w:rPr>
            <w:szCs w:val="24"/>
          </w:rPr>
          <w:tab/>
          <w:t xml:space="preserve">Page </w:t>
        </w:r>
        <w:r w:rsidR="006B0413" w:rsidRPr="00A20493">
          <w:rPr>
            <w:bCs/>
            <w:szCs w:val="24"/>
          </w:rPr>
          <w:fldChar w:fldCharType="begin"/>
        </w:r>
        <w:r w:rsidR="006B0413" w:rsidRPr="00A20493">
          <w:rPr>
            <w:bCs/>
            <w:szCs w:val="24"/>
          </w:rPr>
          <w:instrText xml:space="preserve"> PAGE </w:instrText>
        </w:r>
        <w:r w:rsidR="006B0413" w:rsidRPr="00A20493">
          <w:rPr>
            <w:bCs/>
            <w:szCs w:val="24"/>
          </w:rPr>
          <w:fldChar w:fldCharType="separate"/>
        </w:r>
        <w:r w:rsidR="006B0413">
          <w:rPr>
            <w:bCs/>
            <w:szCs w:val="24"/>
          </w:rPr>
          <w:t>1</w:t>
        </w:r>
        <w:r w:rsidR="006B0413" w:rsidRPr="00A20493">
          <w:rPr>
            <w:bCs/>
            <w:szCs w:val="24"/>
          </w:rPr>
          <w:fldChar w:fldCharType="end"/>
        </w:r>
        <w:r w:rsidR="006B0413" w:rsidRPr="00A20493">
          <w:rPr>
            <w:szCs w:val="24"/>
          </w:rPr>
          <w:t xml:space="preserve"> of </w:t>
        </w:r>
        <w:r w:rsidR="006B0413" w:rsidRPr="00A20493">
          <w:rPr>
            <w:bCs/>
            <w:szCs w:val="24"/>
          </w:rPr>
          <w:fldChar w:fldCharType="begin"/>
        </w:r>
        <w:r w:rsidR="006B0413" w:rsidRPr="00A20493">
          <w:rPr>
            <w:bCs/>
            <w:szCs w:val="24"/>
          </w:rPr>
          <w:instrText xml:space="preserve"> NUMPAGES  </w:instrText>
        </w:r>
        <w:r w:rsidR="006B0413" w:rsidRPr="00A20493">
          <w:rPr>
            <w:bCs/>
            <w:szCs w:val="24"/>
          </w:rPr>
          <w:fldChar w:fldCharType="separate"/>
        </w:r>
        <w:r w:rsidR="006B0413">
          <w:rPr>
            <w:bCs/>
            <w:szCs w:val="24"/>
          </w:rPr>
          <w:t>6</w:t>
        </w:r>
        <w:r w:rsidR="006B0413" w:rsidRPr="00A20493">
          <w:rPr>
            <w:bCs/>
            <w:szCs w:val="24"/>
          </w:rPr>
          <w:fldChar w:fldCharType="end"/>
        </w:r>
        <w:r w:rsidR="006B0413" w:rsidRPr="00A20493">
          <w:rPr>
            <w:bCs/>
            <w:szCs w:val="24"/>
          </w:rPr>
          <w:t xml:space="preserve"> </w:t>
        </w:r>
        <w:r w:rsidR="006B0413">
          <w:rPr>
            <w:bCs/>
            <w:szCs w:val="24"/>
          </w:rPr>
          <w:tab/>
        </w:r>
        <w:r w:rsidR="003D51CA">
          <w:rPr>
            <w:bCs/>
            <w:szCs w:val="24"/>
          </w:rPr>
          <w:t>January</w:t>
        </w:r>
        <w:r w:rsidR="006B0413">
          <w:rPr>
            <w:bCs/>
            <w:szCs w:val="24"/>
          </w:rPr>
          <w:t xml:space="preserve"> 202</w:t>
        </w:r>
        <w:r w:rsidR="003D51CA">
          <w:rPr>
            <w:bCs/>
            <w:szCs w:val="24"/>
          </w:rPr>
          <w:t>4</w:t>
        </w:r>
      </w:sdtContent>
    </w:sdt>
  </w:p>
  <w:p w14:paraId="2383EB9F" w14:textId="77777777" w:rsidR="006B0413" w:rsidRDefault="006B0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349" w14:textId="57707E8C" w:rsidR="00A20493" w:rsidRPr="00A20493" w:rsidRDefault="009D03C1" w:rsidP="00A20493">
    <w:pPr>
      <w:pStyle w:val="Footer"/>
      <w:rPr>
        <w:szCs w:val="24"/>
      </w:rPr>
    </w:pPr>
    <w:sdt>
      <w:sdtPr>
        <w:id w:val="1728636285"/>
        <w:docPartObj>
          <w:docPartGallery w:val="Page Numbers (Top of Page)"/>
          <w:docPartUnique/>
        </w:docPartObj>
      </w:sdtPr>
      <w:sdtEndPr>
        <w:rPr>
          <w:szCs w:val="24"/>
        </w:rPr>
      </w:sdtEndPr>
      <w:sdtContent>
        <w:r w:rsidR="003D51CA">
          <w:t>OYACPP</w:t>
        </w:r>
        <w:r w:rsidR="00AD26CE">
          <w:t xml:space="preserve"> </w:t>
        </w:r>
        <w:r w:rsidR="00981B51">
          <w:rPr>
            <w:szCs w:val="24"/>
          </w:rPr>
          <w:t xml:space="preserve">SFP PY </w:t>
        </w:r>
        <w:r w:rsidR="006D0069">
          <w:rPr>
            <w:szCs w:val="24"/>
          </w:rPr>
          <w:t>2</w:t>
        </w:r>
        <w:r w:rsidR="00AD26CE">
          <w:rPr>
            <w:szCs w:val="24"/>
          </w:rPr>
          <w:t>3</w:t>
        </w:r>
        <w:r w:rsidR="00A20493" w:rsidRPr="00A20493">
          <w:rPr>
            <w:szCs w:val="24"/>
          </w:rPr>
          <w:t>-</w:t>
        </w:r>
        <w:r w:rsidR="006D0069">
          <w:rPr>
            <w:szCs w:val="24"/>
          </w:rPr>
          <w:t>2</w:t>
        </w:r>
        <w:r w:rsidR="00AD26CE">
          <w:rPr>
            <w:szCs w:val="24"/>
          </w:rPr>
          <w:t>4</w:t>
        </w:r>
        <w:r w:rsidR="00A20493" w:rsidRPr="00A20493">
          <w:rPr>
            <w:szCs w:val="24"/>
          </w:rPr>
          <w:tab/>
          <w:t xml:space="preserve">Page </w:t>
        </w:r>
        <w:r w:rsidR="00A20493" w:rsidRPr="00A20493">
          <w:rPr>
            <w:bCs/>
            <w:szCs w:val="24"/>
          </w:rPr>
          <w:fldChar w:fldCharType="begin"/>
        </w:r>
        <w:r w:rsidR="00A20493" w:rsidRPr="00A20493">
          <w:rPr>
            <w:bCs/>
            <w:szCs w:val="24"/>
          </w:rPr>
          <w:instrText xml:space="preserve"> PAGE </w:instrText>
        </w:r>
        <w:r w:rsidR="00A20493" w:rsidRPr="00A20493">
          <w:rPr>
            <w:bCs/>
            <w:szCs w:val="24"/>
          </w:rPr>
          <w:fldChar w:fldCharType="separate"/>
        </w:r>
        <w:r w:rsidR="007A2BFD">
          <w:rPr>
            <w:bCs/>
            <w:noProof/>
            <w:szCs w:val="24"/>
          </w:rPr>
          <w:t>1</w:t>
        </w:r>
        <w:r w:rsidR="00A20493" w:rsidRPr="00A20493">
          <w:rPr>
            <w:bCs/>
            <w:szCs w:val="24"/>
          </w:rPr>
          <w:fldChar w:fldCharType="end"/>
        </w:r>
        <w:r w:rsidR="00A20493" w:rsidRPr="00A20493">
          <w:rPr>
            <w:szCs w:val="24"/>
          </w:rPr>
          <w:t xml:space="preserve"> of </w:t>
        </w:r>
        <w:r w:rsidR="00A20493" w:rsidRPr="00A20493">
          <w:rPr>
            <w:bCs/>
            <w:szCs w:val="24"/>
          </w:rPr>
          <w:fldChar w:fldCharType="begin"/>
        </w:r>
        <w:r w:rsidR="00A20493" w:rsidRPr="00A20493">
          <w:rPr>
            <w:bCs/>
            <w:szCs w:val="24"/>
          </w:rPr>
          <w:instrText xml:space="preserve"> NUMPAGES  </w:instrText>
        </w:r>
        <w:r w:rsidR="00A20493" w:rsidRPr="00A20493">
          <w:rPr>
            <w:bCs/>
            <w:szCs w:val="24"/>
          </w:rPr>
          <w:fldChar w:fldCharType="separate"/>
        </w:r>
        <w:r w:rsidR="007A2BFD">
          <w:rPr>
            <w:bCs/>
            <w:noProof/>
            <w:szCs w:val="24"/>
          </w:rPr>
          <w:t>1</w:t>
        </w:r>
        <w:r w:rsidR="00A20493" w:rsidRPr="00A20493">
          <w:rPr>
            <w:bCs/>
            <w:szCs w:val="24"/>
          </w:rPr>
          <w:fldChar w:fldCharType="end"/>
        </w:r>
        <w:r w:rsidR="00A20493" w:rsidRPr="00A20493">
          <w:rPr>
            <w:bCs/>
            <w:szCs w:val="24"/>
          </w:rPr>
          <w:t xml:space="preserve"> </w:t>
        </w:r>
        <w:r w:rsidR="00A20493">
          <w:rPr>
            <w:bCs/>
            <w:szCs w:val="24"/>
          </w:rPr>
          <w:tab/>
        </w:r>
        <w:r w:rsidR="00F06AFC">
          <w:rPr>
            <w:bCs/>
            <w:szCs w:val="24"/>
          </w:rPr>
          <w:t>January</w:t>
        </w:r>
        <w:r w:rsidR="003D51CA">
          <w:rPr>
            <w:bCs/>
            <w:szCs w:val="24"/>
          </w:rPr>
          <w:t xml:space="preserve"> 202</w:t>
        </w:r>
        <w:r w:rsidR="00F06AFC">
          <w:rPr>
            <w:bCs/>
            <w:szCs w:val="24"/>
          </w:rPr>
          <w:t>4</w:t>
        </w:r>
      </w:sdtContent>
    </w:sdt>
  </w:p>
  <w:p w14:paraId="34BD934A" w14:textId="77777777" w:rsidR="00A20493" w:rsidRDefault="00A20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35DC" w14:textId="77777777" w:rsidR="00A113A8" w:rsidRDefault="00A113A8" w:rsidP="00C4619D">
      <w:r>
        <w:separator/>
      </w:r>
    </w:p>
  </w:footnote>
  <w:footnote w:type="continuationSeparator" w:id="0">
    <w:p w14:paraId="618EEFBA" w14:textId="77777777" w:rsidR="00A113A8" w:rsidRDefault="00A113A8" w:rsidP="00C4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85"/>
      <w:gridCol w:w="7429"/>
    </w:tblGrid>
    <w:tr w:rsidR="00A20493" w14:paraId="34BD9347" w14:textId="77777777" w:rsidTr="00F17FCC">
      <w:tc>
        <w:tcPr>
          <w:tcW w:w="2785" w:type="dxa"/>
        </w:tcPr>
        <w:p w14:paraId="34BD9343" w14:textId="3291ABD4" w:rsidR="00A20493" w:rsidRDefault="00A20493" w:rsidP="00A20493">
          <w:pPr>
            <w:pStyle w:val="Header"/>
          </w:pPr>
        </w:p>
      </w:tc>
      <w:tc>
        <w:tcPr>
          <w:tcW w:w="7429" w:type="dxa"/>
        </w:tcPr>
        <w:p w14:paraId="34BD9346" w14:textId="0F686259" w:rsidR="00A20493" w:rsidRPr="00111854" w:rsidRDefault="00A20493" w:rsidP="00A20493">
          <w:pPr>
            <w:pStyle w:val="Header"/>
            <w:rPr>
              <w:rFonts w:cstheme="minorHAnsi"/>
              <w:b/>
              <w:color w:val="1F4E79" w:themeColor="accent1" w:themeShade="80"/>
              <w:sz w:val="28"/>
              <w:szCs w:val="28"/>
            </w:rPr>
          </w:pPr>
        </w:p>
      </w:tc>
    </w:tr>
  </w:tbl>
  <w:p w14:paraId="34BD9348" w14:textId="77777777" w:rsidR="00A20493" w:rsidRPr="00A20493" w:rsidRDefault="00A20493" w:rsidP="00B811C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5808"/>
    <w:multiLevelType w:val="multilevel"/>
    <w:tmpl w:val="EF846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E74CA"/>
    <w:multiLevelType w:val="hybridMultilevel"/>
    <w:tmpl w:val="6DFE2A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B135B38"/>
    <w:multiLevelType w:val="hybridMultilevel"/>
    <w:tmpl w:val="F0709824"/>
    <w:lvl w:ilvl="0" w:tplc="0409000F">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07D15"/>
    <w:multiLevelType w:val="hybridMultilevel"/>
    <w:tmpl w:val="4176A4CC"/>
    <w:lvl w:ilvl="0" w:tplc="0409000F">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86934"/>
    <w:multiLevelType w:val="hybridMultilevel"/>
    <w:tmpl w:val="6A107F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F63BEE"/>
    <w:multiLevelType w:val="hybridMultilevel"/>
    <w:tmpl w:val="A5EE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C39FA"/>
    <w:multiLevelType w:val="hybridMultilevel"/>
    <w:tmpl w:val="CA804890"/>
    <w:lvl w:ilvl="0" w:tplc="0409000F">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339BE"/>
    <w:multiLevelType w:val="hybridMultilevel"/>
    <w:tmpl w:val="B8A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41BBC"/>
    <w:multiLevelType w:val="hybridMultilevel"/>
    <w:tmpl w:val="423C5E54"/>
    <w:lvl w:ilvl="0" w:tplc="0409000F">
      <w:start w:val="8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D2CDA"/>
    <w:multiLevelType w:val="hybridMultilevel"/>
    <w:tmpl w:val="ACAA76A6"/>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B2B0203"/>
    <w:multiLevelType w:val="hybridMultilevel"/>
    <w:tmpl w:val="278EC458"/>
    <w:lvl w:ilvl="0" w:tplc="3E302CA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2E1776"/>
    <w:multiLevelType w:val="hybridMultilevel"/>
    <w:tmpl w:val="7AA69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533943"/>
    <w:multiLevelType w:val="hybridMultilevel"/>
    <w:tmpl w:val="DFCE7AFA"/>
    <w:lvl w:ilvl="0" w:tplc="0409000F">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E3F48"/>
    <w:multiLevelType w:val="hybridMultilevel"/>
    <w:tmpl w:val="F16C6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54AA4"/>
    <w:multiLevelType w:val="hybridMultilevel"/>
    <w:tmpl w:val="B8CE68D8"/>
    <w:lvl w:ilvl="0" w:tplc="0409000F">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12BB3"/>
    <w:multiLevelType w:val="hybridMultilevel"/>
    <w:tmpl w:val="23EEBC0A"/>
    <w:lvl w:ilvl="0" w:tplc="5B6A7A1C">
      <w:start w:val="6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BC42F40"/>
    <w:multiLevelType w:val="hybridMultilevel"/>
    <w:tmpl w:val="37A4211C"/>
    <w:lvl w:ilvl="0" w:tplc="0409000F">
      <w:start w:val="7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DF1728"/>
    <w:multiLevelType w:val="hybridMultilevel"/>
    <w:tmpl w:val="652E3232"/>
    <w:lvl w:ilvl="0" w:tplc="2ED06E8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E06D9"/>
    <w:multiLevelType w:val="hybridMultilevel"/>
    <w:tmpl w:val="1A8601C8"/>
    <w:lvl w:ilvl="0" w:tplc="3306BFA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F3C2B"/>
    <w:multiLevelType w:val="hybridMultilevel"/>
    <w:tmpl w:val="1B62C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D16E66"/>
    <w:multiLevelType w:val="hybridMultilevel"/>
    <w:tmpl w:val="B726DBD6"/>
    <w:lvl w:ilvl="0" w:tplc="0409000F">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6611C"/>
    <w:multiLevelType w:val="hybridMultilevel"/>
    <w:tmpl w:val="9894F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6A2035"/>
    <w:multiLevelType w:val="hybridMultilevel"/>
    <w:tmpl w:val="ABAEDA90"/>
    <w:lvl w:ilvl="0" w:tplc="7E58945C">
      <w:start w:val="1"/>
      <w:numFmt w:val="decimal"/>
      <w:lvlText w:val="%1."/>
      <w:lvlJc w:val="left"/>
      <w:pPr>
        <w:ind w:left="450" w:hanging="360"/>
      </w:pPr>
      <w:rPr>
        <w:rFonts w:hint="default"/>
        <w:b/>
        <w:bCs/>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F63759F"/>
    <w:multiLevelType w:val="hybridMultilevel"/>
    <w:tmpl w:val="46A0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329C7"/>
    <w:multiLevelType w:val="hybridMultilevel"/>
    <w:tmpl w:val="BBE858EE"/>
    <w:lvl w:ilvl="0" w:tplc="CC3479B0">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087951">
    <w:abstractNumId w:val="18"/>
  </w:num>
  <w:num w:numId="2" w16cid:durableId="1427732895">
    <w:abstractNumId w:val="17"/>
  </w:num>
  <w:num w:numId="3" w16cid:durableId="1188301187">
    <w:abstractNumId w:val="9"/>
  </w:num>
  <w:num w:numId="4" w16cid:durableId="1106388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25657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264838">
    <w:abstractNumId w:val="4"/>
  </w:num>
  <w:num w:numId="7" w16cid:durableId="1114404827">
    <w:abstractNumId w:val="23"/>
  </w:num>
  <w:num w:numId="8" w16cid:durableId="1872375422">
    <w:abstractNumId w:val="24"/>
  </w:num>
  <w:num w:numId="9" w16cid:durableId="991371263">
    <w:abstractNumId w:val="7"/>
  </w:num>
  <w:num w:numId="10" w16cid:durableId="1226061430">
    <w:abstractNumId w:val="0"/>
  </w:num>
  <w:num w:numId="11" w16cid:durableId="2109766576">
    <w:abstractNumId w:val="5"/>
  </w:num>
  <w:num w:numId="12" w16cid:durableId="1735394602">
    <w:abstractNumId w:val="21"/>
  </w:num>
  <w:num w:numId="13" w16cid:durableId="1325813063">
    <w:abstractNumId w:val="13"/>
  </w:num>
  <w:num w:numId="14" w16cid:durableId="1467702056">
    <w:abstractNumId w:val="22"/>
  </w:num>
  <w:num w:numId="15" w16cid:durableId="551431046">
    <w:abstractNumId w:val="19"/>
  </w:num>
  <w:num w:numId="16" w16cid:durableId="1509100293">
    <w:abstractNumId w:val="6"/>
  </w:num>
  <w:num w:numId="17" w16cid:durableId="950207395">
    <w:abstractNumId w:val="15"/>
  </w:num>
  <w:num w:numId="18" w16cid:durableId="1854682768">
    <w:abstractNumId w:val="12"/>
  </w:num>
  <w:num w:numId="19" w16cid:durableId="1022051956">
    <w:abstractNumId w:val="3"/>
  </w:num>
  <w:num w:numId="20" w16cid:durableId="149905324">
    <w:abstractNumId w:val="8"/>
  </w:num>
  <w:num w:numId="21" w16cid:durableId="578366085">
    <w:abstractNumId w:val="2"/>
  </w:num>
  <w:num w:numId="22" w16cid:durableId="706682316">
    <w:abstractNumId w:val="20"/>
  </w:num>
  <w:num w:numId="23" w16cid:durableId="84693438">
    <w:abstractNumId w:val="16"/>
  </w:num>
  <w:num w:numId="24" w16cid:durableId="1940792197">
    <w:abstractNumId w:val="14"/>
  </w:num>
  <w:num w:numId="25" w16cid:durableId="1480340638">
    <w:abstractNumId w:val="10"/>
  </w:num>
  <w:num w:numId="26" w16cid:durableId="13245021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wNjIysLA0NTA3NDFR0lEKTi0uzszPAykwNKgFAB2l4bstAAAA"/>
  </w:docVars>
  <w:rsids>
    <w:rsidRoot w:val="00C4619D"/>
    <w:rsid w:val="00011FF6"/>
    <w:rsid w:val="000533B0"/>
    <w:rsid w:val="0005375A"/>
    <w:rsid w:val="00055B75"/>
    <w:rsid w:val="0005733A"/>
    <w:rsid w:val="00064B6E"/>
    <w:rsid w:val="00070957"/>
    <w:rsid w:val="00070A13"/>
    <w:rsid w:val="00077074"/>
    <w:rsid w:val="000907CE"/>
    <w:rsid w:val="000942B8"/>
    <w:rsid w:val="00096466"/>
    <w:rsid w:val="000A7E79"/>
    <w:rsid w:val="000C1C9E"/>
    <w:rsid w:val="000D41F4"/>
    <w:rsid w:val="000E2884"/>
    <w:rsid w:val="000F1E74"/>
    <w:rsid w:val="000F2441"/>
    <w:rsid w:val="000F3FF3"/>
    <w:rsid w:val="00111854"/>
    <w:rsid w:val="001148DB"/>
    <w:rsid w:val="00123760"/>
    <w:rsid w:val="001326B5"/>
    <w:rsid w:val="00152BBA"/>
    <w:rsid w:val="00166463"/>
    <w:rsid w:val="00172605"/>
    <w:rsid w:val="001754C9"/>
    <w:rsid w:val="0017715C"/>
    <w:rsid w:val="00184425"/>
    <w:rsid w:val="00185476"/>
    <w:rsid w:val="0019062C"/>
    <w:rsid w:val="00196202"/>
    <w:rsid w:val="001A2C94"/>
    <w:rsid w:val="001A419E"/>
    <w:rsid w:val="001A5D45"/>
    <w:rsid w:val="001B66F0"/>
    <w:rsid w:val="001E4747"/>
    <w:rsid w:val="001F3A50"/>
    <w:rsid w:val="00207CAF"/>
    <w:rsid w:val="002167CF"/>
    <w:rsid w:val="002241D7"/>
    <w:rsid w:val="00230165"/>
    <w:rsid w:val="00233C68"/>
    <w:rsid w:val="00234028"/>
    <w:rsid w:val="002425FD"/>
    <w:rsid w:val="00243E97"/>
    <w:rsid w:val="00244A64"/>
    <w:rsid w:val="00251405"/>
    <w:rsid w:val="00251BED"/>
    <w:rsid w:val="00251F22"/>
    <w:rsid w:val="002672D8"/>
    <w:rsid w:val="002765EA"/>
    <w:rsid w:val="0027732C"/>
    <w:rsid w:val="002842B7"/>
    <w:rsid w:val="0029566A"/>
    <w:rsid w:val="002A49F5"/>
    <w:rsid w:val="002C371D"/>
    <w:rsid w:val="002C59C1"/>
    <w:rsid w:val="002E1426"/>
    <w:rsid w:val="002F1659"/>
    <w:rsid w:val="002F1B40"/>
    <w:rsid w:val="00314C43"/>
    <w:rsid w:val="00331BF6"/>
    <w:rsid w:val="003579E4"/>
    <w:rsid w:val="00385CD7"/>
    <w:rsid w:val="0038630F"/>
    <w:rsid w:val="003A0DF4"/>
    <w:rsid w:val="003A1359"/>
    <w:rsid w:val="003A1E24"/>
    <w:rsid w:val="003A6798"/>
    <w:rsid w:val="003B001C"/>
    <w:rsid w:val="003C4722"/>
    <w:rsid w:val="003D51CA"/>
    <w:rsid w:val="003F4960"/>
    <w:rsid w:val="003F52C1"/>
    <w:rsid w:val="003F6823"/>
    <w:rsid w:val="004124F0"/>
    <w:rsid w:val="004152B5"/>
    <w:rsid w:val="00437FCF"/>
    <w:rsid w:val="00456691"/>
    <w:rsid w:val="00457CEB"/>
    <w:rsid w:val="00465C12"/>
    <w:rsid w:val="00472F6F"/>
    <w:rsid w:val="00485B57"/>
    <w:rsid w:val="00486070"/>
    <w:rsid w:val="004A492D"/>
    <w:rsid w:val="004B2C88"/>
    <w:rsid w:val="004C049F"/>
    <w:rsid w:val="004C54B7"/>
    <w:rsid w:val="004C7838"/>
    <w:rsid w:val="004C7A9D"/>
    <w:rsid w:val="004D2C52"/>
    <w:rsid w:val="004D4E7D"/>
    <w:rsid w:val="00502E62"/>
    <w:rsid w:val="00506040"/>
    <w:rsid w:val="00563827"/>
    <w:rsid w:val="00563980"/>
    <w:rsid w:val="00564106"/>
    <w:rsid w:val="005672DE"/>
    <w:rsid w:val="0057254C"/>
    <w:rsid w:val="005828C4"/>
    <w:rsid w:val="005A56AA"/>
    <w:rsid w:val="005B2DEE"/>
    <w:rsid w:val="005B7443"/>
    <w:rsid w:val="005C4514"/>
    <w:rsid w:val="005C50CC"/>
    <w:rsid w:val="005D3E3E"/>
    <w:rsid w:val="005E57E5"/>
    <w:rsid w:val="00603577"/>
    <w:rsid w:val="00632F4F"/>
    <w:rsid w:val="00635F03"/>
    <w:rsid w:val="00651538"/>
    <w:rsid w:val="00657F17"/>
    <w:rsid w:val="0067240A"/>
    <w:rsid w:val="006736D1"/>
    <w:rsid w:val="00686543"/>
    <w:rsid w:val="00693DDF"/>
    <w:rsid w:val="006A3FCD"/>
    <w:rsid w:val="006A609C"/>
    <w:rsid w:val="006B0413"/>
    <w:rsid w:val="006B415E"/>
    <w:rsid w:val="006C2F33"/>
    <w:rsid w:val="006D0069"/>
    <w:rsid w:val="006D0F6C"/>
    <w:rsid w:val="006D1667"/>
    <w:rsid w:val="006D70D6"/>
    <w:rsid w:val="006E49D7"/>
    <w:rsid w:val="006E575C"/>
    <w:rsid w:val="00703251"/>
    <w:rsid w:val="007032DC"/>
    <w:rsid w:val="00705FBC"/>
    <w:rsid w:val="007072A6"/>
    <w:rsid w:val="0071078A"/>
    <w:rsid w:val="0071353A"/>
    <w:rsid w:val="00716669"/>
    <w:rsid w:val="00733D79"/>
    <w:rsid w:val="007538F6"/>
    <w:rsid w:val="007607FD"/>
    <w:rsid w:val="00771FA8"/>
    <w:rsid w:val="00780810"/>
    <w:rsid w:val="007959ED"/>
    <w:rsid w:val="007A2BFD"/>
    <w:rsid w:val="007B52D1"/>
    <w:rsid w:val="007C0F9E"/>
    <w:rsid w:val="007C1D7C"/>
    <w:rsid w:val="007C6A7E"/>
    <w:rsid w:val="007D3711"/>
    <w:rsid w:val="007D7DE3"/>
    <w:rsid w:val="007F3A32"/>
    <w:rsid w:val="008061A0"/>
    <w:rsid w:val="00822FE5"/>
    <w:rsid w:val="008452A5"/>
    <w:rsid w:val="00846C75"/>
    <w:rsid w:val="008517D2"/>
    <w:rsid w:val="00861DD5"/>
    <w:rsid w:val="00870297"/>
    <w:rsid w:val="008770A4"/>
    <w:rsid w:val="00881C5E"/>
    <w:rsid w:val="00881D42"/>
    <w:rsid w:val="008909EA"/>
    <w:rsid w:val="008A2287"/>
    <w:rsid w:val="008B314A"/>
    <w:rsid w:val="008B35AE"/>
    <w:rsid w:val="008E7B48"/>
    <w:rsid w:val="008F62EC"/>
    <w:rsid w:val="009122B7"/>
    <w:rsid w:val="00922A5D"/>
    <w:rsid w:val="009336CE"/>
    <w:rsid w:val="009470D6"/>
    <w:rsid w:val="0095391E"/>
    <w:rsid w:val="00962ED4"/>
    <w:rsid w:val="009632DF"/>
    <w:rsid w:val="00974CFA"/>
    <w:rsid w:val="00981B51"/>
    <w:rsid w:val="00983499"/>
    <w:rsid w:val="009A5BCF"/>
    <w:rsid w:val="009D03C1"/>
    <w:rsid w:val="009D28E2"/>
    <w:rsid w:val="009D35D7"/>
    <w:rsid w:val="009E1A7B"/>
    <w:rsid w:val="00A00777"/>
    <w:rsid w:val="00A01043"/>
    <w:rsid w:val="00A03350"/>
    <w:rsid w:val="00A113A8"/>
    <w:rsid w:val="00A11416"/>
    <w:rsid w:val="00A141D9"/>
    <w:rsid w:val="00A16BAD"/>
    <w:rsid w:val="00A20493"/>
    <w:rsid w:val="00A21851"/>
    <w:rsid w:val="00A21B60"/>
    <w:rsid w:val="00A311B3"/>
    <w:rsid w:val="00A53A4A"/>
    <w:rsid w:val="00A55B3B"/>
    <w:rsid w:val="00A71F10"/>
    <w:rsid w:val="00A73267"/>
    <w:rsid w:val="00A753B5"/>
    <w:rsid w:val="00A80D4D"/>
    <w:rsid w:val="00A86DD1"/>
    <w:rsid w:val="00A87723"/>
    <w:rsid w:val="00A91169"/>
    <w:rsid w:val="00AB3612"/>
    <w:rsid w:val="00AB5A30"/>
    <w:rsid w:val="00AD1572"/>
    <w:rsid w:val="00AD26CE"/>
    <w:rsid w:val="00AE385B"/>
    <w:rsid w:val="00AF4A15"/>
    <w:rsid w:val="00AF5D6D"/>
    <w:rsid w:val="00AF6711"/>
    <w:rsid w:val="00B15BEC"/>
    <w:rsid w:val="00B34956"/>
    <w:rsid w:val="00B37BB7"/>
    <w:rsid w:val="00B44FC5"/>
    <w:rsid w:val="00B61E64"/>
    <w:rsid w:val="00B719DF"/>
    <w:rsid w:val="00B74437"/>
    <w:rsid w:val="00B7712E"/>
    <w:rsid w:val="00B775DE"/>
    <w:rsid w:val="00B808CB"/>
    <w:rsid w:val="00B811CA"/>
    <w:rsid w:val="00BA0B2F"/>
    <w:rsid w:val="00BB0A6F"/>
    <w:rsid w:val="00BB1B37"/>
    <w:rsid w:val="00BB4329"/>
    <w:rsid w:val="00BB5E97"/>
    <w:rsid w:val="00BC356A"/>
    <w:rsid w:val="00BF7C9C"/>
    <w:rsid w:val="00BF7E4A"/>
    <w:rsid w:val="00C207D9"/>
    <w:rsid w:val="00C242A8"/>
    <w:rsid w:val="00C4619D"/>
    <w:rsid w:val="00C76E65"/>
    <w:rsid w:val="00C77556"/>
    <w:rsid w:val="00C822CB"/>
    <w:rsid w:val="00C864F3"/>
    <w:rsid w:val="00C871B6"/>
    <w:rsid w:val="00CB1DD1"/>
    <w:rsid w:val="00CC019F"/>
    <w:rsid w:val="00CC334E"/>
    <w:rsid w:val="00CC37BC"/>
    <w:rsid w:val="00CC57E1"/>
    <w:rsid w:val="00CE0CB8"/>
    <w:rsid w:val="00CE165B"/>
    <w:rsid w:val="00CE36F8"/>
    <w:rsid w:val="00CF27D3"/>
    <w:rsid w:val="00D001C9"/>
    <w:rsid w:val="00D00615"/>
    <w:rsid w:val="00D05BD9"/>
    <w:rsid w:val="00D40960"/>
    <w:rsid w:val="00D53E91"/>
    <w:rsid w:val="00D56509"/>
    <w:rsid w:val="00D71FD0"/>
    <w:rsid w:val="00D7273E"/>
    <w:rsid w:val="00D85E00"/>
    <w:rsid w:val="00D86051"/>
    <w:rsid w:val="00DC4413"/>
    <w:rsid w:val="00DD5A7C"/>
    <w:rsid w:val="00DE1873"/>
    <w:rsid w:val="00DF17C1"/>
    <w:rsid w:val="00DF2B7C"/>
    <w:rsid w:val="00DF7D10"/>
    <w:rsid w:val="00E0710D"/>
    <w:rsid w:val="00E12412"/>
    <w:rsid w:val="00E23A28"/>
    <w:rsid w:val="00E34AD6"/>
    <w:rsid w:val="00E44AF3"/>
    <w:rsid w:val="00E46564"/>
    <w:rsid w:val="00E52A71"/>
    <w:rsid w:val="00E53985"/>
    <w:rsid w:val="00E62748"/>
    <w:rsid w:val="00E76C33"/>
    <w:rsid w:val="00E81F29"/>
    <w:rsid w:val="00E83938"/>
    <w:rsid w:val="00EA22D1"/>
    <w:rsid w:val="00EB620C"/>
    <w:rsid w:val="00EB6E04"/>
    <w:rsid w:val="00EC031B"/>
    <w:rsid w:val="00EE6F6A"/>
    <w:rsid w:val="00EF026E"/>
    <w:rsid w:val="00F06AFC"/>
    <w:rsid w:val="00F439CC"/>
    <w:rsid w:val="00F44DB4"/>
    <w:rsid w:val="00F56318"/>
    <w:rsid w:val="00F60093"/>
    <w:rsid w:val="00F63F0D"/>
    <w:rsid w:val="00F8144E"/>
    <w:rsid w:val="00F847AB"/>
    <w:rsid w:val="00F84D8B"/>
    <w:rsid w:val="00F85011"/>
    <w:rsid w:val="00F87D71"/>
    <w:rsid w:val="00F9480C"/>
    <w:rsid w:val="00FA5D01"/>
    <w:rsid w:val="00FA7522"/>
    <w:rsid w:val="00FB67AA"/>
    <w:rsid w:val="00FC7D27"/>
    <w:rsid w:val="00FD56D3"/>
    <w:rsid w:val="00FD7FB7"/>
    <w:rsid w:val="00F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931E"/>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287"/>
    <w:rPr>
      <w:sz w:val="24"/>
    </w:rPr>
  </w:style>
  <w:style w:type="paragraph" w:styleId="Heading1">
    <w:name w:val="heading 1"/>
    <w:basedOn w:val="Header"/>
    <w:next w:val="Normal"/>
    <w:link w:val="Heading1Char"/>
    <w:uiPriority w:val="9"/>
    <w:qFormat/>
    <w:rsid w:val="00B811CA"/>
    <w:pPr>
      <w:outlineLvl w:val="0"/>
    </w:pPr>
    <w:rPr>
      <w:rFonts w:cstheme="minorHAnsi"/>
      <w:b/>
      <w:color w:val="1F4E79" w:themeColor="accent1" w:themeShade="80"/>
      <w:sz w:val="28"/>
      <w:szCs w:val="28"/>
    </w:rPr>
  </w:style>
  <w:style w:type="paragraph" w:styleId="Heading2">
    <w:name w:val="heading 2"/>
    <w:basedOn w:val="Heading1"/>
    <w:next w:val="Normal"/>
    <w:link w:val="Heading2Char"/>
    <w:uiPriority w:val="9"/>
    <w:unhideWhenUsed/>
    <w:qFormat/>
    <w:rsid w:val="00B811CA"/>
    <w:pPr>
      <w:spacing w:before="240"/>
      <w:outlineLvl w:val="1"/>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4619D"/>
    <w:pPr>
      <w:tabs>
        <w:tab w:val="center" w:pos="4680"/>
        <w:tab w:val="right" w:pos="9360"/>
      </w:tabs>
    </w:pPr>
  </w:style>
  <w:style w:type="character" w:customStyle="1" w:styleId="HeaderChar">
    <w:name w:val="Header Char"/>
    <w:basedOn w:val="DefaultParagraphFont"/>
    <w:link w:val="Header"/>
    <w:uiPriority w:val="99"/>
    <w:rsid w:val="00C4619D"/>
  </w:style>
  <w:style w:type="paragraph" w:styleId="Footer">
    <w:name w:val="footer"/>
    <w:basedOn w:val="Normal"/>
    <w:link w:val="FooterChar"/>
    <w:uiPriority w:val="99"/>
    <w:unhideWhenUsed/>
    <w:rsid w:val="00C4619D"/>
    <w:pPr>
      <w:tabs>
        <w:tab w:val="center" w:pos="4680"/>
        <w:tab w:val="right" w:pos="9360"/>
      </w:tabs>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B811CA"/>
    <w:rPr>
      <w:rFonts w:cstheme="minorHAnsi"/>
      <w:b/>
      <w:color w:val="1F4E79" w:themeColor="accent1" w:themeShade="80"/>
      <w:sz w:val="28"/>
      <w:szCs w:val="28"/>
    </w:rPr>
  </w:style>
  <w:style w:type="character" w:customStyle="1" w:styleId="Heading2Char">
    <w:name w:val="Heading 2 Char"/>
    <w:basedOn w:val="DefaultParagraphFont"/>
    <w:link w:val="Heading2"/>
    <w:uiPriority w:val="9"/>
    <w:rsid w:val="00B811CA"/>
    <w:rPr>
      <w:rFonts w:cstheme="minorHAnsi"/>
      <w:b/>
      <w:sz w:val="24"/>
      <w:szCs w:val="28"/>
    </w:rPr>
  </w:style>
  <w:style w:type="paragraph" w:styleId="ListParagraph">
    <w:name w:val="List Paragraph"/>
    <w:basedOn w:val="Normal"/>
    <w:uiPriority w:val="34"/>
    <w:qFormat/>
    <w:rsid w:val="00C77556"/>
    <w:pPr>
      <w:ind w:left="720"/>
      <w:contextualSpacing/>
    </w:pPr>
  </w:style>
  <w:style w:type="paragraph" w:styleId="CommentText">
    <w:name w:val="annotation text"/>
    <w:basedOn w:val="Normal"/>
    <w:link w:val="CommentTextChar"/>
    <w:uiPriority w:val="99"/>
    <w:unhideWhenUsed/>
    <w:rsid w:val="006D0069"/>
    <w:rPr>
      <w:sz w:val="20"/>
      <w:szCs w:val="20"/>
    </w:rPr>
  </w:style>
  <w:style w:type="character" w:customStyle="1" w:styleId="CommentTextChar">
    <w:name w:val="Comment Text Char"/>
    <w:basedOn w:val="DefaultParagraphFont"/>
    <w:link w:val="CommentText"/>
    <w:uiPriority w:val="99"/>
    <w:rsid w:val="006D0069"/>
    <w:rPr>
      <w:sz w:val="20"/>
      <w:szCs w:val="20"/>
    </w:rPr>
  </w:style>
  <w:style w:type="character" w:styleId="CommentReference">
    <w:name w:val="annotation reference"/>
    <w:basedOn w:val="DefaultParagraphFont"/>
    <w:uiPriority w:val="99"/>
    <w:semiHidden/>
    <w:unhideWhenUsed/>
    <w:rsid w:val="005828C4"/>
    <w:rPr>
      <w:sz w:val="16"/>
      <w:szCs w:val="16"/>
    </w:rPr>
  </w:style>
  <w:style w:type="paragraph" w:styleId="CommentSubject">
    <w:name w:val="annotation subject"/>
    <w:basedOn w:val="CommentText"/>
    <w:next w:val="CommentText"/>
    <w:link w:val="CommentSubjectChar"/>
    <w:uiPriority w:val="99"/>
    <w:semiHidden/>
    <w:unhideWhenUsed/>
    <w:rsid w:val="005828C4"/>
    <w:rPr>
      <w:b/>
      <w:bCs/>
    </w:rPr>
  </w:style>
  <w:style w:type="character" w:customStyle="1" w:styleId="CommentSubjectChar">
    <w:name w:val="Comment Subject Char"/>
    <w:basedOn w:val="CommentTextChar"/>
    <w:link w:val="CommentSubject"/>
    <w:uiPriority w:val="99"/>
    <w:semiHidden/>
    <w:rsid w:val="005828C4"/>
    <w:rPr>
      <w:b/>
      <w:bCs/>
      <w:sz w:val="20"/>
      <w:szCs w:val="20"/>
    </w:rPr>
  </w:style>
  <w:style w:type="paragraph" w:styleId="NoSpacing">
    <w:name w:val="No Spacing"/>
    <w:uiPriority w:val="1"/>
    <w:qFormat/>
    <w:rsid w:val="00152BBA"/>
    <w:rPr>
      <w:sz w:val="24"/>
    </w:rPr>
  </w:style>
  <w:style w:type="character" w:styleId="UnresolvedMention">
    <w:name w:val="Unresolved Mention"/>
    <w:basedOn w:val="DefaultParagraphFont"/>
    <w:uiPriority w:val="99"/>
    <w:semiHidden/>
    <w:unhideWhenUsed/>
    <w:rsid w:val="00251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5799">
      <w:bodyDiv w:val="1"/>
      <w:marLeft w:val="0"/>
      <w:marRight w:val="0"/>
      <w:marTop w:val="0"/>
      <w:marBottom w:val="0"/>
      <w:divBdr>
        <w:top w:val="none" w:sz="0" w:space="0" w:color="auto"/>
        <w:left w:val="none" w:sz="0" w:space="0" w:color="auto"/>
        <w:bottom w:val="none" w:sz="0" w:space="0" w:color="auto"/>
        <w:right w:val="none" w:sz="0" w:space="0" w:color="auto"/>
      </w:divBdr>
    </w:div>
    <w:div w:id="105541278">
      <w:bodyDiv w:val="1"/>
      <w:marLeft w:val="0"/>
      <w:marRight w:val="0"/>
      <w:marTop w:val="0"/>
      <w:marBottom w:val="0"/>
      <w:divBdr>
        <w:top w:val="none" w:sz="0" w:space="0" w:color="auto"/>
        <w:left w:val="none" w:sz="0" w:space="0" w:color="auto"/>
        <w:bottom w:val="none" w:sz="0" w:space="0" w:color="auto"/>
        <w:right w:val="none" w:sz="0" w:space="0" w:color="auto"/>
      </w:divBdr>
    </w:div>
    <w:div w:id="157691159">
      <w:bodyDiv w:val="1"/>
      <w:marLeft w:val="0"/>
      <w:marRight w:val="0"/>
      <w:marTop w:val="0"/>
      <w:marBottom w:val="0"/>
      <w:divBdr>
        <w:top w:val="none" w:sz="0" w:space="0" w:color="auto"/>
        <w:left w:val="none" w:sz="0" w:space="0" w:color="auto"/>
        <w:bottom w:val="none" w:sz="0" w:space="0" w:color="auto"/>
        <w:right w:val="none" w:sz="0" w:space="0" w:color="auto"/>
      </w:divBdr>
    </w:div>
    <w:div w:id="209808218">
      <w:bodyDiv w:val="1"/>
      <w:marLeft w:val="0"/>
      <w:marRight w:val="0"/>
      <w:marTop w:val="0"/>
      <w:marBottom w:val="0"/>
      <w:divBdr>
        <w:top w:val="none" w:sz="0" w:space="0" w:color="auto"/>
        <w:left w:val="none" w:sz="0" w:space="0" w:color="auto"/>
        <w:bottom w:val="none" w:sz="0" w:space="0" w:color="auto"/>
        <w:right w:val="none" w:sz="0" w:space="0" w:color="auto"/>
      </w:divBdr>
    </w:div>
    <w:div w:id="346567342">
      <w:bodyDiv w:val="1"/>
      <w:marLeft w:val="0"/>
      <w:marRight w:val="0"/>
      <w:marTop w:val="0"/>
      <w:marBottom w:val="0"/>
      <w:divBdr>
        <w:top w:val="none" w:sz="0" w:space="0" w:color="auto"/>
        <w:left w:val="none" w:sz="0" w:space="0" w:color="auto"/>
        <w:bottom w:val="none" w:sz="0" w:space="0" w:color="auto"/>
        <w:right w:val="none" w:sz="0" w:space="0" w:color="auto"/>
      </w:divBdr>
    </w:div>
    <w:div w:id="415983764">
      <w:bodyDiv w:val="1"/>
      <w:marLeft w:val="0"/>
      <w:marRight w:val="0"/>
      <w:marTop w:val="0"/>
      <w:marBottom w:val="0"/>
      <w:divBdr>
        <w:top w:val="none" w:sz="0" w:space="0" w:color="auto"/>
        <w:left w:val="none" w:sz="0" w:space="0" w:color="auto"/>
        <w:bottom w:val="none" w:sz="0" w:space="0" w:color="auto"/>
        <w:right w:val="none" w:sz="0" w:space="0" w:color="auto"/>
      </w:divBdr>
    </w:div>
    <w:div w:id="472605751">
      <w:bodyDiv w:val="1"/>
      <w:marLeft w:val="0"/>
      <w:marRight w:val="0"/>
      <w:marTop w:val="0"/>
      <w:marBottom w:val="0"/>
      <w:divBdr>
        <w:top w:val="none" w:sz="0" w:space="0" w:color="auto"/>
        <w:left w:val="none" w:sz="0" w:space="0" w:color="auto"/>
        <w:bottom w:val="none" w:sz="0" w:space="0" w:color="auto"/>
        <w:right w:val="none" w:sz="0" w:space="0" w:color="auto"/>
      </w:divBdr>
    </w:div>
    <w:div w:id="475298583">
      <w:bodyDiv w:val="1"/>
      <w:marLeft w:val="0"/>
      <w:marRight w:val="0"/>
      <w:marTop w:val="0"/>
      <w:marBottom w:val="0"/>
      <w:divBdr>
        <w:top w:val="none" w:sz="0" w:space="0" w:color="auto"/>
        <w:left w:val="none" w:sz="0" w:space="0" w:color="auto"/>
        <w:bottom w:val="none" w:sz="0" w:space="0" w:color="auto"/>
        <w:right w:val="none" w:sz="0" w:space="0" w:color="auto"/>
      </w:divBdr>
    </w:div>
    <w:div w:id="544685589">
      <w:bodyDiv w:val="1"/>
      <w:marLeft w:val="0"/>
      <w:marRight w:val="0"/>
      <w:marTop w:val="0"/>
      <w:marBottom w:val="0"/>
      <w:divBdr>
        <w:top w:val="none" w:sz="0" w:space="0" w:color="auto"/>
        <w:left w:val="none" w:sz="0" w:space="0" w:color="auto"/>
        <w:bottom w:val="none" w:sz="0" w:space="0" w:color="auto"/>
        <w:right w:val="none" w:sz="0" w:space="0" w:color="auto"/>
      </w:divBdr>
    </w:div>
    <w:div w:id="569192283">
      <w:bodyDiv w:val="1"/>
      <w:marLeft w:val="0"/>
      <w:marRight w:val="0"/>
      <w:marTop w:val="0"/>
      <w:marBottom w:val="0"/>
      <w:divBdr>
        <w:top w:val="none" w:sz="0" w:space="0" w:color="auto"/>
        <w:left w:val="none" w:sz="0" w:space="0" w:color="auto"/>
        <w:bottom w:val="none" w:sz="0" w:space="0" w:color="auto"/>
        <w:right w:val="none" w:sz="0" w:space="0" w:color="auto"/>
      </w:divBdr>
    </w:div>
    <w:div w:id="614753900">
      <w:bodyDiv w:val="1"/>
      <w:marLeft w:val="0"/>
      <w:marRight w:val="0"/>
      <w:marTop w:val="0"/>
      <w:marBottom w:val="0"/>
      <w:divBdr>
        <w:top w:val="none" w:sz="0" w:space="0" w:color="auto"/>
        <w:left w:val="none" w:sz="0" w:space="0" w:color="auto"/>
        <w:bottom w:val="none" w:sz="0" w:space="0" w:color="auto"/>
        <w:right w:val="none" w:sz="0" w:space="0" w:color="auto"/>
      </w:divBdr>
    </w:div>
    <w:div w:id="645626267">
      <w:bodyDiv w:val="1"/>
      <w:marLeft w:val="0"/>
      <w:marRight w:val="0"/>
      <w:marTop w:val="0"/>
      <w:marBottom w:val="0"/>
      <w:divBdr>
        <w:top w:val="none" w:sz="0" w:space="0" w:color="auto"/>
        <w:left w:val="none" w:sz="0" w:space="0" w:color="auto"/>
        <w:bottom w:val="none" w:sz="0" w:space="0" w:color="auto"/>
        <w:right w:val="none" w:sz="0" w:space="0" w:color="auto"/>
      </w:divBdr>
    </w:div>
    <w:div w:id="676811966">
      <w:bodyDiv w:val="1"/>
      <w:marLeft w:val="0"/>
      <w:marRight w:val="0"/>
      <w:marTop w:val="0"/>
      <w:marBottom w:val="0"/>
      <w:divBdr>
        <w:top w:val="none" w:sz="0" w:space="0" w:color="auto"/>
        <w:left w:val="none" w:sz="0" w:space="0" w:color="auto"/>
        <w:bottom w:val="none" w:sz="0" w:space="0" w:color="auto"/>
        <w:right w:val="none" w:sz="0" w:space="0" w:color="auto"/>
      </w:divBdr>
    </w:div>
    <w:div w:id="795417645">
      <w:bodyDiv w:val="1"/>
      <w:marLeft w:val="0"/>
      <w:marRight w:val="0"/>
      <w:marTop w:val="0"/>
      <w:marBottom w:val="0"/>
      <w:divBdr>
        <w:top w:val="none" w:sz="0" w:space="0" w:color="auto"/>
        <w:left w:val="none" w:sz="0" w:space="0" w:color="auto"/>
        <w:bottom w:val="none" w:sz="0" w:space="0" w:color="auto"/>
        <w:right w:val="none" w:sz="0" w:space="0" w:color="auto"/>
      </w:divBdr>
    </w:div>
    <w:div w:id="877161078">
      <w:bodyDiv w:val="1"/>
      <w:marLeft w:val="0"/>
      <w:marRight w:val="0"/>
      <w:marTop w:val="0"/>
      <w:marBottom w:val="0"/>
      <w:divBdr>
        <w:top w:val="none" w:sz="0" w:space="0" w:color="auto"/>
        <w:left w:val="none" w:sz="0" w:space="0" w:color="auto"/>
        <w:bottom w:val="none" w:sz="0" w:space="0" w:color="auto"/>
        <w:right w:val="none" w:sz="0" w:space="0" w:color="auto"/>
      </w:divBdr>
    </w:div>
    <w:div w:id="917641070">
      <w:bodyDiv w:val="1"/>
      <w:marLeft w:val="0"/>
      <w:marRight w:val="0"/>
      <w:marTop w:val="0"/>
      <w:marBottom w:val="0"/>
      <w:divBdr>
        <w:top w:val="none" w:sz="0" w:space="0" w:color="auto"/>
        <w:left w:val="none" w:sz="0" w:space="0" w:color="auto"/>
        <w:bottom w:val="none" w:sz="0" w:space="0" w:color="auto"/>
        <w:right w:val="none" w:sz="0" w:space="0" w:color="auto"/>
      </w:divBdr>
    </w:div>
    <w:div w:id="1030303479">
      <w:bodyDiv w:val="1"/>
      <w:marLeft w:val="0"/>
      <w:marRight w:val="0"/>
      <w:marTop w:val="0"/>
      <w:marBottom w:val="0"/>
      <w:divBdr>
        <w:top w:val="none" w:sz="0" w:space="0" w:color="auto"/>
        <w:left w:val="none" w:sz="0" w:space="0" w:color="auto"/>
        <w:bottom w:val="none" w:sz="0" w:space="0" w:color="auto"/>
        <w:right w:val="none" w:sz="0" w:space="0" w:color="auto"/>
      </w:divBdr>
    </w:div>
    <w:div w:id="1037899869">
      <w:bodyDiv w:val="1"/>
      <w:marLeft w:val="0"/>
      <w:marRight w:val="0"/>
      <w:marTop w:val="0"/>
      <w:marBottom w:val="0"/>
      <w:divBdr>
        <w:top w:val="none" w:sz="0" w:space="0" w:color="auto"/>
        <w:left w:val="none" w:sz="0" w:space="0" w:color="auto"/>
        <w:bottom w:val="none" w:sz="0" w:space="0" w:color="auto"/>
        <w:right w:val="none" w:sz="0" w:space="0" w:color="auto"/>
      </w:divBdr>
    </w:div>
    <w:div w:id="1048185054">
      <w:bodyDiv w:val="1"/>
      <w:marLeft w:val="0"/>
      <w:marRight w:val="0"/>
      <w:marTop w:val="0"/>
      <w:marBottom w:val="0"/>
      <w:divBdr>
        <w:top w:val="none" w:sz="0" w:space="0" w:color="auto"/>
        <w:left w:val="none" w:sz="0" w:space="0" w:color="auto"/>
        <w:bottom w:val="none" w:sz="0" w:space="0" w:color="auto"/>
        <w:right w:val="none" w:sz="0" w:space="0" w:color="auto"/>
      </w:divBdr>
    </w:div>
    <w:div w:id="1254700362">
      <w:bodyDiv w:val="1"/>
      <w:marLeft w:val="0"/>
      <w:marRight w:val="0"/>
      <w:marTop w:val="0"/>
      <w:marBottom w:val="0"/>
      <w:divBdr>
        <w:top w:val="none" w:sz="0" w:space="0" w:color="auto"/>
        <w:left w:val="none" w:sz="0" w:space="0" w:color="auto"/>
        <w:bottom w:val="none" w:sz="0" w:space="0" w:color="auto"/>
        <w:right w:val="none" w:sz="0" w:space="0" w:color="auto"/>
      </w:divBdr>
    </w:div>
    <w:div w:id="1473407998">
      <w:bodyDiv w:val="1"/>
      <w:marLeft w:val="0"/>
      <w:marRight w:val="0"/>
      <w:marTop w:val="0"/>
      <w:marBottom w:val="0"/>
      <w:divBdr>
        <w:top w:val="none" w:sz="0" w:space="0" w:color="auto"/>
        <w:left w:val="none" w:sz="0" w:space="0" w:color="auto"/>
        <w:bottom w:val="none" w:sz="0" w:space="0" w:color="auto"/>
        <w:right w:val="none" w:sz="0" w:space="0" w:color="auto"/>
      </w:divBdr>
    </w:div>
    <w:div w:id="1614169645">
      <w:bodyDiv w:val="1"/>
      <w:marLeft w:val="0"/>
      <w:marRight w:val="0"/>
      <w:marTop w:val="0"/>
      <w:marBottom w:val="0"/>
      <w:divBdr>
        <w:top w:val="none" w:sz="0" w:space="0" w:color="auto"/>
        <w:left w:val="none" w:sz="0" w:space="0" w:color="auto"/>
        <w:bottom w:val="none" w:sz="0" w:space="0" w:color="auto"/>
        <w:right w:val="none" w:sz="0" w:space="0" w:color="auto"/>
      </w:divBdr>
    </w:div>
    <w:div w:id="1658070121">
      <w:bodyDiv w:val="1"/>
      <w:marLeft w:val="0"/>
      <w:marRight w:val="0"/>
      <w:marTop w:val="0"/>
      <w:marBottom w:val="0"/>
      <w:divBdr>
        <w:top w:val="none" w:sz="0" w:space="0" w:color="auto"/>
        <w:left w:val="none" w:sz="0" w:space="0" w:color="auto"/>
        <w:bottom w:val="none" w:sz="0" w:space="0" w:color="auto"/>
        <w:right w:val="none" w:sz="0" w:space="0" w:color="auto"/>
      </w:divBdr>
    </w:div>
    <w:div w:id="1685475921">
      <w:bodyDiv w:val="1"/>
      <w:marLeft w:val="0"/>
      <w:marRight w:val="0"/>
      <w:marTop w:val="0"/>
      <w:marBottom w:val="0"/>
      <w:divBdr>
        <w:top w:val="none" w:sz="0" w:space="0" w:color="auto"/>
        <w:left w:val="none" w:sz="0" w:space="0" w:color="auto"/>
        <w:bottom w:val="none" w:sz="0" w:space="0" w:color="auto"/>
        <w:right w:val="none" w:sz="0" w:space="0" w:color="auto"/>
      </w:divBdr>
    </w:div>
    <w:div w:id="194912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M.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3" ma:contentTypeDescription="Create a new document." ma:contentTypeScope="" ma:versionID="069a1b77206900f473d41a7f81b3e57a">
  <xsd:schema xmlns:xsd="http://www.w3.org/2001/XMLSchema" xmlns:xs="http://www.w3.org/2001/XMLSchema" xmlns:p="http://schemas.microsoft.com/office/2006/metadata/properties" xmlns:ns3="87723afd-882f-4d2a-a77d-9bd4bb59c539" targetNamespace="http://schemas.microsoft.com/office/2006/metadata/properties" ma:root="true" ma:fieldsID="60914711d1cedda0de1762b85ec8b676" ns3:_="">
    <xsd:import namespace="87723afd-882f-4d2a-a77d-9bd4bb59c5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3afd-882f-4d2a-a77d-9bd4bb59c53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D8BBD-2DCF-40F1-946C-4D7C304E1578}">
  <ds:schemaRefs>
    <ds:schemaRef ds:uri="http://schemas.microsoft.com/sharepoint/v3/contenttype/forms"/>
  </ds:schemaRefs>
</ds:datastoreItem>
</file>

<file path=customXml/itemProps2.xml><?xml version="1.0" encoding="utf-8"?>
<ds:datastoreItem xmlns:ds="http://schemas.openxmlformats.org/officeDocument/2006/customXml" ds:itemID="{710ADBC4-D5A2-437F-94B5-BF32A94331C5}">
  <ds:schemaRefs>
    <ds:schemaRef ds:uri="87723afd-882f-4d2a-a77d-9bd4bb59c539"/>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9EB95BF-8062-44FF-B4DB-3758EBE580F4}">
  <ds:schemaRefs>
    <ds:schemaRef ds:uri="http://schemas.openxmlformats.org/officeDocument/2006/bibliography"/>
  </ds:schemaRefs>
</ds:datastoreItem>
</file>

<file path=customXml/itemProps4.xml><?xml version="1.0" encoding="utf-8"?>
<ds:datastoreItem xmlns:ds="http://schemas.openxmlformats.org/officeDocument/2006/customXml" ds:itemID="{810787E5-9C77-4CDA-8EB9-BE322489F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3afd-882f-4d2a-a77d-9bd4bb59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12</Pages>
  <Words>4180</Words>
  <Characters>23827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Young Adult Career Pathway Program SFP Q&amp;A</dc:title>
  <dc:subject/>
  <dc:creator>EDD WSB</dc:creator>
  <cp:keywords>SFP, grant funding</cp:keywords>
  <dc:description/>
  <cp:lastModifiedBy>Richardson, Jeffrey@EDD</cp:lastModifiedBy>
  <cp:revision>21</cp:revision>
  <cp:lastPrinted>2023-11-20T19:57:00Z</cp:lastPrinted>
  <dcterms:created xsi:type="dcterms:W3CDTF">2024-01-22T16:54:00Z</dcterms:created>
  <dcterms:modified xsi:type="dcterms:W3CDTF">2024-01-23T22:55:00Z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