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CC0BF" w14:textId="77777777" w:rsidR="00125585" w:rsidRDefault="00125585" w:rsidP="00942FC6">
      <w:pPr>
        <w:pStyle w:val="Header"/>
      </w:pPr>
      <w:r>
        <w:rPr>
          <w:noProof/>
        </w:rPr>
        <w:drawing>
          <wp:inline distT="0" distB="0" distL="0" distR="0" wp14:anchorId="6CED0540" wp14:editId="5BEF64C8">
            <wp:extent cx="1753974" cy="638175"/>
            <wp:effectExtent l="0" t="0" r="0" b="0"/>
            <wp:docPr id="1" name="Picture 1" descr="EDD, Employment Development Department, State of California" title="Employment Development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5995" cy="638910"/>
                    </a:xfrm>
                    <a:prstGeom prst="rect">
                      <a:avLst/>
                    </a:prstGeom>
                    <a:noFill/>
                  </pic:spPr>
                </pic:pic>
              </a:graphicData>
            </a:graphic>
          </wp:inline>
        </w:drawing>
      </w:r>
    </w:p>
    <w:p w14:paraId="25AB31A9" w14:textId="77777777" w:rsidR="00125585" w:rsidRPr="00125585" w:rsidRDefault="00125585" w:rsidP="00125585">
      <w:pPr>
        <w:pStyle w:val="Heading1"/>
      </w:pPr>
      <w:r w:rsidRPr="00125585">
        <w:t>Displaced Oil and Gas Workers Fund</w:t>
      </w:r>
    </w:p>
    <w:p w14:paraId="339CE4CE" w14:textId="77777777" w:rsidR="00125585" w:rsidRPr="00125585" w:rsidRDefault="00125585" w:rsidP="00125585">
      <w:pPr>
        <w:pStyle w:val="Heading1"/>
      </w:pPr>
      <w:r w:rsidRPr="00125585">
        <w:t>Solicitation for Proposals</w:t>
      </w:r>
    </w:p>
    <w:p w14:paraId="25028675" w14:textId="77777777" w:rsidR="00125585" w:rsidRDefault="00125585" w:rsidP="00125585">
      <w:pPr>
        <w:pStyle w:val="Heading1"/>
      </w:pPr>
      <w:r w:rsidRPr="00125585">
        <w:t>Program Year 2023-24</w:t>
      </w:r>
    </w:p>
    <w:p w14:paraId="5C02AF0D" w14:textId="77777777" w:rsidR="00125585" w:rsidRDefault="00125585" w:rsidP="003A1359">
      <w:pPr>
        <w:spacing w:after="0" w:line="240" w:lineRule="auto"/>
        <w:rPr>
          <w:b/>
          <w:szCs w:val="24"/>
        </w:rPr>
        <w:sectPr w:rsidR="00125585" w:rsidSect="00125585">
          <w:footerReference w:type="default" r:id="rId12"/>
          <w:footerReference w:type="first" r:id="rId13"/>
          <w:pgSz w:w="12240" w:h="15840"/>
          <w:pgMar w:top="1008" w:right="1008" w:bottom="1008" w:left="1008" w:header="720" w:footer="720" w:gutter="0"/>
          <w:cols w:num="2" w:space="144" w:equalWidth="0">
            <w:col w:w="2880" w:space="144"/>
            <w:col w:w="7200"/>
          </w:cols>
          <w:titlePg/>
          <w:docGrid w:linePitch="360"/>
        </w:sectPr>
      </w:pPr>
    </w:p>
    <w:p w14:paraId="34BD931E" w14:textId="77777777" w:rsidR="003A6798" w:rsidRPr="00125585" w:rsidRDefault="003A6798" w:rsidP="00125585">
      <w:pPr>
        <w:pBdr>
          <w:bottom w:val="single" w:sz="4" w:space="1" w:color="auto"/>
        </w:pBdr>
        <w:spacing w:after="0" w:line="240" w:lineRule="auto"/>
        <w:rPr>
          <w:b/>
          <w:sz w:val="16"/>
          <w:szCs w:val="16"/>
        </w:rPr>
      </w:pPr>
    </w:p>
    <w:p w14:paraId="34BD931F" w14:textId="77777777" w:rsidR="00C4619D" w:rsidRPr="00F56318" w:rsidRDefault="00EB620C" w:rsidP="00125585">
      <w:pPr>
        <w:pStyle w:val="Heading2"/>
        <w:spacing w:before="240"/>
      </w:pPr>
      <w:r w:rsidRPr="00F56318">
        <w:t>Questions and Answers</w:t>
      </w:r>
    </w:p>
    <w:p w14:paraId="34BD9320" w14:textId="77777777" w:rsidR="00DF7D10" w:rsidRPr="00F56318" w:rsidRDefault="00DF7D10" w:rsidP="003A1359">
      <w:pPr>
        <w:spacing w:after="0" w:line="240" w:lineRule="auto"/>
        <w:rPr>
          <w:rFonts w:cstheme="minorHAnsi"/>
          <w:b/>
          <w:color w:val="1F4E79" w:themeColor="accent1" w:themeShade="80"/>
          <w:szCs w:val="24"/>
        </w:rPr>
      </w:pPr>
    </w:p>
    <w:p w14:paraId="65668EB3" w14:textId="6E986A6E" w:rsidR="006D0069" w:rsidRPr="00125585" w:rsidRDefault="002C59C1" w:rsidP="00125585">
      <w:pPr>
        <w:pStyle w:val="ListParagraph"/>
        <w:numPr>
          <w:ilvl w:val="0"/>
          <w:numId w:val="11"/>
        </w:numPr>
        <w:spacing w:after="0"/>
        <w:rPr>
          <w:b/>
          <w:bCs/>
        </w:rPr>
      </w:pPr>
      <w:r w:rsidRPr="00125585">
        <w:rPr>
          <w:b/>
          <w:bCs/>
        </w:rPr>
        <w:t>The SFP has conflicting start dates</w:t>
      </w:r>
      <w:r w:rsidR="00CC019F" w:rsidRPr="00125585">
        <w:rPr>
          <w:b/>
          <w:bCs/>
        </w:rPr>
        <w:t>;</w:t>
      </w:r>
      <w:r w:rsidRPr="00125585">
        <w:rPr>
          <w:b/>
          <w:bCs/>
        </w:rPr>
        <w:t xml:space="preserve"> what </w:t>
      </w:r>
      <w:proofErr w:type="gramStart"/>
      <w:r w:rsidR="00CC019F" w:rsidRPr="00125585">
        <w:rPr>
          <w:b/>
          <w:bCs/>
        </w:rPr>
        <w:t>i</w:t>
      </w:r>
      <w:r w:rsidR="003C4722" w:rsidRPr="00125585">
        <w:rPr>
          <w:b/>
          <w:bCs/>
        </w:rPr>
        <w:t>s</w:t>
      </w:r>
      <w:proofErr w:type="gramEnd"/>
      <w:r w:rsidRPr="00125585">
        <w:rPr>
          <w:b/>
          <w:bCs/>
        </w:rPr>
        <w:t xml:space="preserve"> the correct estimated project start date?</w:t>
      </w:r>
    </w:p>
    <w:p w14:paraId="2A7D462A" w14:textId="77777777" w:rsidR="006D0069" w:rsidRPr="00F56318" w:rsidRDefault="006D0069" w:rsidP="003A1359">
      <w:pPr>
        <w:spacing w:after="0" w:line="240" w:lineRule="auto"/>
        <w:rPr>
          <w:rFonts w:cstheme="minorHAnsi"/>
          <w:szCs w:val="24"/>
        </w:rPr>
      </w:pPr>
    </w:p>
    <w:p w14:paraId="55FAACAE" w14:textId="04B00263" w:rsidR="005672DE" w:rsidRPr="00F56318" w:rsidRDefault="005672DE" w:rsidP="005672DE">
      <w:pPr>
        <w:spacing w:after="0" w:line="240" w:lineRule="auto"/>
        <w:rPr>
          <w:rFonts w:cstheme="minorHAnsi"/>
          <w:szCs w:val="24"/>
        </w:rPr>
      </w:pPr>
      <w:r w:rsidRPr="00F56318">
        <w:rPr>
          <w:rFonts w:cstheme="minorHAnsi"/>
          <w:szCs w:val="24"/>
        </w:rPr>
        <w:t>Page #14 Figure</w:t>
      </w:r>
      <w:r w:rsidR="00CC019F" w:rsidRPr="00F56318">
        <w:rPr>
          <w:rFonts w:cstheme="minorHAnsi"/>
          <w:szCs w:val="24"/>
        </w:rPr>
        <w:t xml:space="preserve"> </w:t>
      </w:r>
      <w:r w:rsidRPr="00F56318">
        <w:rPr>
          <w:rFonts w:cstheme="minorHAnsi"/>
          <w:szCs w:val="24"/>
        </w:rPr>
        <w:t>2: Application Timeline – Estimated project start date has a typo to the date:</w:t>
      </w:r>
    </w:p>
    <w:p w14:paraId="0CBF7857" w14:textId="51465F4B" w:rsidR="005672DE" w:rsidRPr="00F56318" w:rsidRDefault="005672DE" w:rsidP="00B808CB">
      <w:pPr>
        <w:pStyle w:val="ListParagraph"/>
        <w:numPr>
          <w:ilvl w:val="0"/>
          <w:numId w:val="9"/>
        </w:numPr>
        <w:spacing w:after="0" w:line="240" w:lineRule="auto"/>
        <w:rPr>
          <w:rFonts w:cstheme="minorHAnsi"/>
          <w:szCs w:val="24"/>
        </w:rPr>
      </w:pPr>
      <w:r w:rsidRPr="00F56318">
        <w:rPr>
          <w:rFonts w:cstheme="minorHAnsi"/>
          <w:szCs w:val="24"/>
        </w:rPr>
        <w:t>Original: January 20</w:t>
      </w:r>
      <w:r w:rsidR="001A419E">
        <w:rPr>
          <w:rFonts w:cstheme="minorHAnsi"/>
          <w:szCs w:val="24"/>
        </w:rPr>
        <w:t>2</w:t>
      </w:r>
      <w:r w:rsidRPr="00F56318">
        <w:rPr>
          <w:rFonts w:cstheme="minorHAnsi"/>
          <w:szCs w:val="24"/>
        </w:rPr>
        <w:t xml:space="preserve">4 </w:t>
      </w:r>
    </w:p>
    <w:p w14:paraId="0A3383BC" w14:textId="02DED4B8" w:rsidR="005672DE" w:rsidRDefault="005672DE" w:rsidP="00B808CB">
      <w:pPr>
        <w:pStyle w:val="ListParagraph"/>
        <w:numPr>
          <w:ilvl w:val="0"/>
          <w:numId w:val="9"/>
        </w:numPr>
        <w:spacing w:after="0" w:line="240" w:lineRule="auto"/>
        <w:rPr>
          <w:rFonts w:cstheme="minorHAnsi"/>
          <w:szCs w:val="24"/>
        </w:rPr>
      </w:pPr>
      <w:r w:rsidRPr="00F56318">
        <w:rPr>
          <w:rFonts w:cstheme="minorHAnsi"/>
          <w:szCs w:val="24"/>
        </w:rPr>
        <w:t>New: June 2024</w:t>
      </w:r>
      <w:r w:rsidR="001A419E">
        <w:rPr>
          <w:rFonts w:cstheme="minorHAnsi"/>
          <w:szCs w:val="24"/>
        </w:rPr>
        <w:t>*</w:t>
      </w:r>
      <w:r w:rsidR="002E1426">
        <w:rPr>
          <w:rFonts w:cstheme="minorHAnsi"/>
          <w:szCs w:val="24"/>
        </w:rPr>
        <w:t xml:space="preserve"> </w:t>
      </w:r>
    </w:p>
    <w:p w14:paraId="3993582F" w14:textId="77777777" w:rsidR="00C822CB" w:rsidRDefault="00C822CB" w:rsidP="00C822CB">
      <w:pPr>
        <w:pStyle w:val="ListParagraph"/>
        <w:spacing w:after="0" w:line="240" w:lineRule="auto"/>
        <w:rPr>
          <w:rFonts w:cstheme="minorHAnsi"/>
          <w:szCs w:val="24"/>
        </w:rPr>
      </w:pPr>
    </w:p>
    <w:p w14:paraId="282F50B2" w14:textId="75D6F499" w:rsidR="002E1426" w:rsidRPr="002E1426" w:rsidRDefault="001A419E" w:rsidP="002E1426">
      <w:pPr>
        <w:spacing w:after="0" w:line="240" w:lineRule="auto"/>
        <w:rPr>
          <w:rFonts w:cstheme="minorHAnsi"/>
          <w:szCs w:val="24"/>
        </w:rPr>
      </w:pPr>
      <w:bookmarkStart w:id="0" w:name="_Hlk148600659"/>
      <w:r>
        <w:rPr>
          <w:rFonts w:cstheme="minorHAnsi"/>
          <w:szCs w:val="24"/>
        </w:rPr>
        <w:t>*</w:t>
      </w:r>
      <w:r w:rsidR="002E1426" w:rsidRPr="00C822CB">
        <w:rPr>
          <w:rFonts w:cstheme="minorHAnsi"/>
          <w:b/>
          <w:bCs/>
          <w:szCs w:val="24"/>
        </w:rPr>
        <w:t>Please note that the project start date i</w:t>
      </w:r>
      <w:r w:rsidR="00331BF6">
        <w:rPr>
          <w:rFonts w:cstheme="minorHAnsi"/>
          <w:b/>
          <w:bCs/>
          <w:szCs w:val="24"/>
        </w:rPr>
        <w:t>s</w:t>
      </w:r>
      <w:r w:rsidR="002E1426" w:rsidRPr="00C822CB">
        <w:rPr>
          <w:rFonts w:cstheme="minorHAnsi"/>
          <w:b/>
          <w:bCs/>
          <w:szCs w:val="24"/>
        </w:rPr>
        <w:t xml:space="preserve"> an estimated date pending exhibit and contract approval that can take several months.</w:t>
      </w:r>
    </w:p>
    <w:bookmarkEnd w:id="0"/>
    <w:p w14:paraId="515304AD" w14:textId="3A6DE4C4" w:rsidR="005672DE" w:rsidRPr="00F56318" w:rsidRDefault="005672DE" w:rsidP="005672DE">
      <w:pPr>
        <w:spacing w:after="0" w:line="240" w:lineRule="auto"/>
        <w:rPr>
          <w:rFonts w:cstheme="minorHAnsi"/>
          <w:szCs w:val="24"/>
        </w:rPr>
      </w:pPr>
    </w:p>
    <w:p w14:paraId="24EE04A7" w14:textId="351B1933" w:rsidR="005672DE" w:rsidRPr="00125585" w:rsidRDefault="005672DE" w:rsidP="00125585">
      <w:pPr>
        <w:pStyle w:val="ListParagraph"/>
        <w:numPr>
          <w:ilvl w:val="0"/>
          <w:numId w:val="11"/>
        </w:numPr>
        <w:spacing w:after="0"/>
        <w:rPr>
          <w:b/>
        </w:rPr>
      </w:pPr>
      <w:r w:rsidRPr="00125585">
        <w:rPr>
          <w:b/>
          <w:bCs/>
        </w:rPr>
        <w:t xml:space="preserve">The SFP has </w:t>
      </w:r>
      <w:r w:rsidR="00CC019F" w:rsidRPr="00125585">
        <w:rPr>
          <w:b/>
          <w:bCs/>
        </w:rPr>
        <w:t xml:space="preserve">a </w:t>
      </w:r>
      <w:r w:rsidRPr="00125585">
        <w:rPr>
          <w:b/>
          <w:bCs/>
        </w:rPr>
        <w:t>conflicting date for the award notification</w:t>
      </w:r>
      <w:r w:rsidR="00CC019F" w:rsidRPr="00125585">
        <w:rPr>
          <w:b/>
          <w:bCs/>
        </w:rPr>
        <w:t>;</w:t>
      </w:r>
      <w:r w:rsidRPr="00125585">
        <w:rPr>
          <w:b/>
          <w:bCs/>
        </w:rPr>
        <w:t xml:space="preserve"> what is the correct date?</w:t>
      </w:r>
    </w:p>
    <w:p w14:paraId="3CB227CC" w14:textId="77777777" w:rsidR="005672DE" w:rsidRPr="00F56318" w:rsidRDefault="005672DE" w:rsidP="005672DE">
      <w:pPr>
        <w:spacing w:after="0" w:line="240" w:lineRule="auto"/>
        <w:rPr>
          <w:rFonts w:cstheme="minorHAnsi"/>
          <w:szCs w:val="24"/>
        </w:rPr>
      </w:pPr>
    </w:p>
    <w:p w14:paraId="130C2E7D" w14:textId="39A1DFA1" w:rsidR="005672DE" w:rsidRPr="00F56318" w:rsidRDefault="005672DE" w:rsidP="005672DE">
      <w:pPr>
        <w:spacing w:after="0" w:line="240" w:lineRule="auto"/>
        <w:rPr>
          <w:rFonts w:cstheme="minorHAnsi"/>
          <w:szCs w:val="24"/>
        </w:rPr>
      </w:pPr>
      <w:r w:rsidRPr="00F56318">
        <w:rPr>
          <w:rFonts w:cstheme="minorHAnsi"/>
          <w:szCs w:val="24"/>
        </w:rPr>
        <w:t>Page #17 –Section C. Award Notification has a typo in sentence number two:</w:t>
      </w:r>
      <w:r w:rsidR="00DC43BB">
        <w:rPr>
          <w:rFonts w:cstheme="minorHAnsi"/>
          <w:szCs w:val="24"/>
        </w:rPr>
        <w:t xml:space="preserve"> </w:t>
      </w:r>
    </w:p>
    <w:p w14:paraId="55601B72" w14:textId="4DE9976B" w:rsidR="005672DE" w:rsidRPr="00F56318" w:rsidRDefault="005672DE" w:rsidP="005672DE">
      <w:pPr>
        <w:spacing w:after="0" w:line="240" w:lineRule="auto"/>
        <w:rPr>
          <w:rFonts w:cstheme="minorHAnsi"/>
          <w:szCs w:val="24"/>
        </w:rPr>
      </w:pPr>
      <w:r w:rsidRPr="00F56318">
        <w:rPr>
          <w:rFonts w:cstheme="minorHAnsi"/>
          <w:szCs w:val="24"/>
        </w:rPr>
        <w:t xml:space="preserve">Original: </w:t>
      </w:r>
      <w:r w:rsidR="00CC019F" w:rsidRPr="00F56318">
        <w:rPr>
          <w:rFonts w:cstheme="minorHAnsi"/>
          <w:szCs w:val="24"/>
        </w:rPr>
        <w:t>"</w:t>
      </w:r>
      <w:r w:rsidRPr="00F56318">
        <w:rPr>
          <w:rFonts w:cstheme="minorHAnsi"/>
          <w:szCs w:val="24"/>
        </w:rPr>
        <w:t>Award decision notices are anticipated to be mailed by January 2023.</w:t>
      </w:r>
      <w:r w:rsidR="00CC019F" w:rsidRPr="00F56318">
        <w:rPr>
          <w:rFonts w:cstheme="minorHAnsi"/>
          <w:szCs w:val="24"/>
        </w:rPr>
        <w:t>"</w:t>
      </w:r>
      <w:r w:rsidRPr="00F56318">
        <w:rPr>
          <w:rFonts w:cstheme="minorHAnsi"/>
          <w:szCs w:val="24"/>
        </w:rPr>
        <w:t xml:space="preserve"> </w:t>
      </w:r>
    </w:p>
    <w:p w14:paraId="5A0E003F" w14:textId="29F83609" w:rsidR="005672DE" w:rsidRPr="00F56318" w:rsidRDefault="005672DE" w:rsidP="005672DE">
      <w:pPr>
        <w:spacing w:after="0" w:line="240" w:lineRule="auto"/>
        <w:rPr>
          <w:rFonts w:cstheme="minorHAnsi"/>
          <w:szCs w:val="24"/>
        </w:rPr>
      </w:pPr>
      <w:r w:rsidRPr="00F56318">
        <w:rPr>
          <w:rFonts w:cstheme="minorHAnsi"/>
          <w:szCs w:val="24"/>
        </w:rPr>
        <w:t xml:space="preserve">New: </w:t>
      </w:r>
      <w:r w:rsidR="00CC019F" w:rsidRPr="00F56318">
        <w:rPr>
          <w:rFonts w:cstheme="minorHAnsi"/>
          <w:szCs w:val="24"/>
        </w:rPr>
        <w:t>"</w:t>
      </w:r>
      <w:r w:rsidRPr="00F56318">
        <w:rPr>
          <w:rFonts w:cstheme="minorHAnsi"/>
          <w:szCs w:val="24"/>
        </w:rPr>
        <w:t>Award decision notices are anticipated to be mailed by January 2024.</w:t>
      </w:r>
      <w:r w:rsidR="00CC019F" w:rsidRPr="00F56318">
        <w:rPr>
          <w:rFonts w:cstheme="minorHAnsi"/>
          <w:szCs w:val="24"/>
        </w:rPr>
        <w:t>"</w:t>
      </w:r>
    </w:p>
    <w:p w14:paraId="60FE24B7" w14:textId="19AD839F" w:rsidR="005672DE" w:rsidRPr="00F56318" w:rsidRDefault="005672DE" w:rsidP="005672DE">
      <w:pPr>
        <w:spacing w:after="0" w:line="240" w:lineRule="auto"/>
        <w:rPr>
          <w:rFonts w:cstheme="minorHAnsi"/>
          <w:szCs w:val="24"/>
        </w:rPr>
      </w:pPr>
    </w:p>
    <w:p w14:paraId="50A8E9E9" w14:textId="16BE586F" w:rsidR="00E44AF3" w:rsidRPr="00125585" w:rsidRDefault="00E44AF3" w:rsidP="00125585">
      <w:pPr>
        <w:pStyle w:val="ListParagraph"/>
        <w:numPr>
          <w:ilvl w:val="0"/>
          <w:numId w:val="11"/>
        </w:numPr>
        <w:spacing w:after="0"/>
        <w:outlineLvl w:val="0"/>
        <w:rPr>
          <w:rFonts w:cstheme="minorHAnsi"/>
          <w:b/>
          <w:color w:val="000000" w:themeColor="text1"/>
          <w:szCs w:val="24"/>
        </w:rPr>
      </w:pPr>
      <w:r w:rsidRPr="00125585">
        <w:rPr>
          <w:rFonts w:cstheme="minorHAnsi"/>
          <w:b/>
          <w:color w:val="000000" w:themeColor="text1"/>
          <w:szCs w:val="24"/>
        </w:rPr>
        <w:t>The SFP outlines the six sections for Exhibit A: Project Narrative</w:t>
      </w:r>
      <w:r w:rsidR="00DC43BB">
        <w:rPr>
          <w:rFonts w:cstheme="minorHAnsi"/>
          <w:b/>
          <w:color w:val="000000" w:themeColor="text1"/>
          <w:szCs w:val="24"/>
        </w:rPr>
        <w:t>. H</w:t>
      </w:r>
      <w:r w:rsidRPr="00125585">
        <w:rPr>
          <w:rFonts w:cstheme="minorHAnsi"/>
          <w:b/>
          <w:color w:val="000000" w:themeColor="text1"/>
          <w:szCs w:val="24"/>
        </w:rPr>
        <w:t>owever, Exhibit A only has four sections.</w:t>
      </w:r>
      <w:r w:rsidR="00DC43BB">
        <w:rPr>
          <w:rFonts w:cstheme="minorHAnsi"/>
          <w:b/>
          <w:color w:val="000000" w:themeColor="text1"/>
          <w:szCs w:val="24"/>
        </w:rPr>
        <w:t xml:space="preserve"> </w:t>
      </w:r>
      <w:r w:rsidRPr="00125585">
        <w:rPr>
          <w:rFonts w:cstheme="minorHAnsi"/>
          <w:b/>
          <w:color w:val="000000" w:themeColor="text1"/>
          <w:szCs w:val="24"/>
        </w:rPr>
        <w:t>Is there a revised Exhibit A?</w:t>
      </w:r>
    </w:p>
    <w:p w14:paraId="7B227133" w14:textId="77777777" w:rsidR="00E44AF3" w:rsidRPr="00E44AF3" w:rsidRDefault="00E44AF3" w:rsidP="00E44AF3">
      <w:pPr>
        <w:spacing w:after="0" w:line="240" w:lineRule="auto"/>
        <w:rPr>
          <w:rFonts w:cstheme="minorHAnsi"/>
          <w:szCs w:val="24"/>
        </w:rPr>
      </w:pPr>
    </w:p>
    <w:p w14:paraId="735D9E65" w14:textId="780D4626" w:rsidR="00E44AF3" w:rsidRDefault="00E44AF3" w:rsidP="00E44AF3">
      <w:pPr>
        <w:spacing w:after="0" w:line="240" w:lineRule="auto"/>
        <w:rPr>
          <w:rFonts w:cstheme="minorHAnsi"/>
          <w:szCs w:val="24"/>
        </w:rPr>
      </w:pPr>
      <w:r w:rsidRPr="00E44AF3">
        <w:rPr>
          <w:rFonts w:cstheme="minorHAnsi"/>
          <w:szCs w:val="24"/>
        </w:rPr>
        <w:t>SFP Exhibit A-Project Narrative (DOCX) was missing sections of content:</w:t>
      </w:r>
    </w:p>
    <w:p w14:paraId="30491957" w14:textId="77777777" w:rsidR="00DC43BB" w:rsidRPr="00E44AF3" w:rsidRDefault="00DC43BB" w:rsidP="00E44AF3">
      <w:pPr>
        <w:spacing w:after="0" w:line="240" w:lineRule="auto"/>
        <w:rPr>
          <w:rFonts w:cstheme="minorHAnsi"/>
          <w:szCs w:val="24"/>
        </w:rPr>
      </w:pPr>
    </w:p>
    <w:p w14:paraId="6992860B" w14:textId="0D1F44BA" w:rsidR="00E44AF3" w:rsidRPr="00E44AF3" w:rsidRDefault="00E44AF3" w:rsidP="00E44AF3">
      <w:pPr>
        <w:spacing w:after="0" w:line="240" w:lineRule="auto"/>
        <w:rPr>
          <w:rFonts w:cstheme="minorHAnsi"/>
          <w:szCs w:val="24"/>
        </w:rPr>
      </w:pPr>
      <w:r w:rsidRPr="00E44AF3">
        <w:rPr>
          <w:rFonts w:cstheme="minorHAnsi"/>
          <w:szCs w:val="24"/>
        </w:rPr>
        <w:t xml:space="preserve">Original: </w:t>
      </w:r>
      <w:r w:rsidR="00DC43BB">
        <w:rPr>
          <w:rFonts w:cstheme="minorHAnsi"/>
          <w:szCs w:val="24"/>
        </w:rPr>
        <w:t>(</w:t>
      </w:r>
      <w:r w:rsidRPr="00E44AF3">
        <w:rPr>
          <w:rFonts w:cstheme="minorHAnsi"/>
          <w:szCs w:val="24"/>
        </w:rPr>
        <w:t xml:space="preserve">1) Statement of Needs, </w:t>
      </w:r>
      <w:r w:rsidR="00DC43BB">
        <w:rPr>
          <w:rFonts w:cstheme="minorHAnsi"/>
          <w:szCs w:val="24"/>
        </w:rPr>
        <w:t>(</w:t>
      </w:r>
      <w:r w:rsidRPr="00E44AF3">
        <w:rPr>
          <w:rFonts w:cstheme="minorHAnsi"/>
          <w:szCs w:val="24"/>
        </w:rPr>
        <w:t xml:space="preserve">2) Target Group, </w:t>
      </w:r>
      <w:r w:rsidR="00DC43BB">
        <w:rPr>
          <w:rFonts w:cstheme="minorHAnsi"/>
          <w:szCs w:val="24"/>
        </w:rPr>
        <w:t>(</w:t>
      </w:r>
      <w:r w:rsidRPr="00E44AF3">
        <w:rPr>
          <w:rFonts w:cstheme="minorHAnsi"/>
          <w:szCs w:val="24"/>
        </w:rPr>
        <w:t xml:space="preserve">3) Project Plan, </w:t>
      </w:r>
      <w:r w:rsidR="00DC43BB">
        <w:rPr>
          <w:rFonts w:cstheme="minorHAnsi"/>
          <w:szCs w:val="24"/>
        </w:rPr>
        <w:t>(</w:t>
      </w:r>
      <w:r w:rsidRPr="00E44AF3">
        <w:rPr>
          <w:rFonts w:cstheme="minorHAnsi"/>
          <w:szCs w:val="24"/>
        </w:rPr>
        <w:t>4) Performance Goals.</w:t>
      </w:r>
    </w:p>
    <w:p w14:paraId="352D4FDB" w14:textId="77777777" w:rsidR="00E44AF3" w:rsidRPr="00E44AF3" w:rsidRDefault="00E44AF3" w:rsidP="00E44AF3">
      <w:pPr>
        <w:spacing w:after="0" w:line="240" w:lineRule="auto"/>
        <w:rPr>
          <w:rFonts w:cstheme="minorHAnsi"/>
          <w:szCs w:val="24"/>
        </w:rPr>
      </w:pPr>
    </w:p>
    <w:p w14:paraId="265D41B4" w14:textId="4615D5B7" w:rsidR="00E44AF3" w:rsidRPr="00E44AF3" w:rsidRDefault="00E44AF3" w:rsidP="00E44AF3">
      <w:pPr>
        <w:spacing w:after="0" w:line="240" w:lineRule="auto"/>
        <w:rPr>
          <w:rFonts w:cstheme="minorHAnsi"/>
          <w:szCs w:val="24"/>
        </w:rPr>
      </w:pPr>
      <w:r w:rsidRPr="00E44AF3">
        <w:rPr>
          <w:rFonts w:cstheme="minorHAnsi"/>
          <w:szCs w:val="24"/>
        </w:rPr>
        <w:t xml:space="preserve">New: </w:t>
      </w:r>
      <w:bookmarkStart w:id="1" w:name="_Hlk149124371"/>
      <w:r w:rsidR="00DC43BB">
        <w:rPr>
          <w:rFonts w:cstheme="minorHAnsi"/>
          <w:szCs w:val="24"/>
        </w:rPr>
        <w:t>(</w:t>
      </w:r>
      <w:bookmarkEnd w:id="1"/>
      <w:r w:rsidRPr="00E44AF3">
        <w:rPr>
          <w:rFonts w:cstheme="minorHAnsi"/>
          <w:szCs w:val="24"/>
        </w:rPr>
        <w:t xml:space="preserve">1) Statement of Needs, </w:t>
      </w:r>
      <w:r w:rsidR="00DC43BB">
        <w:rPr>
          <w:rFonts w:cstheme="minorHAnsi"/>
          <w:szCs w:val="24"/>
        </w:rPr>
        <w:t>(</w:t>
      </w:r>
      <w:r w:rsidRPr="00E44AF3">
        <w:rPr>
          <w:rFonts w:cstheme="minorHAnsi"/>
          <w:szCs w:val="24"/>
        </w:rPr>
        <w:t xml:space="preserve">2) Target Group, </w:t>
      </w:r>
      <w:r w:rsidR="00DC43BB">
        <w:rPr>
          <w:rFonts w:cstheme="minorHAnsi"/>
          <w:szCs w:val="24"/>
        </w:rPr>
        <w:t>(</w:t>
      </w:r>
      <w:r w:rsidRPr="00E44AF3">
        <w:rPr>
          <w:rFonts w:cstheme="minorHAnsi"/>
          <w:szCs w:val="24"/>
        </w:rPr>
        <w:t xml:space="preserve">3) Project Plan, </w:t>
      </w:r>
      <w:r w:rsidR="00DC43BB">
        <w:rPr>
          <w:rFonts w:cstheme="minorHAnsi"/>
          <w:szCs w:val="24"/>
        </w:rPr>
        <w:t>(</w:t>
      </w:r>
      <w:r w:rsidRPr="00E44AF3">
        <w:rPr>
          <w:rFonts w:cstheme="minorHAnsi"/>
          <w:szCs w:val="24"/>
        </w:rPr>
        <w:t xml:space="preserve">4) Performance Goals, </w:t>
      </w:r>
      <w:r w:rsidR="00DC43BB">
        <w:rPr>
          <w:rFonts w:cstheme="minorHAnsi"/>
          <w:szCs w:val="24"/>
        </w:rPr>
        <w:t>(</w:t>
      </w:r>
      <w:r w:rsidRPr="00E44AF3">
        <w:rPr>
          <w:rFonts w:cstheme="minorHAnsi"/>
          <w:szCs w:val="24"/>
        </w:rPr>
        <w:t xml:space="preserve">5) Partnership and Leveraged Resources, </w:t>
      </w:r>
      <w:r w:rsidR="00DC43BB">
        <w:rPr>
          <w:rFonts w:cstheme="minorHAnsi"/>
          <w:szCs w:val="24"/>
        </w:rPr>
        <w:t>(</w:t>
      </w:r>
      <w:r w:rsidRPr="00E44AF3">
        <w:rPr>
          <w:rFonts w:cstheme="minorHAnsi"/>
          <w:szCs w:val="24"/>
        </w:rPr>
        <w:t xml:space="preserve">6) Statement of Capabilities, and </w:t>
      </w:r>
      <w:r w:rsidR="00DC43BB">
        <w:rPr>
          <w:rFonts w:cstheme="minorHAnsi"/>
          <w:szCs w:val="24"/>
        </w:rPr>
        <w:t>(</w:t>
      </w:r>
      <w:r w:rsidRPr="00E44AF3">
        <w:rPr>
          <w:rFonts w:cstheme="minorHAnsi"/>
          <w:szCs w:val="24"/>
        </w:rPr>
        <w:t>7) Budget Summary Narrative and Plan</w:t>
      </w:r>
      <w:r w:rsidR="00DC43BB">
        <w:rPr>
          <w:rFonts w:cstheme="minorHAnsi"/>
          <w:szCs w:val="24"/>
        </w:rPr>
        <w:t xml:space="preserve">. </w:t>
      </w:r>
      <w:r w:rsidRPr="00E44AF3">
        <w:rPr>
          <w:rFonts w:cstheme="minorHAnsi"/>
          <w:szCs w:val="24"/>
        </w:rPr>
        <w:t>Exhibit A was replaced with a revised form dated 10/4/2023.</w:t>
      </w:r>
    </w:p>
    <w:p w14:paraId="62AE5242" w14:textId="77777777" w:rsidR="00E44AF3" w:rsidRPr="00E44AF3" w:rsidRDefault="00E44AF3" w:rsidP="00E44AF3">
      <w:pPr>
        <w:spacing w:after="0" w:line="240" w:lineRule="auto"/>
        <w:rPr>
          <w:rFonts w:cstheme="minorHAnsi"/>
          <w:szCs w:val="24"/>
        </w:rPr>
      </w:pPr>
    </w:p>
    <w:p w14:paraId="54968CD6" w14:textId="7612504C" w:rsidR="00E44AF3" w:rsidRPr="00125585" w:rsidRDefault="00E44AF3" w:rsidP="00125585">
      <w:pPr>
        <w:pStyle w:val="ListParagraph"/>
        <w:numPr>
          <w:ilvl w:val="0"/>
          <w:numId w:val="11"/>
        </w:numPr>
        <w:spacing w:after="0"/>
        <w:outlineLvl w:val="0"/>
        <w:rPr>
          <w:rFonts w:cstheme="minorHAnsi"/>
          <w:b/>
          <w:color w:val="000000" w:themeColor="text1"/>
          <w:szCs w:val="24"/>
        </w:rPr>
      </w:pPr>
      <w:r w:rsidRPr="00125585">
        <w:rPr>
          <w:rFonts w:cstheme="minorHAnsi"/>
          <w:b/>
          <w:color w:val="000000" w:themeColor="text1"/>
          <w:szCs w:val="24"/>
        </w:rPr>
        <w:t>How does EDD define "At-risk" and "soon-to-be-displaced" workers?</w:t>
      </w:r>
    </w:p>
    <w:p w14:paraId="2EA5C5EF" w14:textId="77777777" w:rsidR="00E44AF3" w:rsidRPr="00E44AF3" w:rsidRDefault="00E44AF3" w:rsidP="00E44AF3">
      <w:pPr>
        <w:spacing w:after="0" w:line="240" w:lineRule="auto"/>
        <w:rPr>
          <w:rFonts w:cstheme="minorHAnsi"/>
          <w:szCs w:val="24"/>
        </w:rPr>
      </w:pPr>
    </w:p>
    <w:p w14:paraId="28A733A6" w14:textId="59E242E2" w:rsidR="00E44AF3" w:rsidRPr="00E44AF3" w:rsidRDefault="00E44AF3" w:rsidP="00E44AF3">
      <w:pPr>
        <w:spacing w:after="0" w:line="240" w:lineRule="auto"/>
        <w:rPr>
          <w:rFonts w:cstheme="minorHAnsi"/>
          <w:szCs w:val="24"/>
        </w:rPr>
      </w:pPr>
      <w:bookmarkStart w:id="2" w:name="_Hlk148601016"/>
      <w:r w:rsidRPr="00E44AF3">
        <w:rPr>
          <w:rFonts w:cstheme="minorHAnsi"/>
          <w:szCs w:val="24"/>
        </w:rPr>
        <w:t>Workers directly engaged in oil or gas extraction and refinement face imminent unemployment due to California</w:t>
      </w:r>
      <w:r w:rsidR="000942B8">
        <w:rPr>
          <w:rFonts w:cstheme="minorHAnsi"/>
          <w:szCs w:val="24"/>
        </w:rPr>
        <w:t>'</w:t>
      </w:r>
      <w:r w:rsidRPr="00E44AF3">
        <w:rPr>
          <w:rFonts w:cstheme="minorHAnsi"/>
          <w:szCs w:val="24"/>
        </w:rPr>
        <w:t>s transition to clean energy.</w:t>
      </w:r>
      <w:r w:rsidR="00DC43BB">
        <w:rPr>
          <w:rFonts w:cstheme="minorHAnsi"/>
          <w:szCs w:val="24"/>
        </w:rPr>
        <w:t xml:space="preserve"> </w:t>
      </w:r>
      <w:r w:rsidRPr="00E44AF3">
        <w:rPr>
          <w:rFonts w:cstheme="minorHAnsi"/>
          <w:szCs w:val="24"/>
        </w:rPr>
        <w:t>Also, workers who can reasonably justify being "at risk" should be eligible if they meet all other eligibility criteria.</w:t>
      </w:r>
    </w:p>
    <w:bookmarkEnd w:id="2"/>
    <w:p w14:paraId="7696A50C" w14:textId="77777777" w:rsidR="00E44AF3" w:rsidRPr="00E44AF3" w:rsidRDefault="00E44AF3" w:rsidP="00E44AF3">
      <w:pPr>
        <w:spacing w:after="0"/>
        <w:outlineLvl w:val="0"/>
        <w:rPr>
          <w:rFonts w:cstheme="minorHAnsi"/>
          <w:b/>
          <w:color w:val="000000" w:themeColor="text1"/>
          <w:szCs w:val="24"/>
        </w:rPr>
      </w:pPr>
    </w:p>
    <w:p w14:paraId="0C46B03A" w14:textId="539F22E0" w:rsidR="00E44AF3" w:rsidRPr="00125585" w:rsidRDefault="00E44AF3" w:rsidP="00125585">
      <w:pPr>
        <w:pStyle w:val="ListParagraph"/>
        <w:numPr>
          <w:ilvl w:val="0"/>
          <w:numId w:val="11"/>
        </w:numPr>
        <w:spacing w:after="0"/>
        <w:outlineLvl w:val="0"/>
        <w:rPr>
          <w:rFonts w:cstheme="minorHAnsi"/>
          <w:b/>
          <w:color w:val="000000" w:themeColor="text1"/>
          <w:szCs w:val="24"/>
        </w:rPr>
      </w:pPr>
      <w:r w:rsidRPr="00125585">
        <w:rPr>
          <w:rFonts w:cstheme="minorHAnsi"/>
          <w:b/>
          <w:color w:val="000000" w:themeColor="text1"/>
          <w:szCs w:val="24"/>
        </w:rPr>
        <w:t>Can we include "at-risk" workers and "soon-to-be displaced" workers in the "Core" group?</w:t>
      </w:r>
    </w:p>
    <w:p w14:paraId="0EE36615" w14:textId="77777777" w:rsidR="00E44AF3" w:rsidRPr="00E44AF3" w:rsidRDefault="00E44AF3" w:rsidP="00E44AF3">
      <w:pPr>
        <w:spacing w:after="0" w:line="240" w:lineRule="auto"/>
        <w:rPr>
          <w:rFonts w:cstheme="minorHAnsi"/>
          <w:szCs w:val="24"/>
        </w:rPr>
      </w:pPr>
    </w:p>
    <w:p w14:paraId="44CFF245" w14:textId="4EB49D5A" w:rsidR="00E44AF3" w:rsidRPr="00E44AF3" w:rsidRDefault="00E44AF3" w:rsidP="00E44AF3">
      <w:pPr>
        <w:spacing w:after="0" w:line="240" w:lineRule="auto"/>
        <w:rPr>
          <w:rFonts w:cstheme="minorHAnsi"/>
          <w:szCs w:val="24"/>
        </w:rPr>
      </w:pPr>
      <w:r w:rsidRPr="00E44AF3">
        <w:rPr>
          <w:rFonts w:cstheme="minorHAnsi"/>
          <w:szCs w:val="24"/>
        </w:rPr>
        <w:t>Yes. Assuming that "at-risk" and "soon-to-be displaced workers are directly engaged in oil or gas extraction and refinement.</w:t>
      </w:r>
    </w:p>
    <w:p w14:paraId="788E1535" w14:textId="77777777" w:rsidR="00E44AF3" w:rsidRPr="00E44AF3" w:rsidRDefault="00E44AF3" w:rsidP="00E44AF3">
      <w:pPr>
        <w:spacing w:after="0" w:line="240" w:lineRule="auto"/>
        <w:rPr>
          <w:rFonts w:cstheme="minorHAnsi"/>
          <w:szCs w:val="24"/>
        </w:rPr>
      </w:pPr>
    </w:p>
    <w:p w14:paraId="7DD091C7" w14:textId="26CC72CD" w:rsidR="00E44AF3" w:rsidRPr="00125585" w:rsidRDefault="00E44AF3" w:rsidP="00DC43BB">
      <w:pPr>
        <w:pStyle w:val="ListParagraph"/>
        <w:numPr>
          <w:ilvl w:val="0"/>
          <w:numId w:val="11"/>
        </w:numPr>
        <w:spacing w:after="0"/>
        <w:outlineLvl w:val="0"/>
        <w:rPr>
          <w:rFonts w:cstheme="minorHAnsi"/>
          <w:b/>
          <w:color w:val="000000" w:themeColor="text1"/>
          <w:szCs w:val="24"/>
        </w:rPr>
      </w:pPr>
      <w:r w:rsidRPr="00125585">
        <w:rPr>
          <w:rFonts w:cstheme="minorHAnsi"/>
          <w:b/>
          <w:color w:val="000000" w:themeColor="text1"/>
          <w:szCs w:val="24"/>
        </w:rPr>
        <w:lastRenderedPageBreak/>
        <w:t>Should staffing and other operational costs of DOGWF programs be factored into the 15k per participant cap?</w:t>
      </w:r>
      <w:r w:rsidR="00DC43BB">
        <w:rPr>
          <w:rFonts w:cstheme="minorHAnsi"/>
          <w:b/>
          <w:color w:val="000000" w:themeColor="text1"/>
          <w:szCs w:val="24"/>
        </w:rPr>
        <w:t xml:space="preserve"> </w:t>
      </w:r>
      <w:r w:rsidRPr="00125585">
        <w:rPr>
          <w:rFonts w:cstheme="minorHAnsi"/>
          <w:b/>
          <w:color w:val="000000" w:themeColor="text1"/>
          <w:szCs w:val="24"/>
        </w:rPr>
        <w:t>Or is that cap intended to cover direct services to participants, e.g., tuition fees, stipends for childcare, etc.?</w:t>
      </w:r>
    </w:p>
    <w:p w14:paraId="4575857D" w14:textId="77777777" w:rsidR="00E44AF3" w:rsidRPr="00E44AF3" w:rsidRDefault="00E44AF3" w:rsidP="00E44AF3">
      <w:pPr>
        <w:spacing w:after="0" w:line="240" w:lineRule="auto"/>
        <w:rPr>
          <w:rFonts w:cstheme="minorHAnsi"/>
          <w:szCs w:val="24"/>
        </w:rPr>
      </w:pPr>
    </w:p>
    <w:p w14:paraId="488EF28A" w14:textId="62D31991" w:rsidR="00E44AF3" w:rsidRPr="00E44AF3" w:rsidRDefault="00E44AF3" w:rsidP="00E44AF3">
      <w:pPr>
        <w:spacing w:after="0" w:line="240" w:lineRule="auto"/>
        <w:rPr>
          <w:rFonts w:ascii="Calibri" w:eastAsia="Calibri" w:hAnsi="Calibri" w:cstheme="minorHAnsi"/>
          <w:color w:val="000000"/>
          <w:szCs w:val="28"/>
        </w:rPr>
      </w:pPr>
      <w:r w:rsidRPr="00E44AF3">
        <w:rPr>
          <w:rFonts w:ascii="Calibri" w:eastAsia="Calibri" w:hAnsi="Calibri" w:cstheme="minorHAnsi"/>
          <w:color w:val="000000"/>
          <w:szCs w:val="28"/>
        </w:rPr>
        <w:t>The cost per participant (CPP) is inclusive of overhead costs.</w:t>
      </w:r>
      <w:r w:rsidR="00DC43BB">
        <w:rPr>
          <w:rFonts w:ascii="Calibri" w:eastAsia="Calibri" w:hAnsi="Calibri" w:cstheme="minorHAnsi"/>
          <w:color w:val="000000"/>
          <w:szCs w:val="28"/>
        </w:rPr>
        <w:t xml:space="preserve"> </w:t>
      </w:r>
      <w:r w:rsidRPr="00E44AF3">
        <w:rPr>
          <w:rFonts w:ascii="Calibri" w:eastAsia="Calibri" w:hAnsi="Calibri" w:cstheme="minorHAnsi"/>
          <w:color w:val="000000"/>
          <w:szCs w:val="28"/>
        </w:rPr>
        <w:t>The CPP is based upon the average cost to serve participants; therefore, a participant receiving more intensive services at a higher cost could be balanced by a participant who receives lower</w:t>
      </w:r>
      <w:r w:rsidR="000942B8">
        <w:rPr>
          <w:rFonts w:ascii="Calibri" w:eastAsia="Calibri" w:hAnsi="Calibri" w:cstheme="minorHAnsi"/>
          <w:color w:val="000000"/>
          <w:szCs w:val="28"/>
        </w:rPr>
        <w:t>-</w:t>
      </w:r>
      <w:r w:rsidRPr="00E44AF3">
        <w:rPr>
          <w:rFonts w:ascii="Calibri" w:eastAsia="Calibri" w:hAnsi="Calibri" w:cstheme="minorHAnsi"/>
          <w:color w:val="000000"/>
          <w:szCs w:val="28"/>
        </w:rPr>
        <w:t>cost, basic services.</w:t>
      </w:r>
    </w:p>
    <w:p w14:paraId="2EFB61B7" w14:textId="77777777" w:rsidR="00E44AF3" w:rsidRPr="00E44AF3" w:rsidRDefault="00E44AF3" w:rsidP="00E44AF3">
      <w:pPr>
        <w:spacing w:after="0" w:line="240" w:lineRule="auto"/>
        <w:rPr>
          <w:rFonts w:cstheme="minorHAnsi"/>
          <w:szCs w:val="24"/>
        </w:rPr>
      </w:pPr>
    </w:p>
    <w:p w14:paraId="7CE06B30" w14:textId="129571B6" w:rsidR="00E44AF3" w:rsidRPr="00125585" w:rsidRDefault="00E44AF3" w:rsidP="00125585">
      <w:pPr>
        <w:pStyle w:val="ListParagraph"/>
        <w:numPr>
          <w:ilvl w:val="0"/>
          <w:numId w:val="11"/>
        </w:numPr>
        <w:spacing w:after="0"/>
        <w:outlineLvl w:val="0"/>
        <w:rPr>
          <w:rFonts w:cstheme="minorHAnsi"/>
          <w:b/>
          <w:color w:val="000000" w:themeColor="text1"/>
          <w:szCs w:val="24"/>
        </w:rPr>
      </w:pPr>
      <w:r w:rsidRPr="00125585">
        <w:rPr>
          <w:rFonts w:cstheme="minorHAnsi"/>
          <w:b/>
          <w:color w:val="000000" w:themeColor="text1"/>
          <w:szCs w:val="24"/>
        </w:rPr>
        <w:t>How do you define "local workforce areas"?</w:t>
      </w:r>
    </w:p>
    <w:p w14:paraId="487D1C1B" w14:textId="77777777" w:rsidR="00E44AF3" w:rsidRPr="00E44AF3" w:rsidRDefault="00E44AF3" w:rsidP="00E44AF3">
      <w:pPr>
        <w:spacing w:after="0" w:line="240" w:lineRule="auto"/>
        <w:rPr>
          <w:rFonts w:cstheme="minorHAnsi"/>
          <w:szCs w:val="24"/>
        </w:rPr>
      </w:pPr>
    </w:p>
    <w:p w14:paraId="02AC0178" w14:textId="3EF6122A" w:rsidR="00E44AF3" w:rsidRPr="00E44AF3" w:rsidRDefault="00E44AF3" w:rsidP="00E44AF3">
      <w:pPr>
        <w:spacing w:after="0" w:line="240" w:lineRule="auto"/>
        <w:rPr>
          <w:rFonts w:cstheme="minorHAnsi"/>
          <w:szCs w:val="24"/>
        </w:rPr>
      </w:pPr>
      <w:r w:rsidRPr="00E44AF3">
        <w:rPr>
          <w:rFonts w:cstheme="minorHAnsi"/>
          <w:szCs w:val="24"/>
        </w:rPr>
        <w:t>The Local Workforce Development Area (LWDA) administers the Workforce Innovation and Opportunity Act (WIOA) services as designated by the Governor.</w:t>
      </w:r>
      <w:r w:rsidR="00DC43BB">
        <w:rPr>
          <w:rFonts w:cstheme="minorHAnsi"/>
          <w:szCs w:val="24"/>
        </w:rPr>
        <w:t xml:space="preserve"> </w:t>
      </w:r>
      <w:r w:rsidRPr="00E44AF3">
        <w:rPr>
          <w:rFonts w:cstheme="minorHAnsi"/>
          <w:szCs w:val="24"/>
        </w:rPr>
        <w:t>Factors considered in selecting these LWDAs include geographic location, population, and commonality of labor market areas.</w:t>
      </w:r>
      <w:r w:rsidR="00DC43BB">
        <w:rPr>
          <w:rFonts w:cstheme="minorHAnsi"/>
          <w:szCs w:val="24"/>
        </w:rPr>
        <w:t xml:space="preserve"> </w:t>
      </w:r>
      <w:r w:rsidRPr="00E44AF3">
        <w:rPr>
          <w:rFonts w:cstheme="minorHAnsi"/>
          <w:szCs w:val="24"/>
        </w:rPr>
        <w:t>The LWDA aims to align workforce development activities and resources with larger regional economic development areas and available resources to provide coordinated and efficient services to job seekers and employers.</w:t>
      </w:r>
    </w:p>
    <w:p w14:paraId="1BC0FAEA" w14:textId="77777777" w:rsidR="00E44AF3" w:rsidRPr="00E44AF3" w:rsidRDefault="00E44AF3" w:rsidP="00E44AF3">
      <w:pPr>
        <w:spacing w:after="0" w:line="240" w:lineRule="auto"/>
        <w:rPr>
          <w:rFonts w:cstheme="minorHAnsi"/>
          <w:szCs w:val="24"/>
        </w:rPr>
      </w:pPr>
    </w:p>
    <w:p w14:paraId="55669DD4" w14:textId="5715C0D0" w:rsidR="00E44AF3" w:rsidRPr="00125585" w:rsidRDefault="00E44AF3" w:rsidP="00125585">
      <w:pPr>
        <w:pStyle w:val="ListParagraph"/>
        <w:numPr>
          <w:ilvl w:val="0"/>
          <w:numId w:val="11"/>
        </w:numPr>
        <w:spacing w:after="0" w:line="240" w:lineRule="auto"/>
        <w:rPr>
          <w:rFonts w:cstheme="minorHAnsi"/>
          <w:b/>
          <w:bCs/>
          <w:szCs w:val="24"/>
        </w:rPr>
      </w:pPr>
      <w:r w:rsidRPr="00125585">
        <w:rPr>
          <w:rFonts w:cstheme="minorHAnsi"/>
          <w:b/>
          <w:bCs/>
          <w:szCs w:val="24"/>
        </w:rPr>
        <w:t>Are workers in chemical facilities that exist alongside oil refineries solely to contribute to the refining process considered core?</w:t>
      </w:r>
    </w:p>
    <w:p w14:paraId="5CC1AF0C" w14:textId="77777777" w:rsidR="00E44AF3" w:rsidRPr="00E44AF3" w:rsidRDefault="00E44AF3" w:rsidP="00E44AF3">
      <w:pPr>
        <w:spacing w:after="0" w:line="240" w:lineRule="auto"/>
        <w:rPr>
          <w:rFonts w:cstheme="minorHAnsi"/>
          <w:szCs w:val="24"/>
        </w:rPr>
      </w:pPr>
    </w:p>
    <w:p w14:paraId="0D6541D2" w14:textId="77777777" w:rsidR="00E44AF3" w:rsidRPr="00E44AF3" w:rsidRDefault="00E44AF3" w:rsidP="00E44AF3">
      <w:pPr>
        <w:spacing w:after="0" w:line="240" w:lineRule="auto"/>
        <w:rPr>
          <w:rFonts w:cstheme="minorHAnsi"/>
          <w:szCs w:val="24"/>
        </w:rPr>
      </w:pPr>
      <w:r w:rsidRPr="00E44AF3">
        <w:rPr>
          <w:rFonts w:cstheme="minorHAnsi"/>
          <w:szCs w:val="24"/>
        </w:rPr>
        <w:t>Yes, the DOGWF program grant services are primarily designed to support two groups: Core Workers, who are directly engaged in oil or gas extraction and refinement, and Core Adjacent Workers, who are in occupations that exist in the oil and gas industry but also have potential in other industries.</w:t>
      </w:r>
    </w:p>
    <w:p w14:paraId="009ABC55" w14:textId="77777777" w:rsidR="00E44AF3" w:rsidRPr="00E44AF3" w:rsidRDefault="00E44AF3" w:rsidP="00E44AF3">
      <w:pPr>
        <w:spacing w:after="0" w:line="240" w:lineRule="auto"/>
        <w:rPr>
          <w:rFonts w:cstheme="minorHAnsi"/>
          <w:szCs w:val="24"/>
        </w:rPr>
      </w:pPr>
    </w:p>
    <w:p w14:paraId="4B37AE58" w14:textId="48AF2821" w:rsidR="00E44AF3" w:rsidRPr="00125585" w:rsidRDefault="00E44AF3" w:rsidP="00125585">
      <w:pPr>
        <w:pStyle w:val="ListParagraph"/>
        <w:numPr>
          <w:ilvl w:val="0"/>
          <w:numId w:val="11"/>
        </w:numPr>
        <w:spacing w:after="0" w:line="240" w:lineRule="auto"/>
        <w:rPr>
          <w:rFonts w:eastAsia="Times New Roman" w:cstheme="minorHAnsi"/>
          <w:b/>
          <w:bCs/>
          <w:color w:val="000000"/>
          <w:szCs w:val="24"/>
        </w:rPr>
      </w:pPr>
      <w:r w:rsidRPr="00125585">
        <w:rPr>
          <w:rFonts w:eastAsia="Times New Roman" w:cstheme="minorHAnsi"/>
          <w:b/>
          <w:bCs/>
          <w:color w:val="000000"/>
          <w:szCs w:val="24"/>
        </w:rPr>
        <w:t>Can frontline oil refinery workers who have been dislocated and currently employed in lower-paying jobs but aspire to return to higher pay be considered among the "Core" group described in the SFP?</w:t>
      </w:r>
    </w:p>
    <w:p w14:paraId="322838EB" w14:textId="77777777" w:rsidR="00E44AF3" w:rsidRPr="00E44AF3" w:rsidRDefault="00E44AF3" w:rsidP="00E44AF3">
      <w:pPr>
        <w:spacing w:after="0" w:line="240" w:lineRule="auto"/>
        <w:rPr>
          <w:rFonts w:eastAsia="Times New Roman" w:cstheme="minorHAnsi"/>
          <w:color w:val="000000"/>
          <w:szCs w:val="24"/>
        </w:rPr>
      </w:pPr>
    </w:p>
    <w:p w14:paraId="4C1C513C" w14:textId="5273F312" w:rsidR="00E44AF3" w:rsidRPr="00E44AF3" w:rsidRDefault="00E44AF3" w:rsidP="00E44AF3">
      <w:pPr>
        <w:spacing w:after="0" w:line="240" w:lineRule="auto"/>
        <w:rPr>
          <w:rFonts w:eastAsia="Times New Roman" w:cstheme="minorHAnsi"/>
          <w:color w:val="000000"/>
          <w:szCs w:val="24"/>
        </w:rPr>
      </w:pPr>
      <w:r w:rsidRPr="00E44AF3">
        <w:rPr>
          <w:rFonts w:eastAsia="Times New Roman" w:cstheme="minorHAnsi"/>
          <w:color w:val="000000"/>
          <w:szCs w:val="24"/>
        </w:rPr>
        <w:t>Yes, the DOGWF program grant services are primarily designed to support two groups: Core Workers, who are directly engaged in oil or gas extraction and refinement, and Core Adjacent Workers, who are in occupations that exist in the oil and gas industry but also have potential in other industries.</w:t>
      </w:r>
      <w:r w:rsidR="00DC43BB">
        <w:rPr>
          <w:rFonts w:eastAsia="Times New Roman" w:cstheme="minorHAnsi"/>
          <w:color w:val="000000"/>
          <w:szCs w:val="24"/>
        </w:rPr>
        <w:t xml:space="preserve"> </w:t>
      </w:r>
      <w:r w:rsidRPr="00E44AF3">
        <w:rPr>
          <w:rFonts w:eastAsia="Times New Roman" w:cstheme="minorHAnsi"/>
          <w:color w:val="000000"/>
          <w:szCs w:val="24"/>
        </w:rPr>
        <w:t>Under-employed workers dislocated from the industry would also be eligible for the grant, assuming they meet all other eligibility requirements.</w:t>
      </w:r>
    </w:p>
    <w:p w14:paraId="250B38D9" w14:textId="77777777" w:rsidR="00E44AF3" w:rsidRPr="00E44AF3" w:rsidRDefault="00E44AF3" w:rsidP="00E44AF3">
      <w:pPr>
        <w:spacing w:after="0" w:line="240" w:lineRule="auto"/>
        <w:rPr>
          <w:rFonts w:eastAsia="Times New Roman" w:cstheme="minorHAnsi"/>
          <w:color w:val="000000"/>
          <w:szCs w:val="24"/>
        </w:rPr>
      </w:pPr>
    </w:p>
    <w:p w14:paraId="3A909794" w14:textId="63BAA4B5" w:rsidR="00E44AF3" w:rsidRPr="00125585" w:rsidRDefault="00E44AF3" w:rsidP="00125585">
      <w:pPr>
        <w:pStyle w:val="ListParagraph"/>
        <w:numPr>
          <w:ilvl w:val="0"/>
          <w:numId w:val="11"/>
        </w:numPr>
        <w:spacing w:after="0" w:line="240" w:lineRule="auto"/>
        <w:rPr>
          <w:rFonts w:eastAsia="Times New Roman" w:cstheme="minorHAnsi"/>
          <w:b/>
          <w:bCs/>
          <w:color w:val="000000"/>
          <w:szCs w:val="24"/>
        </w:rPr>
      </w:pPr>
      <w:bookmarkStart w:id="3" w:name="_Hlk147919683"/>
      <w:r w:rsidRPr="00125585">
        <w:rPr>
          <w:rFonts w:eastAsia="Times New Roman" w:cstheme="minorHAnsi"/>
          <w:b/>
          <w:bCs/>
          <w:color w:val="000000"/>
          <w:szCs w:val="24"/>
        </w:rPr>
        <w:t>Do local case managers have the discretion to recommend exceeding the encouraged $15,000 per worker level of support in the case of acute layoff impacts?</w:t>
      </w:r>
      <w:r w:rsidR="00DC43BB">
        <w:rPr>
          <w:rFonts w:eastAsia="Times New Roman" w:cstheme="minorHAnsi"/>
          <w:b/>
          <w:bCs/>
          <w:color w:val="000000"/>
          <w:szCs w:val="24"/>
        </w:rPr>
        <w:t xml:space="preserve"> </w:t>
      </w:r>
      <w:r w:rsidRPr="00125585">
        <w:rPr>
          <w:rFonts w:eastAsia="Times New Roman" w:cstheme="minorHAnsi"/>
          <w:b/>
          <w:bCs/>
          <w:color w:val="000000"/>
          <w:szCs w:val="24"/>
        </w:rPr>
        <w:t>And in such cases, can resources extend beyond those connected to training and job search support and include, for example, support for housing, medical care, childcare, etc.?</w:t>
      </w:r>
    </w:p>
    <w:bookmarkEnd w:id="3"/>
    <w:p w14:paraId="5813CBD3" w14:textId="77777777" w:rsidR="00E44AF3" w:rsidRPr="00E44AF3" w:rsidRDefault="00E44AF3" w:rsidP="00E44AF3">
      <w:pPr>
        <w:spacing w:after="0" w:line="240" w:lineRule="auto"/>
        <w:rPr>
          <w:rFonts w:eastAsia="Times New Roman" w:cstheme="minorHAnsi"/>
          <w:color w:val="000000"/>
          <w:szCs w:val="24"/>
        </w:rPr>
      </w:pPr>
    </w:p>
    <w:p w14:paraId="0A7F4D4D" w14:textId="09C00D9B" w:rsidR="00E44AF3" w:rsidRPr="00E44AF3" w:rsidRDefault="00E44AF3" w:rsidP="00E44AF3">
      <w:pPr>
        <w:spacing w:after="0" w:line="240" w:lineRule="auto"/>
        <w:rPr>
          <w:rFonts w:ascii="Calibri" w:eastAsia="Calibri" w:hAnsi="Calibri" w:cs="Calibri"/>
          <w:color w:val="000000"/>
          <w:szCs w:val="24"/>
        </w:rPr>
      </w:pPr>
      <w:bookmarkStart w:id="4" w:name="_Hlk148601316"/>
      <w:r w:rsidRPr="00E44AF3">
        <w:rPr>
          <w:rFonts w:ascii="Calibri" w:eastAsia="Calibri" w:hAnsi="Calibri" w:cs="Calibri"/>
          <w:color w:val="000000"/>
          <w:szCs w:val="24"/>
        </w:rPr>
        <w:t>Yes, a local determination can be made to exceed the CPP for an individual</w:t>
      </w:r>
      <w:r w:rsidR="00DC43BB">
        <w:rPr>
          <w:rFonts w:ascii="Calibri" w:eastAsia="Calibri" w:hAnsi="Calibri" w:cs="Calibri"/>
          <w:color w:val="000000"/>
          <w:szCs w:val="24"/>
        </w:rPr>
        <w:t>.</w:t>
      </w:r>
      <w:r w:rsidRPr="00E44AF3">
        <w:rPr>
          <w:rFonts w:ascii="Calibri" w:eastAsia="Calibri" w:hAnsi="Calibri" w:cs="Calibri"/>
          <w:color w:val="000000"/>
          <w:szCs w:val="24"/>
        </w:rPr>
        <w:t xml:space="preserve"> </w:t>
      </w:r>
      <w:r w:rsidR="00DC43BB">
        <w:rPr>
          <w:rFonts w:ascii="Calibri" w:eastAsia="Calibri" w:hAnsi="Calibri" w:cs="Calibri"/>
          <w:color w:val="000000"/>
          <w:szCs w:val="24"/>
        </w:rPr>
        <w:t>H</w:t>
      </w:r>
      <w:r w:rsidRPr="00E44AF3">
        <w:rPr>
          <w:rFonts w:ascii="Calibri" w:eastAsia="Calibri" w:hAnsi="Calibri" w:cs="Calibri"/>
          <w:color w:val="000000"/>
          <w:szCs w:val="24"/>
        </w:rPr>
        <w:t>owever, approval from EDD would be necessary to exceed the average $15,000 CPP.</w:t>
      </w:r>
      <w:r w:rsidR="00DC43BB">
        <w:rPr>
          <w:rFonts w:ascii="Calibri" w:eastAsia="Calibri" w:hAnsi="Calibri" w:cs="Calibri"/>
          <w:color w:val="000000"/>
          <w:szCs w:val="24"/>
        </w:rPr>
        <w:t xml:space="preserve"> </w:t>
      </w:r>
      <w:r w:rsidRPr="00E44AF3">
        <w:rPr>
          <w:rFonts w:ascii="Calibri" w:eastAsia="Calibri" w:hAnsi="Calibri" w:cs="Calibri"/>
          <w:color w:val="000000"/>
          <w:szCs w:val="24"/>
        </w:rPr>
        <w:t>Grantees must contact their EDD project manager for approval to exceed the $15,000 CPP average and provide thorough justification for the increased cost.</w:t>
      </w:r>
      <w:r w:rsidR="00DC43BB">
        <w:rPr>
          <w:rFonts w:ascii="Calibri" w:eastAsia="Calibri" w:hAnsi="Calibri" w:cs="Calibri"/>
          <w:color w:val="000000"/>
          <w:szCs w:val="24"/>
        </w:rPr>
        <w:t xml:space="preserve"> </w:t>
      </w:r>
      <w:r w:rsidRPr="00E44AF3">
        <w:rPr>
          <w:rFonts w:ascii="Calibri" w:eastAsia="Calibri" w:hAnsi="Calibri" w:cs="Calibri"/>
          <w:color w:val="000000"/>
          <w:szCs w:val="24"/>
        </w:rPr>
        <w:t>EDD reserves the right to adjust this funding cap based on recruitment trends and the evolving needs of workers.</w:t>
      </w:r>
      <w:r w:rsidR="00DC43BB">
        <w:rPr>
          <w:rFonts w:ascii="Calibri" w:eastAsia="Calibri" w:hAnsi="Calibri" w:cs="Calibri"/>
          <w:color w:val="000000"/>
          <w:szCs w:val="24"/>
        </w:rPr>
        <w:t xml:space="preserve"> </w:t>
      </w:r>
      <w:r w:rsidRPr="00E44AF3">
        <w:rPr>
          <w:rFonts w:ascii="Calibri" w:eastAsia="Calibri" w:hAnsi="Calibri" w:cs="Calibri"/>
          <w:color w:val="000000"/>
          <w:szCs w:val="24"/>
        </w:rPr>
        <w:t>This approach aligns with the program's overarching goals of delivering targeted, effective support to those most in need.</w:t>
      </w:r>
      <w:r w:rsidR="00DC43BB">
        <w:rPr>
          <w:rFonts w:ascii="Calibri" w:eastAsia="Calibri" w:hAnsi="Calibri" w:cs="Calibri"/>
          <w:color w:val="000000"/>
          <w:szCs w:val="24"/>
        </w:rPr>
        <w:t xml:space="preserve"> </w:t>
      </w:r>
      <w:r w:rsidRPr="00E44AF3">
        <w:rPr>
          <w:rFonts w:ascii="Calibri" w:eastAsia="Calibri" w:hAnsi="Calibri" w:cs="Calibri"/>
          <w:color w:val="000000"/>
          <w:szCs w:val="24"/>
        </w:rPr>
        <w:t xml:space="preserve">For example, a participant who receives more </w:t>
      </w:r>
      <w:r w:rsidRPr="00E44AF3">
        <w:rPr>
          <w:rFonts w:ascii="Calibri" w:eastAsia="Calibri" w:hAnsi="Calibri" w:cs="Calibri"/>
          <w:color w:val="000000"/>
          <w:szCs w:val="24"/>
        </w:rPr>
        <w:lastRenderedPageBreak/>
        <w:t xml:space="preserve">intensive services and costs more is balanced by another </w:t>
      </w:r>
      <w:r w:rsidR="000942B8">
        <w:rPr>
          <w:rFonts w:ascii="Calibri" w:eastAsia="Calibri" w:hAnsi="Calibri" w:cs="Calibri"/>
          <w:color w:val="000000"/>
          <w:szCs w:val="24"/>
        </w:rPr>
        <w:t>who</w:t>
      </w:r>
      <w:r w:rsidRPr="00E44AF3">
        <w:rPr>
          <w:rFonts w:ascii="Calibri" w:eastAsia="Calibri" w:hAnsi="Calibri" w:cs="Calibri"/>
          <w:color w:val="000000"/>
          <w:szCs w:val="24"/>
        </w:rPr>
        <w:t xml:space="preserve"> only needs basic services to become re</w:t>
      </w:r>
      <w:r w:rsidR="000942B8">
        <w:rPr>
          <w:rFonts w:ascii="Calibri" w:eastAsia="Calibri" w:hAnsi="Calibri" w:cs="Calibri"/>
          <w:color w:val="000000"/>
          <w:szCs w:val="24"/>
        </w:rPr>
        <w:t>-</w:t>
      </w:r>
      <w:r w:rsidRPr="00E44AF3">
        <w:rPr>
          <w:rFonts w:ascii="Calibri" w:eastAsia="Calibri" w:hAnsi="Calibri" w:cs="Calibri"/>
          <w:color w:val="000000"/>
          <w:szCs w:val="24"/>
        </w:rPr>
        <w:t>employed.</w:t>
      </w:r>
    </w:p>
    <w:p w14:paraId="50C528D0" w14:textId="77777777" w:rsidR="00E44AF3" w:rsidRPr="00E44AF3" w:rsidRDefault="00E44AF3" w:rsidP="00E44AF3">
      <w:pPr>
        <w:spacing w:after="0" w:line="240" w:lineRule="auto"/>
        <w:rPr>
          <w:rFonts w:ascii="Calibri" w:eastAsia="Calibri" w:hAnsi="Calibri" w:cs="Calibri"/>
          <w:color w:val="000000"/>
          <w:szCs w:val="24"/>
        </w:rPr>
      </w:pPr>
    </w:p>
    <w:p w14:paraId="36BB82FD" w14:textId="36E961DD" w:rsidR="00E44AF3" w:rsidRPr="00E44AF3" w:rsidRDefault="00E44AF3" w:rsidP="00E44AF3">
      <w:pPr>
        <w:spacing w:after="0" w:line="240" w:lineRule="auto"/>
        <w:rPr>
          <w:rFonts w:ascii="Calibri" w:eastAsia="Calibri" w:hAnsi="Calibri" w:cs="Calibri"/>
          <w:color w:val="000000"/>
          <w:szCs w:val="24"/>
        </w:rPr>
      </w:pPr>
      <w:r w:rsidRPr="00E44AF3">
        <w:rPr>
          <w:rFonts w:ascii="Calibri" w:eastAsia="Calibri" w:hAnsi="Calibri" w:cs="Calibri"/>
          <w:color w:val="000000"/>
          <w:szCs w:val="24"/>
        </w:rPr>
        <w:t>Financial stipends for living expenses may be provided to trainees while they are engaged in training programs</w:t>
      </w:r>
      <w:r w:rsidR="000942B8">
        <w:rPr>
          <w:rFonts w:ascii="Calibri" w:eastAsia="Calibri" w:hAnsi="Calibri" w:cs="Calibri"/>
          <w:color w:val="000000"/>
          <w:szCs w:val="24"/>
        </w:rPr>
        <w:t>,</w:t>
      </w:r>
      <w:r w:rsidRPr="00E44AF3">
        <w:rPr>
          <w:rFonts w:ascii="Calibri" w:eastAsia="Calibri" w:hAnsi="Calibri" w:cs="Calibri"/>
          <w:color w:val="000000"/>
          <w:szCs w:val="24"/>
        </w:rPr>
        <w:t xml:space="preserve"> and incentive programs can be developed for job search activities, further facilitating participants</w:t>
      </w:r>
      <w:r w:rsidR="000942B8">
        <w:rPr>
          <w:rFonts w:ascii="Calibri" w:eastAsia="Calibri" w:hAnsi="Calibri" w:cs="Calibri"/>
          <w:color w:val="000000"/>
          <w:szCs w:val="24"/>
        </w:rPr>
        <w:t>'</w:t>
      </w:r>
      <w:r w:rsidRPr="00E44AF3">
        <w:rPr>
          <w:rFonts w:ascii="Calibri" w:eastAsia="Calibri" w:hAnsi="Calibri" w:cs="Calibri"/>
          <w:color w:val="000000"/>
          <w:szCs w:val="24"/>
        </w:rPr>
        <w:t xml:space="preserve"> successful re-employment.</w:t>
      </w:r>
      <w:r w:rsidR="00DC43BB">
        <w:rPr>
          <w:rFonts w:ascii="Calibri" w:eastAsia="Calibri" w:hAnsi="Calibri" w:cs="Calibri"/>
          <w:color w:val="000000"/>
          <w:szCs w:val="24"/>
        </w:rPr>
        <w:t xml:space="preserve"> </w:t>
      </w:r>
      <w:r w:rsidRPr="00E44AF3">
        <w:rPr>
          <w:rFonts w:ascii="Calibri" w:eastAsia="Calibri" w:hAnsi="Calibri" w:cs="Calibri"/>
          <w:color w:val="000000"/>
          <w:szCs w:val="24"/>
        </w:rPr>
        <w:t>Additional supportive services are allowable to support participants taking part in career and/or training services.</w:t>
      </w:r>
    </w:p>
    <w:bookmarkEnd w:id="4"/>
    <w:p w14:paraId="529CEC11" w14:textId="77777777" w:rsidR="00E44AF3" w:rsidRPr="00E44AF3" w:rsidRDefault="00E44AF3" w:rsidP="00E44AF3">
      <w:pPr>
        <w:spacing w:after="0" w:line="240" w:lineRule="auto"/>
        <w:rPr>
          <w:rFonts w:cstheme="minorHAnsi"/>
          <w:szCs w:val="24"/>
        </w:rPr>
      </w:pPr>
    </w:p>
    <w:p w14:paraId="03C4EA6E" w14:textId="32FAD971" w:rsidR="00E44AF3" w:rsidRPr="00125585" w:rsidRDefault="00E44AF3" w:rsidP="00125585">
      <w:pPr>
        <w:pStyle w:val="ListParagraph"/>
        <w:numPr>
          <w:ilvl w:val="0"/>
          <w:numId w:val="11"/>
        </w:numPr>
        <w:spacing w:after="0"/>
        <w:outlineLvl w:val="0"/>
        <w:rPr>
          <w:rFonts w:cstheme="minorHAnsi"/>
          <w:b/>
          <w:color w:val="000000" w:themeColor="text1"/>
          <w:szCs w:val="24"/>
        </w:rPr>
      </w:pPr>
      <w:r w:rsidRPr="00125585">
        <w:rPr>
          <w:rFonts w:cstheme="minorHAnsi"/>
          <w:b/>
          <w:color w:val="000000" w:themeColor="text1"/>
          <w:szCs w:val="24"/>
        </w:rPr>
        <w:t>Can you advise applicants about how to prepare proposals so they will have the flexibility to respond to future acute layoff events that are yet unknown but that may occur during the grant period?</w:t>
      </w:r>
    </w:p>
    <w:p w14:paraId="11ED1188" w14:textId="77777777" w:rsidR="00125585" w:rsidRPr="00E44AF3" w:rsidRDefault="00125585" w:rsidP="00E44AF3">
      <w:pPr>
        <w:spacing w:after="0"/>
        <w:outlineLvl w:val="0"/>
        <w:rPr>
          <w:rFonts w:cstheme="minorHAnsi"/>
          <w:b/>
          <w:color w:val="000000" w:themeColor="text1"/>
          <w:szCs w:val="24"/>
        </w:rPr>
      </w:pPr>
    </w:p>
    <w:p w14:paraId="38512D5E" w14:textId="301BD5A1" w:rsidR="00E44AF3" w:rsidRDefault="00E44AF3" w:rsidP="00125585">
      <w:pPr>
        <w:spacing w:after="0"/>
        <w:rPr>
          <w:rFonts w:cstheme="minorHAnsi"/>
          <w:szCs w:val="24"/>
        </w:rPr>
      </w:pPr>
      <w:bookmarkStart w:id="5" w:name="_Hlk148601884"/>
      <w:r w:rsidRPr="00E44AF3">
        <w:rPr>
          <w:rFonts w:cstheme="minorHAnsi"/>
          <w:szCs w:val="24"/>
        </w:rPr>
        <w:t>Proposals should demonstrate a need for grant funding to meet the current and/or anticipated demand to serve workers already displaced and/or projected to be displaced by California</w:t>
      </w:r>
      <w:r w:rsidR="000942B8">
        <w:rPr>
          <w:rFonts w:cstheme="minorHAnsi"/>
          <w:szCs w:val="24"/>
        </w:rPr>
        <w:t>'</w:t>
      </w:r>
      <w:r w:rsidRPr="00E44AF3">
        <w:rPr>
          <w:rFonts w:cstheme="minorHAnsi"/>
          <w:szCs w:val="24"/>
        </w:rPr>
        <w:t>s transition to clean energy.</w:t>
      </w:r>
      <w:r w:rsidR="00DC43BB">
        <w:rPr>
          <w:rFonts w:cstheme="minorHAnsi"/>
          <w:szCs w:val="24"/>
        </w:rPr>
        <w:t xml:space="preserve"> </w:t>
      </w:r>
      <w:r w:rsidRPr="00E44AF3">
        <w:rPr>
          <w:rFonts w:cstheme="minorHAnsi"/>
          <w:szCs w:val="24"/>
        </w:rPr>
        <w:t>A proposal can identify dislocations that have already occurred, as well as others that may take place within the period of performance.</w:t>
      </w:r>
    </w:p>
    <w:p w14:paraId="0CB88D4C" w14:textId="77777777" w:rsidR="00125585" w:rsidRPr="00E44AF3" w:rsidRDefault="00125585" w:rsidP="00125585">
      <w:pPr>
        <w:spacing w:after="0"/>
        <w:rPr>
          <w:rFonts w:cstheme="minorHAnsi"/>
          <w:szCs w:val="24"/>
        </w:rPr>
      </w:pPr>
    </w:p>
    <w:bookmarkEnd w:id="5"/>
    <w:p w14:paraId="28F2AB8C" w14:textId="3DBF2414" w:rsidR="00E44AF3" w:rsidRPr="00AB0A87" w:rsidRDefault="00E44AF3" w:rsidP="00AB0A87">
      <w:pPr>
        <w:pStyle w:val="ListParagraph"/>
        <w:numPr>
          <w:ilvl w:val="0"/>
          <w:numId w:val="11"/>
        </w:numPr>
        <w:spacing w:after="0"/>
        <w:outlineLvl w:val="0"/>
        <w:rPr>
          <w:rFonts w:cstheme="minorHAnsi"/>
          <w:b/>
          <w:color w:val="000000" w:themeColor="text1"/>
          <w:szCs w:val="24"/>
        </w:rPr>
      </w:pPr>
      <w:r w:rsidRPr="00AB0A87">
        <w:rPr>
          <w:rFonts w:cstheme="minorHAnsi"/>
          <w:b/>
          <w:color w:val="000000" w:themeColor="text1"/>
          <w:szCs w:val="24"/>
        </w:rPr>
        <w:t>Is the limit of $15,000 per worker for budget development, or is there a reporting/accounting requirement?</w:t>
      </w:r>
    </w:p>
    <w:p w14:paraId="00ABD44F" w14:textId="77777777" w:rsidR="00E44AF3" w:rsidRPr="00E44AF3" w:rsidRDefault="00E44AF3" w:rsidP="00125585">
      <w:pPr>
        <w:spacing w:after="0"/>
        <w:rPr>
          <w:rFonts w:cstheme="minorHAnsi"/>
          <w:szCs w:val="24"/>
        </w:rPr>
      </w:pPr>
    </w:p>
    <w:p w14:paraId="5AFC81E3" w14:textId="5D6C1AB5" w:rsidR="00E44AF3" w:rsidRPr="00E44AF3" w:rsidRDefault="00E44AF3" w:rsidP="00E44AF3">
      <w:pPr>
        <w:spacing w:after="0"/>
        <w:outlineLvl w:val="0"/>
        <w:rPr>
          <w:rFonts w:cstheme="minorHAnsi"/>
          <w:szCs w:val="24"/>
        </w:rPr>
      </w:pPr>
      <w:bookmarkStart w:id="6" w:name="_Hlk148601859"/>
      <w:r w:rsidRPr="00E44AF3">
        <w:rPr>
          <w:rFonts w:cstheme="minorHAnsi"/>
          <w:szCs w:val="24"/>
        </w:rPr>
        <w:t>Th</w:t>
      </w:r>
      <w:r w:rsidR="000942B8">
        <w:rPr>
          <w:rFonts w:cstheme="minorHAnsi"/>
          <w:szCs w:val="24"/>
        </w:rPr>
        <w:t>e applicant should use this limi</w:t>
      </w:r>
      <w:r w:rsidRPr="00E44AF3">
        <w:rPr>
          <w:rFonts w:cstheme="minorHAnsi"/>
          <w:szCs w:val="24"/>
        </w:rPr>
        <w:t>t to determine funding requests and for budget development that includes projected participants at a cost-per-participant cap of $15,000, other performance measures, and factors specific to the service area, target population, and reasonable costs for proposed services.</w:t>
      </w:r>
      <w:r w:rsidR="00DC43BB">
        <w:rPr>
          <w:rFonts w:cstheme="minorHAnsi"/>
          <w:szCs w:val="24"/>
        </w:rPr>
        <w:t xml:space="preserve"> </w:t>
      </w:r>
      <w:r w:rsidRPr="00E44AF3">
        <w:rPr>
          <w:rFonts w:cstheme="minorHAnsi"/>
          <w:szCs w:val="24"/>
        </w:rPr>
        <w:t>Also, grant expenditures will be monitored throughout the period of performance (POP).</w:t>
      </w:r>
    </w:p>
    <w:bookmarkEnd w:id="6"/>
    <w:p w14:paraId="0A8E9C9B" w14:textId="77777777" w:rsidR="00E44AF3" w:rsidRPr="00E44AF3" w:rsidRDefault="00E44AF3" w:rsidP="00E44AF3">
      <w:pPr>
        <w:spacing w:after="0"/>
        <w:outlineLvl w:val="0"/>
        <w:rPr>
          <w:rFonts w:cstheme="minorHAnsi"/>
          <w:szCs w:val="24"/>
        </w:rPr>
      </w:pPr>
    </w:p>
    <w:p w14:paraId="1C1A9571" w14:textId="2B87B57F" w:rsidR="00E44AF3" w:rsidRPr="00AB0A87" w:rsidRDefault="00E44AF3" w:rsidP="00AB0A87">
      <w:pPr>
        <w:pStyle w:val="ListParagraph"/>
        <w:numPr>
          <w:ilvl w:val="0"/>
          <w:numId w:val="11"/>
        </w:numPr>
        <w:spacing w:after="0"/>
        <w:outlineLvl w:val="0"/>
        <w:rPr>
          <w:rFonts w:cstheme="minorHAnsi"/>
          <w:b/>
          <w:color w:val="000000" w:themeColor="text1"/>
          <w:szCs w:val="24"/>
        </w:rPr>
      </w:pPr>
      <w:r w:rsidRPr="00AB0A87">
        <w:rPr>
          <w:rFonts w:cstheme="minorHAnsi"/>
          <w:b/>
          <w:color w:val="000000" w:themeColor="text1"/>
          <w:szCs w:val="24"/>
        </w:rPr>
        <w:t>What are the ramifications if an applicant is awarded money not spent at the end of 33 months?</w:t>
      </w:r>
      <w:r w:rsidR="00DC43BB">
        <w:rPr>
          <w:rFonts w:cstheme="minorHAnsi"/>
          <w:b/>
          <w:color w:val="000000" w:themeColor="text1"/>
          <w:szCs w:val="24"/>
        </w:rPr>
        <w:t xml:space="preserve"> </w:t>
      </w:r>
      <w:r w:rsidRPr="00AB0A87">
        <w:rPr>
          <w:rFonts w:cstheme="minorHAnsi"/>
          <w:b/>
          <w:color w:val="000000" w:themeColor="text1"/>
          <w:szCs w:val="24"/>
        </w:rPr>
        <w:t>Anything other than returning unspent funds?</w:t>
      </w:r>
    </w:p>
    <w:p w14:paraId="42E3CD31" w14:textId="77777777" w:rsidR="00E44AF3" w:rsidRPr="00E44AF3" w:rsidRDefault="00E44AF3" w:rsidP="00125585">
      <w:pPr>
        <w:spacing w:after="0"/>
        <w:rPr>
          <w:rFonts w:cstheme="minorHAnsi"/>
          <w:szCs w:val="24"/>
        </w:rPr>
      </w:pPr>
    </w:p>
    <w:p w14:paraId="3843B308" w14:textId="5F5C8029" w:rsidR="00E44AF3" w:rsidRDefault="00E44AF3" w:rsidP="00E44AF3">
      <w:pPr>
        <w:spacing w:after="0"/>
        <w:outlineLvl w:val="0"/>
        <w:rPr>
          <w:rFonts w:cstheme="minorHAnsi"/>
          <w:szCs w:val="24"/>
        </w:rPr>
      </w:pPr>
      <w:r w:rsidRPr="00E44AF3">
        <w:rPr>
          <w:rFonts w:cstheme="minorHAnsi"/>
          <w:szCs w:val="24"/>
        </w:rPr>
        <w:t>Grantees should make every effort to spend awarded funds within the period of performance and serve their proposed number of participants.</w:t>
      </w:r>
      <w:r w:rsidR="00DC43BB">
        <w:rPr>
          <w:rFonts w:cstheme="minorHAnsi"/>
          <w:szCs w:val="24"/>
        </w:rPr>
        <w:t xml:space="preserve"> </w:t>
      </w:r>
      <w:r w:rsidRPr="00E44AF3">
        <w:rPr>
          <w:rFonts w:cstheme="minorHAnsi"/>
          <w:szCs w:val="24"/>
        </w:rPr>
        <w:t>EDD reserves the right to reduce the award if all performance improvement efforts have been exhausted.</w:t>
      </w:r>
      <w:r w:rsidR="00DC43BB">
        <w:rPr>
          <w:rFonts w:cstheme="minorHAnsi"/>
          <w:szCs w:val="24"/>
        </w:rPr>
        <w:t xml:space="preserve"> </w:t>
      </w:r>
      <w:r w:rsidRPr="00E44AF3">
        <w:rPr>
          <w:rFonts w:cstheme="minorHAnsi"/>
          <w:szCs w:val="24"/>
        </w:rPr>
        <w:t>Amendment extensions beyond December 31, 2026, are subject to DOGWF legislative changes and final approval from the EDD.</w:t>
      </w:r>
    </w:p>
    <w:p w14:paraId="183818C5" w14:textId="77777777" w:rsidR="00E44AF3" w:rsidRPr="00E44AF3" w:rsidRDefault="00E44AF3" w:rsidP="00E44AF3">
      <w:pPr>
        <w:spacing w:after="0"/>
        <w:outlineLvl w:val="0"/>
        <w:rPr>
          <w:rFonts w:cstheme="minorHAnsi"/>
          <w:szCs w:val="24"/>
        </w:rPr>
      </w:pPr>
    </w:p>
    <w:p w14:paraId="3B1AEF65" w14:textId="6D3FBFD4" w:rsidR="00E44AF3" w:rsidRPr="00AB0A87" w:rsidRDefault="00E44AF3" w:rsidP="00AB0A87">
      <w:pPr>
        <w:pStyle w:val="ListParagraph"/>
        <w:numPr>
          <w:ilvl w:val="0"/>
          <w:numId w:val="11"/>
        </w:numPr>
        <w:spacing w:after="0"/>
        <w:outlineLvl w:val="0"/>
        <w:rPr>
          <w:rFonts w:cstheme="minorHAnsi"/>
          <w:b/>
          <w:color w:val="000000" w:themeColor="text1"/>
          <w:szCs w:val="24"/>
        </w:rPr>
      </w:pPr>
      <w:r w:rsidRPr="00AB0A87">
        <w:rPr>
          <w:rFonts w:cstheme="minorHAnsi"/>
          <w:b/>
          <w:color w:val="000000" w:themeColor="text1"/>
          <w:szCs w:val="24"/>
        </w:rPr>
        <w:t>Does the program allow for retroactive pay for staffing if an applicant were to start 60-90 days before the estimated project start date of June 2024?</w:t>
      </w:r>
      <w:r w:rsidR="00DC43BB">
        <w:rPr>
          <w:rFonts w:cstheme="minorHAnsi"/>
          <w:b/>
          <w:color w:val="000000" w:themeColor="text1"/>
          <w:szCs w:val="24"/>
        </w:rPr>
        <w:t xml:space="preserve"> </w:t>
      </w:r>
      <w:r w:rsidRPr="00AB0A87">
        <w:rPr>
          <w:rFonts w:cstheme="minorHAnsi"/>
          <w:b/>
          <w:color w:val="000000" w:themeColor="text1"/>
          <w:szCs w:val="24"/>
        </w:rPr>
        <w:t>Or would an applicant need to find additional funding if staff were brought on before June?</w:t>
      </w:r>
    </w:p>
    <w:p w14:paraId="135EC784" w14:textId="77777777" w:rsidR="00E44AF3" w:rsidRPr="00E44AF3" w:rsidRDefault="00E44AF3" w:rsidP="00125585">
      <w:pPr>
        <w:spacing w:after="0"/>
        <w:rPr>
          <w:rFonts w:cstheme="minorHAnsi"/>
          <w:szCs w:val="24"/>
        </w:rPr>
      </w:pPr>
    </w:p>
    <w:p w14:paraId="3618D3EB" w14:textId="3A7BC081" w:rsidR="00E44AF3" w:rsidRDefault="00E44AF3" w:rsidP="00AB0A87">
      <w:pPr>
        <w:spacing w:after="0"/>
        <w:rPr>
          <w:rFonts w:cstheme="minorHAnsi"/>
          <w:szCs w:val="24"/>
        </w:rPr>
      </w:pPr>
      <w:bookmarkStart w:id="7" w:name="_Hlk148612773"/>
      <w:r w:rsidRPr="00E44AF3">
        <w:rPr>
          <w:rFonts w:cstheme="minorHAnsi"/>
          <w:szCs w:val="24"/>
        </w:rPr>
        <w:t>No expenditures made before or beyond the grant period of performance will</w:t>
      </w:r>
      <w:r w:rsidR="00C207D9">
        <w:rPr>
          <w:rFonts w:cstheme="minorHAnsi"/>
          <w:szCs w:val="24"/>
        </w:rPr>
        <w:t xml:space="preserve"> not</w:t>
      </w:r>
      <w:r w:rsidRPr="00E44AF3">
        <w:rPr>
          <w:rFonts w:cstheme="minorHAnsi"/>
          <w:szCs w:val="24"/>
        </w:rPr>
        <w:t xml:space="preserve"> be allowed.</w:t>
      </w:r>
      <w:r w:rsidR="00DC43BB">
        <w:rPr>
          <w:rFonts w:cstheme="minorHAnsi"/>
          <w:szCs w:val="24"/>
        </w:rPr>
        <w:t xml:space="preserve"> </w:t>
      </w:r>
      <w:r w:rsidRPr="00E44AF3">
        <w:rPr>
          <w:rFonts w:cstheme="minorHAnsi"/>
          <w:szCs w:val="24"/>
        </w:rPr>
        <w:t>The POP for projects funded under this SFP will be up to 33 months</w:t>
      </w:r>
      <w:r w:rsidR="000942B8">
        <w:rPr>
          <w:rFonts w:cstheme="minorHAnsi"/>
          <w:szCs w:val="24"/>
        </w:rPr>
        <w:t>,</w:t>
      </w:r>
      <w:r w:rsidRPr="00E44AF3">
        <w:rPr>
          <w:rFonts w:cstheme="minorHAnsi"/>
          <w:szCs w:val="24"/>
        </w:rPr>
        <w:t xml:space="preserve"> with an anticipated start date of June 2024.</w:t>
      </w:r>
      <w:r w:rsidR="00DC43BB">
        <w:rPr>
          <w:rFonts w:cstheme="minorHAnsi"/>
          <w:szCs w:val="24"/>
        </w:rPr>
        <w:t xml:space="preserve"> </w:t>
      </w:r>
      <w:r w:rsidRPr="00E44AF3">
        <w:rPr>
          <w:rFonts w:cstheme="minorHAnsi"/>
          <w:szCs w:val="24"/>
        </w:rPr>
        <w:t>This POP includes all necessary implementation and start-up activities.</w:t>
      </w:r>
    </w:p>
    <w:p w14:paraId="4E61EB5E" w14:textId="77777777" w:rsidR="00AB0A87" w:rsidRPr="00E44AF3" w:rsidRDefault="00AB0A87" w:rsidP="00AB0A87">
      <w:pPr>
        <w:spacing w:after="0"/>
        <w:rPr>
          <w:rFonts w:cstheme="minorHAnsi"/>
          <w:szCs w:val="24"/>
        </w:rPr>
      </w:pPr>
    </w:p>
    <w:bookmarkEnd w:id="7"/>
    <w:p w14:paraId="7CFC9FA5" w14:textId="77777777" w:rsidR="00AB0A87" w:rsidRDefault="00AB0A87">
      <w:pPr>
        <w:rPr>
          <w:rFonts w:cstheme="minorHAnsi"/>
          <w:b/>
          <w:color w:val="000000" w:themeColor="text1"/>
          <w:szCs w:val="24"/>
        </w:rPr>
      </w:pPr>
      <w:r>
        <w:rPr>
          <w:rFonts w:cstheme="minorHAnsi"/>
          <w:b/>
          <w:color w:val="000000" w:themeColor="text1"/>
          <w:szCs w:val="24"/>
        </w:rPr>
        <w:br w:type="page"/>
      </w:r>
    </w:p>
    <w:p w14:paraId="7186A45A" w14:textId="20CD3F28" w:rsidR="00E44AF3" w:rsidRPr="00AB0A87" w:rsidRDefault="00E44AF3" w:rsidP="00AB0A87">
      <w:pPr>
        <w:pStyle w:val="ListParagraph"/>
        <w:numPr>
          <w:ilvl w:val="0"/>
          <w:numId w:val="11"/>
        </w:numPr>
        <w:spacing w:after="0"/>
        <w:outlineLvl w:val="0"/>
        <w:rPr>
          <w:rFonts w:cstheme="minorHAnsi"/>
          <w:b/>
          <w:color w:val="000000" w:themeColor="text1"/>
          <w:szCs w:val="24"/>
        </w:rPr>
      </w:pPr>
      <w:r w:rsidRPr="00AB0A87">
        <w:rPr>
          <w:rFonts w:cstheme="minorHAnsi"/>
          <w:b/>
          <w:color w:val="000000" w:themeColor="text1"/>
          <w:szCs w:val="24"/>
        </w:rPr>
        <w:lastRenderedPageBreak/>
        <w:t>Can the following critical populations be considered in the "core group"? </w:t>
      </w:r>
    </w:p>
    <w:p w14:paraId="555C038F" w14:textId="77777777" w:rsidR="00E44AF3" w:rsidRPr="00E44AF3" w:rsidRDefault="00E44AF3" w:rsidP="00E44AF3">
      <w:pPr>
        <w:numPr>
          <w:ilvl w:val="0"/>
          <w:numId w:val="10"/>
        </w:numPr>
        <w:spacing w:before="100" w:beforeAutospacing="1" w:after="100" w:afterAutospacing="1"/>
        <w:rPr>
          <w:rFonts w:cstheme="minorHAnsi"/>
          <w:b/>
          <w:bCs/>
          <w:szCs w:val="24"/>
        </w:rPr>
      </w:pPr>
      <w:r w:rsidRPr="00E44AF3">
        <w:rPr>
          <w:rFonts w:cstheme="minorHAnsi"/>
          <w:b/>
          <w:bCs/>
          <w:szCs w:val="24"/>
        </w:rPr>
        <w:t>At Risk Workers </w:t>
      </w:r>
    </w:p>
    <w:p w14:paraId="46017052" w14:textId="77777777" w:rsidR="00E44AF3" w:rsidRPr="00E44AF3" w:rsidRDefault="00E44AF3" w:rsidP="00E44AF3">
      <w:pPr>
        <w:numPr>
          <w:ilvl w:val="0"/>
          <w:numId w:val="10"/>
        </w:numPr>
        <w:spacing w:before="100" w:beforeAutospacing="1" w:after="100" w:afterAutospacing="1"/>
        <w:rPr>
          <w:rFonts w:cstheme="minorHAnsi"/>
          <w:b/>
          <w:bCs/>
          <w:szCs w:val="24"/>
        </w:rPr>
      </w:pPr>
      <w:r w:rsidRPr="00E44AF3">
        <w:rPr>
          <w:rFonts w:cstheme="minorHAnsi"/>
          <w:b/>
          <w:bCs/>
          <w:szCs w:val="24"/>
        </w:rPr>
        <w:t>Soon-to-be displaced workers </w:t>
      </w:r>
    </w:p>
    <w:p w14:paraId="403EDECB" w14:textId="77777777" w:rsidR="00E44AF3" w:rsidRPr="00E44AF3" w:rsidRDefault="00E44AF3" w:rsidP="00E44AF3">
      <w:pPr>
        <w:numPr>
          <w:ilvl w:val="0"/>
          <w:numId w:val="10"/>
        </w:numPr>
        <w:spacing w:before="100" w:beforeAutospacing="1" w:after="100" w:afterAutospacing="1"/>
        <w:rPr>
          <w:rFonts w:cstheme="minorHAnsi"/>
          <w:b/>
          <w:bCs/>
          <w:szCs w:val="24"/>
        </w:rPr>
      </w:pPr>
      <w:r w:rsidRPr="00E44AF3">
        <w:rPr>
          <w:rFonts w:cstheme="minorHAnsi"/>
          <w:b/>
          <w:bCs/>
          <w:szCs w:val="24"/>
        </w:rPr>
        <w:t>Underemployed oil refinery workers </w:t>
      </w:r>
    </w:p>
    <w:p w14:paraId="46F5E5E4" w14:textId="77777777" w:rsidR="00E44AF3" w:rsidRPr="00E44AF3" w:rsidRDefault="00E44AF3" w:rsidP="00E44AF3">
      <w:pPr>
        <w:numPr>
          <w:ilvl w:val="0"/>
          <w:numId w:val="10"/>
        </w:numPr>
        <w:spacing w:before="100" w:beforeAutospacing="1" w:after="100" w:afterAutospacing="1"/>
        <w:rPr>
          <w:rFonts w:cstheme="minorHAnsi"/>
          <w:szCs w:val="24"/>
        </w:rPr>
      </w:pPr>
      <w:r w:rsidRPr="00E44AF3">
        <w:rPr>
          <w:rFonts w:cstheme="minorHAnsi"/>
          <w:b/>
          <w:bCs/>
          <w:szCs w:val="24"/>
        </w:rPr>
        <w:t>Workers in ancillary facilities, such as chemical production, whose company is fully integrated into the oil refinery </w:t>
      </w:r>
    </w:p>
    <w:p w14:paraId="628134FE" w14:textId="02856D0A" w:rsidR="00E44AF3" w:rsidRDefault="00E44AF3" w:rsidP="00AB0A87">
      <w:pPr>
        <w:spacing w:before="100" w:beforeAutospacing="1" w:after="0"/>
        <w:rPr>
          <w:rFonts w:cstheme="minorHAnsi"/>
          <w:szCs w:val="24"/>
        </w:rPr>
      </w:pPr>
      <w:r w:rsidRPr="00E44AF3">
        <w:rPr>
          <w:rFonts w:cstheme="minorHAnsi"/>
          <w:szCs w:val="24"/>
        </w:rPr>
        <w:t>Yes, assuming those workers are directly engaged in oil or gas extraction and refinement.</w:t>
      </w:r>
    </w:p>
    <w:p w14:paraId="53B4C1EB" w14:textId="77777777" w:rsidR="00AB0A87" w:rsidRPr="00E44AF3" w:rsidRDefault="00AB0A87" w:rsidP="00AB0A87">
      <w:pPr>
        <w:spacing w:after="0"/>
        <w:rPr>
          <w:rFonts w:cstheme="minorHAnsi"/>
          <w:szCs w:val="24"/>
        </w:rPr>
      </w:pPr>
    </w:p>
    <w:p w14:paraId="11DAD3F6" w14:textId="73B9D879" w:rsidR="00E44AF3" w:rsidRPr="00AB0A87" w:rsidRDefault="00E44AF3" w:rsidP="00AB0A87">
      <w:pPr>
        <w:pStyle w:val="ListParagraph"/>
        <w:numPr>
          <w:ilvl w:val="0"/>
          <w:numId w:val="11"/>
        </w:numPr>
        <w:spacing w:after="0"/>
        <w:outlineLvl w:val="0"/>
        <w:rPr>
          <w:rFonts w:cstheme="minorHAnsi"/>
          <w:b/>
          <w:color w:val="000000" w:themeColor="text1"/>
          <w:szCs w:val="24"/>
        </w:rPr>
      </w:pPr>
      <w:r w:rsidRPr="00AB0A87">
        <w:rPr>
          <w:rFonts w:cstheme="minorHAnsi"/>
          <w:b/>
          <w:color w:val="000000" w:themeColor="text1"/>
          <w:szCs w:val="24"/>
        </w:rPr>
        <w:t>Do case managers have the discretion to exceed the encouraged $15,000 per worker level of support in necessary cases?</w:t>
      </w:r>
      <w:r w:rsidR="00DC43BB">
        <w:rPr>
          <w:rFonts w:cstheme="minorHAnsi"/>
          <w:b/>
          <w:color w:val="000000" w:themeColor="text1"/>
          <w:szCs w:val="24"/>
        </w:rPr>
        <w:t xml:space="preserve"> </w:t>
      </w:r>
      <w:r w:rsidRPr="00AB0A87">
        <w:rPr>
          <w:rFonts w:cstheme="minorHAnsi"/>
          <w:b/>
          <w:color w:val="000000" w:themeColor="text1"/>
          <w:szCs w:val="24"/>
        </w:rPr>
        <w:t>In such cases, can resources extend beyond those connected to workforce development, such as direct bill pay for housing, medical care, childcare, etc.?</w:t>
      </w:r>
    </w:p>
    <w:p w14:paraId="1302361F" w14:textId="77777777" w:rsidR="00E44AF3" w:rsidRPr="00E44AF3" w:rsidRDefault="00E44AF3" w:rsidP="00AB0A87">
      <w:pPr>
        <w:spacing w:after="0"/>
        <w:rPr>
          <w:rFonts w:cstheme="minorHAnsi"/>
          <w:szCs w:val="24"/>
        </w:rPr>
      </w:pPr>
    </w:p>
    <w:p w14:paraId="56E30E1D" w14:textId="0E43A2CD" w:rsidR="00E44AF3" w:rsidRPr="00E44AF3" w:rsidRDefault="00E44AF3" w:rsidP="00E44AF3">
      <w:pPr>
        <w:rPr>
          <w:rFonts w:cstheme="minorHAnsi"/>
          <w:szCs w:val="24"/>
        </w:rPr>
      </w:pPr>
      <w:bookmarkStart w:id="8" w:name="_Hlk148612857"/>
      <w:r w:rsidRPr="00E44AF3">
        <w:rPr>
          <w:rFonts w:cstheme="minorHAnsi"/>
          <w:szCs w:val="24"/>
        </w:rPr>
        <w:t>Yes, a local determination can be made to exceed the CPP for an individual</w:t>
      </w:r>
      <w:r w:rsidR="00DC43BB">
        <w:rPr>
          <w:rFonts w:cstheme="minorHAnsi"/>
          <w:szCs w:val="24"/>
        </w:rPr>
        <w:t>.</w:t>
      </w:r>
      <w:r w:rsidRPr="00E44AF3">
        <w:rPr>
          <w:rFonts w:cstheme="minorHAnsi"/>
          <w:szCs w:val="24"/>
        </w:rPr>
        <w:t xml:space="preserve"> </w:t>
      </w:r>
      <w:r w:rsidR="00DC43BB">
        <w:rPr>
          <w:rFonts w:cstheme="minorHAnsi"/>
          <w:szCs w:val="24"/>
        </w:rPr>
        <w:t>H</w:t>
      </w:r>
      <w:r w:rsidRPr="00E44AF3">
        <w:rPr>
          <w:rFonts w:cstheme="minorHAnsi"/>
          <w:szCs w:val="24"/>
        </w:rPr>
        <w:t>owever, approval from EDD would be necessary to exceed the average $15,000 CPP.</w:t>
      </w:r>
      <w:r w:rsidR="00DC43BB">
        <w:rPr>
          <w:rFonts w:cstheme="minorHAnsi"/>
          <w:szCs w:val="24"/>
        </w:rPr>
        <w:t xml:space="preserve"> </w:t>
      </w:r>
      <w:r w:rsidRPr="00E44AF3">
        <w:rPr>
          <w:rFonts w:cstheme="minorHAnsi"/>
          <w:szCs w:val="24"/>
        </w:rPr>
        <w:t>Grantees must contact their EDD project manager for approval to exceed the $15,000 CPP average and provide thorough justification for the increased cost.</w:t>
      </w:r>
      <w:r w:rsidR="00DC43BB">
        <w:rPr>
          <w:rFonts w:cstheme="minorHAnsi"/>
          <w:szCs w:val="24"/>
        </w:rPr>
        <w:t xml:space="preserve"> </w:t>
      </w:r>
      <w:r w:rsidRPr="00E44AF3">
        <w:rPr>
          <w:rFonts w:cstheme="minorHAnsi"/>
          <w:szCs w:val="24"/>
        </w:rPr>
        <w:t>EDD reserves the right to adjust this funding cap based on recruitment trends and the evolving needs of workers.</w:t>
      </w:r>
      <w:r w:rsidR="00DC43BB">
        <w:rPr>
          <w:rFonts w:cstheme="minorHAnsi"/>
          <w:szCs w:val="24"/>
        </w:rPr>
        <w:t xml:space="preserve"> </w:t>
      </w:r>
      <w:r w:rsidRPr="00E44AF3">
        <w:rPr>
          <w:rFonts w:cstheme="minorHAnsi"/>
          <w:szCs w:val="24"/>
        </w:rPr>
        <w:t>This approach aligns with the program's overarching goals of delivering targeted, effective support to those most in need.</w:t>
      </w:r>
    </w:p>
    <w:p w14:paraId="5FA159FB" w14:textId="6B1A14EF" w:rsidR="00E44AF3" w:rsidRDefault="00E44AF3" w:rsidP="00AB0A87">
      <w:pPr>
        <w:spacing w:after="0"/>
        <w:rPr>
          <w:rFonts w:cstheme="minorHAnsi"/>
          <w:szCs w:val="24"/>
        </w:rPr>
      </w:pPr>
      <w:r w:rsidRPr="00E44AF3">
        <w:rPr>
          <w:rFonts w:cstheme="minorHAnsi"/>
          <w:szCs w:val="24"/>
        </w:rPr>
        <w:t>No, financial stipends for living expenses may be provided to trainees while they are engaged in training programs</w:t>
      </w:r>
      <w:r w:rsidR="000942B8">
        <w:rPr>
          <w:rFonts w:cstheme="minorHAnsi"/>
          <w:szCs w:val="24"/>
        </w:rPr>
        <w:t>,</w:t>
      </w:r>
      <w:r w:rsidRPr="00E44AF3">
        <w:rPr>
          <w:rFonts w:cstheme="minorHAnsi"/>
          <w:szCs w:val="24"/>
        </w:rPr>
        <w:t xml:space="preserve"> and incentive programs can be developed for job search activities, further facilitating participants</w:t>
      </w:r>
      <w:r w:rsidR="000942B8">
        <w:rPr>
          <w:rFonts w:cstheme="minorHAnsi"/>
          <w:szCs w:val="24"/>
        </w:rPr>
        <w:t>'</w:t>
      </w:r>
      <w:r w:rsidRPr="00E44AF3">
        <w:rPr>
          <w:rFonts w:cstheme="minorHAnsi"/>
          <w:szCs w:val="24"/>
        </w:rPr>
        <w:t xml:space="preserve"> successful re-employment.</w:t>
      </w:r>
      <w:r w:rsidR="00DC43BB">
        <w:rPr>
          <w:rFonts w:cstheme="minorHAnsi"/>
          <w:szCs w:val="24"/>
        </w:rPr>
        <w:t xml:space="preserve"> </w:t>
      </w:r>
      <w:r w:rsidRPr="00E44AF3">
        <w:rPr>
          <w:rFonts w:cstheme="minorHAnsi"/>
          <w:szCs w:val="24"/>
        </w:rPr>
        <w:t>Additional supportive services are allowable to support participants taking part in career and/or training services.</w:t>
      </w:r>
    </w:p>
    <w:p w14:paraId="0BA3AFA1" w14:textId="77777777" w:rsidR="00E44AF3" w:rsidRPr="00E44AF3" w:rsidRDefault="00E44AF3" w:rsidP="00AB0A87">
      <w:pPr>
        <w:spacing w:after="0"/>
        <w:rPr>
          <w:rFonts w:cstheme="minorHAnsi"/>
          <w:szCs w:val="24"/>
        </w:rPr>
      </w:pPr>
    </w:p>
    <w:bookmarkEnd w:id="8"/>
    <w:p w14:paraId="4C05DE28" w14:textId="0DA427F7" w:rsidR="00E44AF3" w:rsidRPr="00AB0A87" w:rsidRDefault="00E44AF3" w:rsidP="00AB0A87">
      <w:pPr>
        <w:pStyle w:val="ListParagraph"/>
        <w:numPr>
          <w:ilvl w:val="0"/>
          <w:numId w:val="11"/>
        </w:numPr>
        <w:spacing w:after="0"/>
        <w:outlineLvl w:val="0"/>
        <w:rPr>
          <w:rFonts w:cstheme="minorHAnsi"/>
          <w:b/>
          <w:color w:val="000000" w:themeColor="text1"/>
          <w:szCs w:val="24"/>
        </w:rPr>
      </w:pPr>
      <w:r w:rsidRPr="00AB0A87">
        <w:rPr>
          <w:rFonts w:cstheme="minorHAnsi"/>
          <w:b/>
          <w:color w:val="000000" w:themeColor="text1"/>
          <w:szCs w:val="24"/>
        </w:rPr>
        <w:t>Are administration and operational costs expected to be factored into the $15,000 per participant cap recommended in the RFP, or is the cap solely for direct services to participants?</w:t>
      </w:r>
    </w:p>
    <w:p w14:paraId="1828748F" w14:textId="77777777" w:rsidR="00E44AF3" w:rsidRPr="00E44AF3" w:rsidRDefault="00E44AF3" w:rsidP="00AB0A87">
      <w:pPr>
        <w:spacing w:after="0"/>
        <w:rPr>
          <w:rFonts w:cstheme="minorHAnsi"/>
          <w:szCs w:val="24"/>
        </w:rPr>
      </w:pPr>
    </w:p>
    <w:p w14:paraId="630C4520" w14:textId="0402B405" w:rsidR="00E44AF3" w:rsidRPr="00E44AF3" w:rsidRDefault="00E44AF3" w:rsidP="00E44AF3">
      <w:pPr>
        <w:spacing w:after="0"/>
        <w:outlineLvl w:val="0"/>
        <w:rPr>
          <w:rFonts w:eastAsia="Calibri" w:cstheme="minorHAnsi"/>
          <w:color w:val="000000"/>
          <w:szCs w:val="24"/>
        </w:rPr>
      </w:pPr>
      <w:bookmarkStart w:id="9" w:name="_Hlk148523030"/>
      <w:r w:rsidRPr="00E44AF3">
        <w:rPr>
          <w:rFonts w:eastAsia="Calibri" w:cstheme="minorHAnsi"/>
          <w:color w:val="000000"/>
          <w:szCs w:val="24"/>
        </w:rPr>
        <w:t>The cost per participant (CPP) is inclusive of overhead costs.</w:t>
      </w:r>
      <w:r w:rsidR="00DC43BB">
        <w:rPr>
          <w:rFonts w:eastAsia="Calibri" w:cstheme="minorHAnsi"/>
          <w:color w:val="000000"/>
          <w:szCs w:val="24"/>
        </w:rPr>
        <w:t xml:space="preserve"> </w:t>
      </w:r>
      <w:r w:rsidRPr="00E44AF3">
        <w:rPr>
          <w:rFonts w:eastAsia="Calibri" w:cstheme="minorHAnsi"/>
          <w:color w:val="000000"/>
          <w:szCs w:val="24"/>
        </w:rPr>
        <w:t>The CPP is based upon the average cost to serve participants; therefore, a participant receiving more intensive services at a higher cost could be balanced by a participant who receives lower</w:t>
      </w:r>
      <w:r w:rsidR="000942B8">
        <w:rPr>
          <w:rFonts w:eastAsia="Calibri" w:cstheme="minorHAnsi"/>
          <w:color w:val="000000"/>
          <w:szCs w:val="24"/>
        </w:rPr>
        <w:t>-</w:t>
      </w:r>
      <w:r w:rsidRPr="00E44AF3">
        <w:rPr>
          <w:rFonts w:eastAsia="Calibri" w:cstheme="minorHAnsi"/>
          <w:color w:val="000000"/>
          <w:szCs w:val="24"/>
        </w:rPr>
        <w:t>cost, basic services.</w:t>
      </w:r>
      <w:r w:rsidR="00DC43BB">
        <w:rPr>
          <w:rFonts w:eastAsia="Calibri" w:cstheme="minorHAnsi"/>
          <w:color w:val="000000"/>
          <w:szCs w:val="24"/>
        </w:rPr>
        <w:t xml:space="preserve"> </w:t>
      </w:r>
      <w:r w:rsidRPr="00E44AF3">
        <w:rPr>
          <w:rFonts w:eastAsia="Calibri" w:cstheme="minorHAnsi"/>
          <w:color w:val="000000"/>
          <w:szCs w:val="24"/>
        </w:rPr>
        <w:t>The cap is solely for direct services to participants.</w:t>
      </w:r>
      <w:bookmarkEnd w:id="9"/>
    </w:p>
    <w:p w14:paraId="68C4B8C9" w14:textId="77777777" w:rsidR="00E44AF3" w:rsidRPr="00E44AF3" w:rsidRDefault="00E44AF3" w:rsidP="00E44AF3">
      <w:pPr>
        <w:spacing w:after="0"/>
        <w:outlineLvl w:val="0"/>
        <w:rPr>
          <w:rFonts w:cstheme="minorHAnsi"/>
          <w:szCs w:val="24"/>
        </w:rPr>
      </w:pPr>
    </w:p>
    <w:p w14:paraId="5DF1E0E4" w14:textId="1CE0CDF7" w:rsidR="00E44AF3" w:rsidRPr="00AB0A87" w:rsidRDefault="00E44AF3" w:rsidP="00AB0A87">
      <w:pPr>
        <w:pStyle w:val="ListParagraph"/>
        <w:numPr>
          <w:ilvl w:val="0"/>
          <w:numId w:val="11"/>
        </w:numPr>
        <w:spacing w:after="0"/>
        <w:outlineLvl w:val="0"/>
        <w:rPr>
          <w:rFonts w:cstheme="minorHAnsi"/>
          <w:b/>
          <w:color w:val="000000" w:themeColor="text1"/>
          <w:szCs w:val="24"/>
        </w:rPr>
      </w:pPr>
      <w:r w:rsidRPr="00AB0A87">
        <w:rPr>
          <w:rFonts w:cstheme="minorHAnsi"/>
          <w:b/>
          <w:color w:val="000000" w:themeColor="text1"/>
          <w:szCs w:val="24"/>
        </w:rPr>
        <w:t>Can the program front money for expenses like childcare or educational costs with documentation for the anticipated expense?</w:t>
      </w:r>
      <w:r w:rsidR="00DC43BB">
        <w:rPr>
          <w:rFonts w:cstheme="minorHAnsi"/>
          <w:b/>
          <w:color w:val="000000" w:themeColor="text1"/>
          <w:szCs w:val="24"/>
        </w:rPr>
        <w:t xml:space="preserve"> </w:t>
      </w:r>
      <w:r w:rsidRPr="00AB0A87">
        <w:rPr>
          <w:rFonts w:cstheme="minorHAnsi"/>
          <w:b/>
          <w:color w:val="000000" w:themeColor="text1"/>
          <w:szCs w:val="24"/>
        </w:rPr>
        <w:t>Or do eligible participants need to be reimbursed with receipts?</w:t>
      </w:r>
    </w:p>
    <w:p w14:paraId="234D7DEC" w14:textId="77777777" w:rsidR="00E44AF3" w:rsidRPr="00E44AF3" w:rsidRDefault="00E44AF3" w:rsidP="00AB0A87">
      <w:pPr>
        <w:spacing w:after="0"/>
        <w:rPr>
          <w:rFonts w:cstheme="minorHAnsi"/>
          <w:szCs w:val="24"/>
        </w:rPr>
      </w:pPr>
    </w:p>
    <w:p w14:paraId="6EE47A35" w14:textId="759DE21C" w:rsidR="00E44AF3" w:rsidRPr="00E44AF3" w:rsidRDefault="00E44AF3" w:rsidP="00E44AF3">
      <w:pPr>
        <w:rPr>
          <w:rFonts w:cstheme="minorHAnsi"/>
          <w:szCs w:val="24"/>
        </w:rPr>
      </w:pPr>
      <w:bookmarkStart w:id="10" w:name="_Hlk148612949"/>
      <w:r w:rsidRPr="00E44AF3">
        <w:rPr>
          <w:rFonts w:cstheme="minorHAnsi"/>
          <w:szCs w:val="24"/>
        </w:rPr>
        <w:t>Supportive Services must support eligible training, career service, or employment activities.</w:t>
      </w:r>
      <w:r w:rsidR="00DC43BB">
        <w:rPr>
          <w:rFonts w:cstheme="minorHAnsi"/>
          <w:szCs w:val="24"/>
        </w:rPr>
        <w:t xml:space="preserve"> </w:t>
      </w:r>
      <w:r w:rsidRPr="00E44AF3">
        <w:rPr>
          <w:rFonts w:cstheme="minorHAnsi"/>
          <w:szCs w:val="24"/>
        </w:rPr>
        <w:t>The grantee must have or develop an internal policy for Supportive Services and follow its guidance when providing these services, which may make the advancement allowable, depending on the procedures outlined in the policy.</w:t>
      </w:r>
    </w:p>
    <w:bookmarkEnd w:id="10"/>
    <w:p w14:paraId="4E313B4A" w14:textId="77777777" w:rsidR="00E44AF3" w:rsidRPr="00E44AF3" w:rsidRDefault="00E44AF3" w:rsidP="00E44AF3">
      <w:pPr>
        <w:rPr>
          <w:rFonts w:cstheme="minorHAnsi"/>
          <w:szCs w:val="24"/>
        </w:rPr>
      </w:pPr>
    </w:p>
    <w:p w14:paraId="51BC5F6C" w14:textId="61BCE3E5" w:rsidR="00E44AF3" w:rsidRPr="00AB0A87" w:rsidRDefault="00E44AF3" w:rsidP="00AB0A87">
      <w:pPr>
        <w:pStyle w:val="ListParagraph"/>
        <w:numPr>
          <w:ilvl w:val="0"/>
          <w:numId w:val="11"/>
        </w:numPr>
        <w:spacing w:after="0"/>
        <w:outlineLvl w:val="0"/>
        <w:rPr>
          <w:rFonts w:cstheme="minorHAnsi"/>
          <w:b/>
          <w:color w:val="000000" w:themeColor="text1"/>
          <w:szCs w:val="24"/>
        </w:rPr>
      </w:pPr>
      <w:r w:rsidRPr="00AB0A87">
        <w:rPr>
          <w:rFonts w:cstheme="minorHAnsi"/>
          <w:b/>
          <w:color w:val="000000" w:themeColor="text1"/>
          <w:szCs w:val="24"/>
        </w:rPr>
        <w:lastRenderedPageBreak/>
        <w:t>Can you distinguish between Letters of Commitment and Partnership Agreement Letters?</w:t>
      </w:r>
    </w:p>
    <w:p w14:paraId="42A58E65" w14:textId="77777777" w:rsidR="00E44AF3" w:rsidRPr="00E44AF3" w:rsidRDefault="00E44AF3" w:rsidP="00AB0A87">
      <w:pPr>
        <w:spacing w:after="0"/>
        <w:rPr>
          <w:rFonts w:cstheme="minorHAnsi"/>
          <w:b/>
          <w:bCs/>
          <w:szCs w:val="24"/>
        </w:rPr>
      </w:pPr>
    </w:p>
    <w:p w14:paraId="6454A290" w14:textId="6B6E3F4B" w:rsidR="00E44AF3" w:rsidRPr="00E44AF3" w:rsidRDefault="00E44AF3" w:rsidP="00E44AF3">
      <w:pPr>
        <w:rPr>
          <w:rFonts w:cstheme="minorHAnsi"/>
          <w:szCs w:val="24"/>
        </w:rPr>
      </w:pPr>
      <w:bookmarkStart w:id="11" w:name="_Hlk148522867"/>
      <w:r w:rsidRPr="00E44AF3">
        <w:rPr>
          <w:rFonts w:cstheme="minorHAnsi"/>
          <w:szCs w:val="24"/>
        </w:rPr>
        <w:t>A Commitment Letter commits an organization to work with the applicant in some capacity that contributes to the program's success through cash or in-kind contributions.</w:t>
      </w:r>
      <w:r w:rsidR="00DC43BB">
        <w:rPr>
          <w:rFonts w:cstheme="minorHAnsi"/>
          <w:szCs w:val="24"/>
        </w:rPr>
        <w:t xml:space="preserve"> </w:t>
      </w:r>
      <w:r w:rsidRPr="00E44AF3">
        <w:rPr>
          <w:rFonts w:cstheme="minorHAnsi"/>
          <w:szCs w:val="24"/>
        </w:rPr>
        <w:t>A Commitment Letter differs from a Partnership Agreement Letter required from any partnerships established in the proposal.</w:t>
      </w:r>
      <w:r w:rsidR="00DC43BB">
        <w:rPr>
          <w:rFonts w:cstheme="minorHAnsi"/>
          <w:szCs w:val="24"/>
        </w:rPr>
        <w:t xml:space="preserve"> </w:t>
      </w:r>
      <w:r w:rsidRPr="00E44AF3">
        <w:rPr>
          <w:rFonts w:cstheme="minorHAnsi"/>
          <w:szCs w:val="24"/>
        </w:rPr>
        <w:t>These letters should, at a minimum, contain the name and signature of the committing/partner organization, describe their commitment/partnership to the project, and detail the roles and responsibilities of the committing/partnering organization.</w:t>
      </w:r>
      <w:r w:rsidR="00DC43BB">
        <w:rPr>
          <w:rFonts w:cstheme="minorHAnsi"/>
          <w:szCs w:val="24"/>
        </w:rPr>
        <w:t xml:space="preserve"> </w:t>
      </w:r>
      <w:r w:rsidRPr="00E44AF3">
        <w:rPr>
          <w:rFonts w:cstheme="minorHAnsi"/>
          <w:szCs w:val="24"/>
        </w:rPr>
        <w:t xml:space="preserve">Commitment Letters should include the amount of leveraged funds </w:t>
      </w:r>
      <w:r w:rsidR="000942B8">
        <w:rPr>
          <w:rFonts w:cstheme="minorHAnsi"/>
          <w:szCs w:val="24"/>
        </w:rPr>
        <w:t>through cash or</w:t>
      </w:r>
      <w:r w:rsidRPr="00E44AF3">
        <w:rPr>
          <w:rFonts w:cstheme="minorHAnsi"/>
          <w:szCs w:val="24"/>
        </w:rPr>
        <w:t xml:space="preserve"> services the organization will provide to the project.</w:t>
      </w:r>
    </w:p>
    <w:p w14:paraId="1DED6168" w14:textId="4A3DB6D6" w:rsidR="00E44AF3" w:rsidRPr="00E44AF3" w:rsidRDefault="00E44AF3" w:rsidP="00AB0A87">
      <w:pPr>
        <w:spacing w:after="0"/>
        <w:rPr>
          <w:rFonts w:cstheme="minorHAnsi"/>
          <w:szCs w:val="24"/>
        </w:rPr>
      </w:pPr>
      <w:r w:rsidRPr="00E44AF3">
        <w:rPr>
          <w:rFonts w:cstheme="minorHAnsi"/>
          <w:szCs w:val="24"/>
        </w:rPr>
        <w:t xml:space="preserve">Note that Partnership Agreement Letters already developed may be submitted at </w:t>
      </w:r>
      <w:r w:rsidR="000942B8">
        <w:rPr>
          <w:rFonts w:cstheme="minorHAnsi"/>
          <w:szCs w:val="24"/>
        </w:rPr>
        <w:t xml:space="preserve">the </w:t>
      </w:r>
      <w:r w:rsidRPr="00E44AF3">
        <w:rPr>
          <w:rFonts w:cstheme="minorHAnsi"/>
          <w:szCs w:val="24"/>
        </w:rPr>
        <w:t>time of application but are required within 90 days of contract execution.</w:t>
      </w:r>
      <w:r w:rsidR="00DC43BB">
        <w:rPr>
          <w:rFonts w:cstheme="minorHAnsi"/>
          <w:szCs w:val="24"/>
        </w:rPr>
        <w:t xml:space="preserve"> </w:t>
      </w:r>
      <w:r w:rsidRPr="00E44AF3">
        <w:rPr>
          <w:rFonts w:cstheme="minorHAnsi"/>
          <w:szCs w:val="24"/>
        </w:rPr>
        <w:t xml:space="preserve">Leveraged funds are </w:t>
      </w:r>
      <w:r w:rsidR="000942B8">
        <w:rPr>
          <w:rFonts w:cstheme="minorHAnsi"/>
          <w:szCs w:val="24"/>
        </w:rPr>
        <w:t>unnecessary</w:t>
      </w:r>
      <w:r w:rsidRPr="00E44AF3">
        <w:rPr>
          <w:rFonts w:cstheme="minorHAnsi"/>
          <w:szCs w:val="24"/>
        </w:rPr>
        <w:t xml:space="preserve"> for the grant</w:t>
      </w:r>
      <w:r w:rsidR="00DC43BB">
        <w:rPr>
          <w:rFonts w:cstheme="minorHAnsi"/>
          <w:szCs w:val="24"/>
        </w:rPr>
        <w:t>. H</w:t>
      </w:r>
      <w:r w:rsidRPr="00E44AF3">
        <w:rPr>
          <w:rFonts w:cstheme="minorHAnsi"/>
          <w:szCs w:val="24"/>
        </w:rPr>
        <w:t>owever, an applicant or awarded grantee may submit Commitment Letters at any time.</w:t>
      </w:r>
    </w:p>
    <w:bookmarkEnd w:id="11"/>
    <w:p w14:paraId="6FC8B0B1" w14:textId="77777777" w:rsidR="00E44AF3" w:rsidRPr="00E44AF3" w:rsidRDefault="00E44AF3" w:rsidP="00E44AF3">
      <w:pPr>
        <w:spacing w:after="0"/>
        <w:outlineLvl w:val="0"/>
        <w:rPr>
          <w:rFonts w:cstheme="minorHAnsi"/>
          <w:b/>
          <w:color w:val="000000" w:themeColor="text1"/>
          <w:szCs w:val="24"/>
        </w:rPr>
      </w:pPr>
    </w:p>
    <w:p w14:paraId="012F6AE5" w14:textId="2310988F" w:rsidR="00E44AF3" w:rsidRPr="00AB0A87" w:rsidRDefault="00E44AF3" w:rsidP="00AB0A87">
      <w:pPr>
        <w:pStyle w:val="ListParagraph"/>
        <w:numPr>
          <w:ilvl w:val="0"/>
          <w:numId w:val="11"/>
        </w:numPr>
        <w:spacing w:after="0"/>
        <w:outlineLvl w:val="0"/>
        <w:rPr>
          <w:rFonts w:cstheme="minorHAnsi"/>
          <w:b/>
          <w:color w:val="000000" w:themeColor="text1"/>
          <w:szCs w:val="24"/>
        </w:rPr>
      </w:pPr>
      <w:r w:rsidRPr="00AB0A87">
        <w:rPr>
          <w:rFonts w:cstheme="minorHAnsi"/>
          <w:b/>
          <w:color w:val="000000" w:themeColor="text1"/>
          <w:szCs w:val="24"/>
        </w:rPr>
        <w:t>Are former oil and gas workers who have found new work but are underemployed eligible for training and job search support and considered a high-priority audience?</w:t>
      </w:r>
    </w:p>
    <w:p w14:paraId="13247895" w14:textId="77777777" w:rsidR="00E44AF3" w:rsidRPr="00E44AF3" w:rsidRDefault="00E44AF3" w:rsidP="00AB0A87">
      <w:pPr>
        <w:spacing w:after="0"/>
        <w:rPr>
          <w:rFonts w:cstheme="minorHAnsi"/>
          <w:szCs w:val="24"/>
        </w:rPr>
      </w:pPr>
    </w:p>
    <w:p w14:paraId="7932B81B" w14:textId="026520F3" w:rsidR="00E44AF3" w:rsidRPr="00E44AF3" w:rsidRDefault="00E44AF3" w:rsidP="00AB0A87">
      <w:pPr>
        <w:spacing w:after="0"/>
        <w:rPr>
          <w:rFonts w:cstheme="minorHAnsi"/>
          <w:szCs w:val="24"/>
        </w:rPr>
      </w:pPr>
      <w:bookmarkStart w:id="12" w:name="_Hlk148615298"/>
      <w:r w:rsidRPr="00E44AF3">
        <w:rPr>
          <w:rFonts w:cstheme="minorHAnsi"/>
          <w:szCs w:val="24"/>
        </w:rPr>
        <w:t>Yes, based on the research shared in the webinar</w:t>
      </w:r>
      <w:r w:rsidR="000942B8">
        <w:rPr>
          <w:rFonts w:cstheme="minorHAnsi"/>
          <w:szCs w:val="24"/>
        </w:rPr>
        <w:t>,</w:t>
      </w:r>
      <w:r w:rsidRPr="00E44AF3">
        <w:rPr>
          <w:rFonts w:cstheme="minorHAnsi"/>
          <w:szCs w:val="24"/>
        </w:rPr>
        <w:t xml:space="preserve"> a large target population of gas and oil workers </w:t>
      </w:r>
      <w:r w:rsidR="000942B8">
        <w:rPr>
          <w:rFonts w:cstheme="minorHAnsi"/>
          <w:szCs w:val="24"/>
        </w:rPr>
        <w:t>is</w:t>
      </w:r>
      <w:r w:rsidRPr="00E44AF3">
        <w:rPr>
          <w:rFonts w:cstheme="minorHAnsi"/>
          <w:szCs w:val="24"/>
        </w:rPr>
        <w:t xml:space="preserve"> underemployed and looking to advance into higher-paying jobs, so they are eligible to receive service under this funding.</w:t>
      </w:r>
    </w:p>
    <w:bookmarkEnd w:id="12"/>
    <w:p w14:paraId="29CDD032" w14:textId="77777777" w:rsidR="00E44AF3" w:rsidRPr="00E44AF3" w:rsidRDefault="00E44AF3" w:rsidP="00E44AF3">
      <w:pPr>
        <w:spacing w:after="0"/>
        <w:outlineLvl w:val="0"/>
        <w:rPr>
          <w:rFonts w:cstheme="minorHAnsi"/>
          <w:b/>
          <w:color w:val="000000" w:themeColor="text1"/>
          <w:szCs w:val="24"/>
        </w:rPr>
      </w:pPr>
    </w:p>
    <w:p w14:paraId="57B8CB14" w14:textId="72B8D131" w:rsidR="00E44AF3" w:rsidRPr="00AB0A87" w:rsidRDefault="00E44AF3" w:rsidP="00AB0A87">
      <w:pPr>
        <w:pStyle w:val="ListParagraph"/>
        <w:numPr>
          <w:ilvl w:val="0"/>
          <w:numId w:val="11"/>
        </w:numPr>
        <w:spacing w:after="0"/>
        <w:outlineLvl w:val="0"/>
        <w:rPr>
          <w:rFonts w:cstheme="minorHAnsi"/>
          <w:b/>
          <w:color w:val="000000" w:themeColor="text1"/>
          <w:szCs w:val="24"/>
        </w:rPr>
      </w:pPr>
      <w:r w:rsidRPr="00AB0A87">
        <w:rPr>
          <w:rFonts w:cstheme="minorHAnsi"/>
          <w:b/>
          <w:color w:val="000000" w:themeColor="text1"/>
          <w:szCs w:val="24"/>
        </w:rPr>
        <w:t>Is bridge funding allowable in the grant?</w:t>
      </w:r>
    </w:p>
    <w:p w14:paraId="6753B1F4" w14:textId="77777777" w:rsidR="00E44AF3" w:rsidRPr="00E44AF3" w:rsidRDefault="00E44AF3" w:rsidP="00AB0A87">
      <w:pPr>
        <w:spacing w:after="0"/>
        <w:rPr>
          <w:rFonts w:cstheme="minorHAnsi"/>
          <w:szCs w:val="24"/>
        </w:rPr>
      </w:pPr>
    </w:p>
    <w:p w14:paraId="6D097548" w14:textId="2E0C799E" w:rsidR="00E44AF3" w:rsidRDefault="00E44AF3" w:rsidP="00E44AF3">
      <w:pPr>
        <w:spacing w:after="0"/>
        <w:outlineLvl w:val="0"/>
        <w:rPr>
          <w:rFonts w:cstheme="minorHAnsi"/>
          <w:szCs w:val="24"/>
        </w:rPr>
      </w:pPr>
      <w:r w:rsidRPr="00E44AF3">
        <w:rPr>
          <w:rFonts w:cstheme="minorHAnsi"/>
          <w:szCs w:val="24"/>
        </w:rPr>
        <w:t>Financial stipends will only be available to trainees participating in designated training programs, and incentive programs can be developed to encourage specific job search activities to support their participation and successful outcomes.</w:t>
      </w:r>
    </w:p>
    <w:p w14:paraId="1A7D24E2" w14:textId="77777777" w:rsidR="00E44AF3" w:rsidRPr="00E44AF3" w:rsidRDefault="00E44AF3" w:rsidP="00E44AF3">
      <w:pPr>
        <w:spacing w:after="0"/>
        <w:outlineLvl w:val="0"/>
        <w:rPr>
          <w:rFonts w:cstheme="minorHAnsi"/>
          <w:szCs w:val="24"/>
        </w:rPr>
      </w:pPr>
    </w:p>
    <w:p w14:paraId="3DBD6215" w14:textId="5916BF2C" w:rsidR="00E44AF3" w:rsidRPr="00AB0A87" w:rsidRDefault="00E44AF3" w:rsidP="00AB0A87">
      <w:pPr>
        <w:pStyle w:val="ListParagraph"/>
        <w:numPr>
          <w:ilvl w:val="0"/>
          <w:numId w:val="11"/>
        </w:numPr>
        <w:spacing w:after="0"/>
        <w:outlineLvl w:val="0"/>
        <w:rPr>
          <w:rFonts w:cstheme="minorHAnsi"/>
          <w:b/>
          <w:color w:val="000000" w:themeColor="text1"/>
          <w:szCs w:val="24"/>
        </w:rPr>
      </w:pPr>
      <w:r w:rsidRPr="00AB0A87">
        <w:rPr>
          <w:rFonts w:cstheme="minorHAnsi"/>
          <w:b/>
          <w:color w:val="000000" w:themeColor="text1"/>
          <w:szCs w:val="24"/>
        </w:rPr>
        <w:t>Is it a successful placement if we help the worker move out of CA to another state with oil-related jobs?</w:t>
      </w:r>
    </w:p>
    <w:p w14:paraId="2568980C" w14:textId="77777777" w:rsidR="00E44AF3" w:rsidRPr="00E44AF3" w:rsidRDefault="00E44AF3" w:rsidP="00AB0A87">
      <w:pPr>
        <w:spacing w:after="0"/>
        <w:rPr>
          <w:rFonts w:cstheme="minorHAnsi"/>
          <w:b/>
          <w:bCs/>
          <w:szCs w:val="24"/>
        </w:rPr>
      </w:pPr>
    </w:p>
    <w:p w14:paraId="389DC4B9" w14:textId="03173C89" w:rsidR="00E44AF3" w:rsidRPr="00E44AF3" w:rsidRDefault="00E44AF3" w:rsidP="00AB0A87">
      <w:pPr>
        <w:spacing w:after="0"/>
        <w:rPr>
          <w:rFonts w:eastAsia="Calibri" w:cstheme="minorHAnsi"/>
          <w:szCs w:val="24"/>
          <w:lang w:bidi="en-US"/>
        </w:rPr>
      </w:pPr>
      <w:r w:rsidRPr="00E44AF3">
        <w:rPr>
          <w:rFonts w:eastAsia="Calibri" w:cstheme="minorHAnsi"/>
          <w:szCs w:val="24"/>
          <w:lang w:bidi="en-US"/>
        </w:rPr>
        <w:t>The grant aims for applicants to identify regionally in-demand jobs and career pathways, developing programs to bridge the skill gaps between displaced oil and gas workers and new industries within California.</w:t>
      </w:r>
      <w:r w:rsidR="00DC43BB">
        <w:rPr>
          <w:rFonts w:eastAsia="Calibri" w:cstheme="minorHAnsi"/>
          <w:szCs w:val="24"/>
          <w:lang w:bidi="en-US"/>
        </w:rPr>
        <w:t xml:space="preserve"> </w:t>
      </w:r>
      <w:r w:rsidRPr="00E44AF3">
        <w:rPr>
          <w:rFonts w:eastAsia="Calibri" w:cstheme="minorHAnsi"/>
          <w:szCs w:val="24"/>
          <w:lang w:bidi="en-US"/>
        </w:rPr>
        <w:t>However, out-of-area job search assistance and relocation assistance is an allowable activity.</w:t>
      </w:r>
      <w:r w:rsidR="00DC43BB">
        <w:rPr>
          <w:rFonts w:eastAsia="Calibri" w:cstheme="minorHAnsi"/>
          <w:szCs w:val="24"/>
          <w:lang w:bidi="en-US"/>
        </w:rPr>
        <w:t xml:space="preserve"> </w:t>
      </w:r>
      <w:r w:rsidRPr="00E44AF3">
        <w:rPr>
          <w:rFonts w:eastAsia="Calibri" w:cstheme="minorHAnsi"/>
          <w:szCs w:val="24"/>
          <w:lang w:bidi="en-US"/>
        </w:rPr>
        <w:t>Reference Appendix D for allowable activities.</w:t>
      </w:r>
    </w:p>
    <w:p w14:paraId="1790C82C" w14:textId="77777777" w:rsidR="00E44AF3" w:rsidRPr="00E44AF3" w:rsidRDefault="00E44AF3" w:rsidP="00AB0A87">
      <w:pPr>
        <w:spacing w:after="0"/>
        <w:rPr>
          <w:rFonts w:eastAsia="Calibri" w:cstheme="minorHAnsi"/>
          <w:szCs w:val="24"/>
          <w:lang w:bidi="en-US"/>
        </w:rPr>
      </w:pPr>
    </w:p>
    <w:p w14:paraId="285C0718" w14:textId="25541356" w:rsidR="00E44AF3" w:rsidRPr="00AB0A87" w:rsidRDefault="00E44AF3" w:rsidP="00AB0A87">
      <w:pPr>
        <w:pStyle w:val="ListParagraph"/>
        <w:numPr>
          <w:ilvl w:val="0"/>
          <w:numId w:val="11"/>
        </w:numPr>
        <w:spacing w:after="0"/>
        <w:outlineLvl w:val="0"/>
        <w:rPr>
          <w:rFonts w:cstheme="minorHAnsi"/>
          <w:b/>
          <w:color w:val="000000" w:themeColor="text1"/>
          <w:szCs w:val="24"/>
        </w:rPr>
      </w:pPr>
      <w:r w:rsidRPr="00AB0A87">
        <w:rPr>
          <w:rFonts w:cstheme="minorHAnsi"/>
          <w:b/>
          <w:color w:val="000000" w:themeColor="text1"/>
          <w:szCs w:val="24"/>
        </w:rPr>
        <w:t>Can a county that is not one of the three prioritized can they still apply?</w:t>
      </w:r>
    </w:p>
    <w:p w14:paraId="6D88E5A7" w14:textId="77777777" w:rsidR="00E44AF3" w:rsidRPr="00E44AF3" w:rsidRDefault="00E44AF3" w:rsidP="00AB0A87">
      <w:pPr>
        <w:spacing w:after="0"/>
        <w:rPr>
          <w:rFonts w:cstheme="minorHAnsi"/>
          <w:b/>
          <w:bCs/>
          <w:szCs w:val="24"/>
        </w:rPr>
      </w:pPr>
    </w:p>
    <w:p w14:paraId="37DF31E0" w14:textId="7CADB296" w:rsidR="00E44AF3" w:rsidRPr="00E44AF3" w:rsidRDefault="00E44AF3" w:rsidP="00AB0A87">
      <w:pPr>
        <w:spacing w:after="0"/>
        <w:rPr>
          <w:rFonts w:cstheme="minorHAnsi"/>
          <w:szCs w:val="24"/>
          <w:lang w:bidi="en-US"/>
        </w:rPr>
      </w:pPr>
      <w:bookmarkStart w:id="13" w:name="_Hlk148616288"/>
      <w:r w:rsidRPr="00E44AF3">
        <w:rPr>
          <w:rFonts w:cstheme="minorHAnsi"/>
          <w:szCs w:val="24"/>
          <w:lang w:val="en" w:bidi="en-US"/>
        </w:rPr>
        <w:t>Workers in counties other than those specifically targeted by the grant can be deemed eligible to receive services when a need for DOGWF support can be substantiated.</w:t>
      </w:r>
    </w:p>
    <w:bookmarkEnd w:id="13"/>
    <w:p w14:paraId="0889421C" w14:textId="77777777" w:rsidR="00E44AF3" w:rsidRPr="00E44AF3" w:rsidRDefault="00E44AF3" w:rsidP="00E44AF3">
      <w:pPr>
        <w:spacing w:after="0"/>
        <w:outlineLvl w:val="0"/>
        <w:rPr>
          <w:rFonts w:cstheme="minorHAnsi"/>
          <w:b/>
          <w:color w:val="000000" w:themeColor="text1"/>
          <w:szCs w:val="24"/>
        </w:rPr>
      </w:pPr>
    </w:p>
    <w:p w14:paraId="14B9D696" w14:textId="5DFCB631" w:rsidR="00E44AF3" w:rsidRPr="00AB0A87" w:rsidRDefault="00E44AF3" w:rsidP="00AB0A87">
      <w:pPr>
        <w:pStyle w:val="ListParagraph"/>
        <w:numPr>
          <w:ilvl w:val="0"/>
          <w:numId w:val="11"/>
        </w:numPr>
        <w:spacing w:after="0"/>
        <w:outlineLvl w:val="0"/>
        <w:rPr>
          <w:rFonts w:cstheme="minorHAnsi"/>
          <w:b/>
          <w:color w:val="000000" w:themeColor="text1"/>
          <w:szCs w:val="24"/>
        </w:rPr>
      </w:pPr>
      <w:r w:rsidRPr="00AB0A87">
        <w:rPr>
          <w:rFonts w:cstheme="minorHAnsi"/>
          <w:b/>
          <w:color w:val="000000" w:themeColor="text1"/>
          <w:szCs w:val="24"/>
        </w:rPr>
        <w:t>The webinar stated that only one award was anticipated.</w:t>
      </w:r>
      <w:r w:rsidR="00DC43BB">
        <w:rPr>
          <w:rFonts w:cstheme="minorHAnsi"/>
          <w:b/>
          <w:color w:val="000000" w:themeColor="text1"/>
          <w:szCs w:val="24"/>
        </w:rPr>
        <w:t xml:space="preserve"> </w:t>
      </w:r>
      <w:r w:rsidRPr="00AB0A87">
        <w:rPr>
          <w:rFonts w:cstheme="minorHAnsi"/>
          <w:b/>
          <w:color w:val="000000" w:themeColor="text1"/>
          <w:szCs w:val="24"/>
        </w:rPr>
        <w:t>However, on page 12 of the SFP, there are expected to be 3-5 awards from $2M to 12M.</w:t>
      </w:r>
      <w:r w:rsidR="00DC43BB">
        <w:rPr>
          <w:rFonts w:cstheme="minorHAnsi"/>
          <w:b/>
          <w:color w:val="000000" w:themeColor="text1"/>
          <w:szCs w:val="24"/>
        </w:rPr>
        <w:t xml:space="preserve"> </w:t>
      </w:r>
      <w:r w:rsidRPr="00AB0A87">
        <w:rPr>
          <w:rFonts w:cstheme="minorHAnsi"/>
          <w:b/>
          <w:color w:val="000000" w:themeColor="text1"/>
          <w:szCs w:val="24"/>
        </w:rPr>
        <w:t>Please clarify.</w:t>
      </w:r>
    </w:p>
    <w:p w14:paraId="3869E4A0" w14:textId="77777777" w:rsidR="00E44AF3" w:rsidRPr="00E44AF3" w:rsidRDefault="00E44AF3" w:rsidP="00E44AF3">
      <w:pPr>
        <w:rPr>
          <w:rFonts w:cstheme="minorHAnsi"/>
          <w:b/>
          <w:bCs/>
          <w:szCs w:val="24"/>
        </w:rPr>
      </w:pPr>
    </w:p>
    <w:p w14:paraId="5174A770" w14:textId="6851599E" w:rsidR="00E44AF3" w:rsidRPr="00E44AF3" w:rsidRDefault="00E44AF3" w:rsidP="00AB0A87">
      <w:pPr>
        <w:spacing w:after="0"/>
        <w:rPr>
          <w:rFonts w:cstheme="minorHAnsi"/>
          <w:szCs w:val="24"/>
        </w:rPr>
      </w:pPr>
      <w:r w:rsidRPr="00E44AF3">
        <w:rPr>
          <w:rFonts w:cstheme="minorHAnsi"/>
          <w:szCs w:val="24"/>
        </w:rPr>
        <w:lastRenderedPageBreak/>
        <w:t>We apologize for the misinformation in the presentation.</w:t>
      </w:r>
      <w:r w:rsidR="00DC43BB">
        <w:rPr>
          <w:rFonts w:cstheme="minorHAnsi"/>
          <w:szCs w:val="24"/>
        </w:rPr>
        <w:t xml:space="preserve"> </w:t>
      </w:r>
      <w:r w:rsidRPr="00E44AF3">
        <w:rPr>
          <w:rFonts w:cstheme="minorHAnsi"/>
          <w:szCs w:val="24"/>
        </w:rPr>
        <w:t>The EDD does anticipate funding approximately three to five awards, with individual grant amounts ranging from a minimum of $2 million to a maximum of $12 million.</w:t>
      </w:r>
      <w:r w:rsidR="00DC43BB">
        <w:rPr>
          <w:rFonts w:cstheme="minorHAnsi"/>
          <w:szCs w:val="24"/>
        </w:rPr>
        <w:t xml:space="preserve"> </w:t>
      </w:r>
      <w:r w:rsidRPr="00E44AF3">
        <w:rPr>
          <w:rFonts w:cstheme="minorHAnsi"/>
          <w:szCs w:val="24"/>
        </w:rPr>
        <w:t>The determination of funding requests should include projected participants at a cost-per-participant average of $15,000, other performance measures, and factors specific to the service area, target population, and reasonable costs for proposed services.</w:t>
      </w:r>
    </w:p>
    <w:p w14:paraId="6FB3D895" w14:textId="77777777" w:rsidR="00E44AF3" w:rsidRDefault="00E44AF3" w:rsidP="00E44AF3">
      <w:pPr>
        <w:spacing w:after="0"/>
        <w:outlineLvl w:val="0"/>
        <w:rPr>
          <w:rFonts w:cstheme="minorHAnsi"/>
          <w:b/>
          <w:color w:val="000000" w:themeColor="text1"/>
          <w:szCs w:val="24"/>
        </w:rPr>
      </w:pPr>
    </w:p>
    <w:p w14:paraId="7E2C4A01" w14:textId="1F666C5B" w:rsidR="00E44AF3" w:rsidRPr="00AB0A87" w:rsidRDefault="00E44AF3" w:rsidP="00AB0A87">
      <w:pPr>
        <w:pStyle w:val="ListParagraph"/>
        <w:numPr>
          <w:ilvl w:val="0"/>
          <w:numId w:val="11"/>
        </w:numPr>
        <w:spacing w:after="0"/>
        <w:outlineLvl w:val="0"/>
        <w:rPr>
          <w:rFonts w:cstheme="minorHAnsi"/>
          <w:b/>
          <w:color w:val="000000" w:themeColor="text1"/>
          <w:szCs w:val="24"/>
        </w:rPr>
      </w:pPr>
      <w:r w:rsidRPr="00AB0A87">
        <w:rPr>
          <w:rFonts w:cstheme="minorHAnsi"/>
          <w:b/>
          <w:color w:val="000000" w:themeColor="text1"/>
          <w:szCs w:val="24"/>
        </w:rPr>
        <w:t>Are there other options for older employees besides receiving training and then retiring?</w:t>
      </w:r>
    </w:p>
    <w:p w14:paraId="042003C4" w14:textId="77777777" w:rsidR="00E44AF3" w:rsidRPr="00E44AF3" w:rsidRDefault="00E44AF3" w:rsidP="00AB0A87">
      <w:pPr>
        <w:spacing w:after="0"/>
        <w:rPr>
          <w:rFonts w:cstheme="minorHAnsi"/>
          <w:b/>
          <w:bCs/>
          <w:szCs w:val="24"/>
        </w:rPr>
      </w:pPr>
    </w:p>
    <w:p w14:paraId="5B3D20B0" w14:textId="43B08289" w:rsidR="00E44AF3" w:rsidRPr="00E44AF3" w:rsidRDefault="00E44AF3" w:rsidP="00AB0A87">
      <w:pPr>
        <w:spacing w:after="0"/>
        <w:rPr>
          <w:rFonts w:cstheme="minorHAnsi"/>
          <w:szCs w:val="24"/>
        </w:rPr>
      </w:pPr>
      <w:r w:rsidRPr="00E44AF3">
        <w:rPr>
          <w:rFonts w:cstheme="minorHAnsi"/>
          <w:szCs w:val="24"/>
        </w:rPr>
        <w:t>The DOGWF Grant is committed to facilitating a just and sustainable shift for workers displaced from the oil and gas industry.</w:t>
      </w:r>
      <w:r w:rsidR="00DC43BB">
        <w:rPr>
          <w:rFonts w:cstheme="minorHAnsi"/>
          <w:szCs w:val="24"/>
        </w:rPr>
        <w:t xml:space="preserve"> </w:t>
      </w:r>
      <w:r w:rsidRPr="00E44AF3">
        <w:rPr>
          <w:rFonts w:cstheme="minorHAnsi"/>
          <w:szCs w:val="24"/>
        </w:rPr>
        <w:t>This initiative's primary focus is to enhance these individuals' prospects by offering targeted education, training, and re-employment opportunities before considering retirement.</w:t>
      </w:r>
    </w:p>
    <w:p w14:paraId="531BD967" w14:textId="77777777" w:rsidR="00E44AF3" w:rsidRPr="00E44AF3" w:rsidRDefault="00E44AF3" w:rsidP="00E44AF3">
      <w:pPr>
        <w:spacing w:after="0"/>
        <w:outlineLvl w:val="0"/>
        <w:rPr>
          <w:rFonts w:cstheme="minorHAnsi"/>
          <w:b/>
          <w:color w:val="000000" w:themeColor="text1"/>
          <w:szCs w:val="24"/>
        </w:rPr>
      </w:pPr>
      <w:r w:rsidRPr="00E44AF3">
        <w:rPr>
          <w:rFonts w:cstheme="minorHAnsi"/>
          <w:b/>
          <w:color w:val="000000" w:themeColor="text1"/>
          <w:szCs w:val="24"/>
        </w:rPr>
        <w:t xml:space="preserve"> </w:t>
      </w:r>
    </w:p>
    <w:p w14:paraId="6E70199C" w14:textId="5F08A330" w:rsidR="00E44AF3" w:rsidRPr="00AB0A87" w:rsidRDefault="00E44AF3" w:rsidP="00AB0A87">
      <w:pPr>
        <w:pStyle w:val="ListParagraph"/>
        <w:numPr>
          <w:ilvl w:val="0"/>
          <w:numId w:val="11"/>
        </w:numPr>
        <w:spacing w:after="0"/>
        <w:outlineLvl w:val="0"/>
        <w:rPr>
          <w:rFonts w:cstheme="minorHAnsi"/>
          <w:b/>
          <w:color w:val="000000" w:themeColor="text1"/>
          <w:szCs w:val="24"/>
        </w:rPr>
      </w:pPr>
      <w:r w:rsidRPr="00AB0A87">
        <w:rPr>
          <w:rFonts w:cstheme="minorHAnsi"/>
          <w:b/>
          <w:color w:val="000000" w:themeColor="text1"/>
          <w:szCs w:val="24"/>
        </w:rPr>
        <w:t>Are there any ineligible costs within the potential cash assistance/job training packages?</w:t>
      </w:r>
    </w:p>
    <w:p w14:paraId="5D9363AA" w14:textId="77777777" w:rsidR="00E44AF3" w:rsidRPr="00E44AF3" w:rsidRDefault="00E44AF3" w:rsidP="00AB0A87">
      <w:pPr>
        <w:spacing w:after="0"/>
        <w:rPr>
          <w:rFonts w:cstheme="minorHAnsi"/>
          <w:b/>
          <w:bCs/>
          <w:szCs w:val="24"/>
        </w:rPr>
      </w:pPr>
    </w:p>
    <w:p w14:paraId="51EBF651" w14:textId="2FE0E4D6" w:rsidR="00E44AF3" w:rsidRPr="00AB0A87" w:rsidRDefault="00E44AF3" w:rsidP="00AB0A87">
      <w:pPr>
        <w:spacing w:after="0"/>
        <w:rPr>
          <w:rFonts w:cstheme="minorHAnsi"/>
          <w:szCs w:val="24"/>
        </w:rPr>
      </w:pPr>
      <w:bookmarkStart w:id="14" w:name="_Hlk148616400"/>
      <w:r w:rsidRPr="00E44AF3">
        <w:rPr>
          <w:rFonts w:cstheme="minorHAnsi"/>
          <w:szCs w:val="24"/>
        </w:rPr>
        <w:t>Financial stipends will only be available to trainees participating in designated training programs, and incentive programs can be developed to encourage specific job search activities to support their participation and successful outcomes.</w:t>
      </w:r>
      <w:r w:rsidR="00DC43BB">
        <w:rPr>
          <w:rFonts w:cstheme="minorHAnsi"/>
          <w:szCs w:val="24"/>
        </w:rPr>
        <w:t xml:space="preserve"> </w:t>
      </w:r>
      <w:r w:rsidRPr="00E44AF3">
        <w:rPr>
          <w:rFonts w:ascii="Calibri" w:eastAsia="Calibri" w:hAnsi="Calibri" w:cs="Calibri"/>
          <w:color w:val="000000"/>
          <w:szCs w:val="24"/>
        </w:rPr>
        <w:t>O</w:t>
      </w:r>
      <w:r w:rsidRPr="00E44AF3">
        <w:rPr>
          <w:rFonts w:cstheme="minorHAnsi"/>
          <w:szCs w:val="24"/>
        </w:rPr>
        <w:t>ptional training programs that lead to employer-recognized certifications with subsidized wages are also allowable and can include on-the-job training, work-based learning programs, registered apprenticeship programs, and pre-apprenticeship programs.</w:t>
      </w:r>
      <w:r w:rsidR="00DC43BB">
        <w:rPr>
          <w:rFonts w:cstheme="minorHAnsi"/>
          <w:szCs w:val="24"/>
        </w:rPr>
        <w:t xml:space="preserve"> </w:t>
      </w:r>
      <w:r w:rsidRPr="00E44AF3">
        <w:rPr>
          <w:rFonts w:cstheme="minorHAnsi"/>
          <w:szCs w:val="24"/>
        </w:rPr>
        <w:t xml:space="preserve">Partnerships with Division of Apprenticeship Standards (DAS) approved apprenticeships are encouraged. </w:t>
      </w:r>
      <w:bookmarkEnd w:id="14"/>
    </w:p>
    <w:p w14:paraId="7DEB87CF" w14:textId="4FC60BD5" w:rsidR="00E44AF3" w:rsidRDefault="00E44AF3" w:rsidP="00AB0A87">
      <w:pPr>
        <w:spacing w:after="0"/>
        <w:rPr>
          <w:rFonts w:cstheme="minorHAnsi"/>
          <w:b/>
          <w:color w:val="000000" w:themeColor="text1"/>
          <w:szCs w:val="24"/>
        </w:rPr>
      </w:pPr>
    </w:p>
    <w:p w14:paraId="645567DA" w14:textId="2A7F0152" w:rsidR="00E44AF3" w:rsidRPr="00AB0A87" w:rsidRDefault="00E44AF3" w:rsidP="00AB0A87">
      <w:pPr>
        <w:pStyle w:val="ListParagraph"/>
        <w:numPr>
          <w:ilvl w:val="0"/>
          <w:numId w:val="11"/>
        </w:numPr>
        <w:spacing w:after="0"/>
        <w:outlineLvl w:val="0"/>
        <w:rPr>
          <w:rFonts w:cstheme="minorHAnsi"/>
          <w:b/>
          <w:color w:val="000000" w:themeColor="text1"/>
          <w:szCs w:val="24"/>
        </w:rPr>
      </w:pPr>
      <w:r w:rsidRPr="00AB0A87">
        <w:rPr>
          <w:rFonts w:cstheme="minorHAnsi"/>
          <w:b/>
          <w:color w:val="000000" w:themeColor="text1"/>
          <w:szCs w:val="24"/>
        </w:rPr>
        <w:t>Can a joint labor-management team apply?</w:t>
      </w:r>
    </w:p>
    <w:p w14:paraId="1E79D691" w14:textId="2B8AFD28" w:rsidR="00F8144E" w:rsidRDefault="00F8144E" w:rsidP="00AB0A87">
      <w:pPr>
        <w:spacing w:after="0"/>
        <w:rPr>
          <w:rFonts w:cstheme="minorHAnsi"/>
          <w:szCs w:val="24"/>
        </w:rPr>
      </w:pPr>
    </w:p>
    <w:p w14:paraId="78FC5667" w14:textId="516FBDF2" w:rsidR="00F8144E" w:rsidRPr="00F56318" w:rsidRDefault="00E44AF3" w:rsidP="003C4722">
      <w:pPr>
        <w:rPr>
          <w:rFonts w:cstheme="minorHAnsi"/>
          <w:szCs w:val="24"/>
        </w:rPr>
      </w:pPr>
      <w:r w:rsidRPr="00E44AF3">
        <w:rPr>
          <w:rFonts w:cstheme="minorHAnsi"/>
          <w:szCs w:val="24"/>
        </w:rPr>
        <w:t>Yes, but the DOGWF awardees will act as lead organizations if proposals include consortia or multiple partnerships.</w:t>
      </w:r>
      <w:r w:rsidR="00DC43BB">
        <w:rPr>
          <w:rFonts w:cstheme="minorHAnsi"/>
          <w:szCs w:val="24"/>
        </w:rPr>
        <w:t xml:space="preserve"> </w:t>
      </w:r>
      <w:r w:rsidRPr="00E44AF3">
        <w:rPr>
          <w:rFonts w:cstheme="minorHAnsi"/>
          <w:szCs w:val="24"/>
        </w:rPr>
        <w:t>Awardees will assist with disseminating funds to partner programs, ensure program goals, work closely with EDD project managers, and provide program updates as needed.</w:t>
      </w:r>
    </w:p>
    <w:sectPr w:rsidR="00F8144E" w:rsidRPr="00F56318" w:rsidSect="00125585">
      <w:type w:val="continuous"/>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D91AC" w14:textId="77777777" w:rsidR="000E2884" w:rsidRDefault="000E2884" w:rsidP="00C4619D">
      <w:pPr>
        <w:spacing w:after="0" w:line="240" w:lineRule="auto"/>
      </w:pPr>
      <w:r>
        <w:separator/>
      </w:r>
    </w:p>
  </w:endnote>
  <w:endnote w:type="continuationSeparator" w:id="0">
    <w:p w14:paraId="740FC7B3" w14:textId="77777777" w:rsidR="000E2884" w:rsidRDefault="000E2884" w:rsidP="00C4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1535" w14:textId="1B48CCC2" w:rsidR="006B0413" w:rsidRPr="00A20493" w:rsidRDefault="00DC43BB" w:rsidP="006B0413">
    <w:pPr>
      <w:pStyle w:val="Footer"/>
      <w:rPr>
        <w:szCs w:val="24"/>
      </w:rPr>
    </w:pPr>
    <w:sdt>
      <w:sdtPr>
        <w:id w:val="2060745792"/>
        <w:docPartObj>
          <w:docPartGallery w:val="Page Numbers (Top of Page)"/>
          <w:docPartUnique/>
        </w:docPartObj>
      </w:sdtPr>
      <w:sdtEndPr>
        <w:rPr>
          <w:szCs w:val="24"/>
        </w:rPr>
      </w:sdtEndPr>
      <w:sdtContent>
        <w:r w:rsidR="006B0413">
          <w:t xml:space="preserve">DOGWF </w:t>
        </w:r>
        <w:r w:rsidR="006B0413">
          <w:rPr>
            <w:szCs w:val="24"/>
          </w:rPr>
          <w:t>SFP PY 23</w:t>
        </w:r>
        <w:r w:rsidR="006B0413" w:rsidRPr="00A20493">
          <w:rPr>
            <w:szCs w:val="24"/>
          </w:rPr>
          <w:t>-</w:t>
        </w:r>
        <w:r w:rsidR="006B0413">
          <w:rPr>
            <w:szCs w:val="24"/>
          </w:rPr>
          <w:t>24</w:t>
        </w:r>
        <w:r w:rsidR="006B0413" w:rsidRPr="00A20493">
          <w:rPr>
            <w:szCs w:val="24"/>
          </w:rPr>
          <w:tab/>
          <w:t xml:space="preserve">Page </w:t>
        </w:r>
        <w:r w:rsidR="006B0413" w:rsidRPr="00A20493">
          <w:rPr>
            <w:bCs/>
            <w:szCs w:val="24"/>
          </w:rPr>
          <w:fldChar w:fldCharType="begin"/>
        </w:r>
        <w:r w:rsidR="006B0413" w:rsidRPr="00A20493">
          <w:rPr>
            <w:bCs/>
            <w:szCs w:val="24"/>
          </w:rPr>
          <w:instrText xml:space="preserve"> PAGE </w:instrText>
        </w:r>
        <w:r w:rsidR="006B0413" w:rsidRPr="00A20493">
          <w:rPr>
            <w:bCs/>
            <w:szCs w:val="24"/>
          </w:rPr>
          <w:fldChar w:fldCharType="separate"/>
        </w:r>
        <w:r w:rsidR="006B0413">
          <w:rPr>
            <w:bCs/>
            <w:szCs w:val="24"/>
          </w:rPr>
          <w:t>1</w:t>
        </w:r>
        <w:r w:rsidR="006B0413" w:rsidRPr="00A20493">
          <w:rPr>
            <w:bCs/>
            <w:szCs w:val="24"/>
          </w:rPr>
          <w:fldChar w:fldCharType="end"/>
        </w:r>
        <w:r w:rsidR="006B0413" w:rsidRPr="00A20493">
          <w:rPr>
            <w:szCs w:val="24"/>
          </w:rPr>
          <w:t xml:space="preserve"> of </w:t>
        </w:r>
        <w:r w:rsidR="006B0413" w:rsidRPr="00A20493">
          <w:rPr>
            <w:bCs/>
            <w:szCs w:val="24"/>
          </w:rPr>
          <w:fldChar w:fldCharType="begin"/>
        </w:r>
        <w:r w:rsidR="006B0413" w:rsidRPr="00A20493">
          <w:rPr>
            <w:bCs/>
            <w:szCs w:val="24"/>
          </w:rPr>
          <w:instrText xml:space="preserve"> NUMPAGES  </w:instrText>
        </w:r>
        <w:r w:rsidR="006B0413" w:rsidRPr="00A20493">
          <w:rPr>
            <w:bCs/>
            <w:szCs w:val="24"/>
          </w:rPr>
          <w:fldChar w:fldCharType="separate"/>
        </w:r>
        <w:r w:rsidR="006B0413">
          <w:rPr>
            <w:bCs/>
            <w:szCs w:val="24"/>
          </w:rPr>
          <w:t>6</w:t>
        </w:r>
        <w:r w:rsidR="006B0413" w:rsidRPr="00A20493">
          <w:rPr>
            <w:bCs/>
            <w:szCs w:val="24"/>
          </w:rPr>
          <w:fldChar w:fldCharType="end"/>
        </w:r>
        <w:r w:rsidR="006B0413" w:rsidRPr="00A20493">
          <w:rPr>
            <w:bCs/>
            <w:szCs w:val="24"/>
          </w:rPr>
          <w:t xml:space="preserve"> </w:t>
        </w:r>
        <w:r w:rsidR="006B0413">
          <w:rPr>
            <w:bCs/>
            <w:szCs w:val="24"/>
          </w:rPr>
          <w:tab/>
          <w:t>October 2023</w:t>
        </w:r>
      </w:sdtContent>
    </w:sdt>
  </w:p>
  <w:p w14:paraId="2383EB9F" w14:textId="77777777" w:rsidR="006B0413" w:rsidRDefault="006B0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9349" w14:textId="519FFE6C" w:rsidR="00A20493" w:rsidRPr="00A20493" w:rsidRDefault="00DC43BB" w:rsidP="00A20493">
    <w:pPr>
      <w:pStyle w:val="Footer"/>
      <w:rPr>
        <w:szCs w:val="24"/>
      </w:rPr>
    </w:pPr>
    <w:sdt>
      <w:sdtPr>
        <w:id w:val="1728636285"/>
        <w:docPartObj>
          <w:docPartGallery w:val="Page Numbers (Top of Page)"/>
          <w:docPartUnique/>
        </w:docPartObj>
      </w:sdtPr>
      <w:sdtEndPr>
        <w:rPr>
          <w:szCs w:val="24"/>
        </w:rPr>
      </w:sdtEndPr>
      <w:sdtContent>
        <w:r w:rsidR="00AD26CE">
          <w:t xml:space="preserve">DOGWF </w:t>
        </w:r>
        <w:r w:rsidR="00981B51">
          <w:rPr>
            <w:szCs w:val="24"/>
          </w:rPr>
          <w:t xml:space="preserve">SFP PY </w:t>
        </w:r>
        <w:r w:rsidR="006D0069">
          <w:rPr>
            <w:szCs w:val="24"/>
          </w:rPr>
          <w:t>2</w:t>
        </w:r>
        <w:r w:rsidR="00AD26CE">
          <w:rPr>
            <w:szCs w:val="24"/>
          </w:rPr>
          <w:t>3</w:t>
        </w:r>
        <w:r w:rsidR="00A20493" w:rsidRPr="00A20493">
          <w:rPr>
            <w:szCs w:val="24"/>
          </w:rPr>
          <w:t>-</w:t>
        </w:r>
        <w:r w:rsidR="006D0069">
          <w:rPr>
            <w:szCs w:val="24"/>
          </w:rPr>
          <w:t>2</w:t>
        </w:r>
        <w:r w:rsidR="00AD26CE">
          <w:rPr>
            <w:szCs w:val="24"/>
          </w:rPr>
          <w:t>4</w:t>
        </w:r>
        <w:r w:rsidR="00A20493" w:rsidRPr="00A20493">
          <w:rPr>
            <w:szCs w:val="24"/>
          </w:rPr>
          <w:tab/>
          <w:t xml:space="preserve">Page </w:t>
        </w:r>
        <w:r w:rsidR="00A20493" w:rsidRPr="00A20493">
          <w:rPr>
            <w:bCs/>
            <w:szCs w:val="24"/>
          </w:rPr>
          <w:fldChar w:fldCharType="begin"/>
        </w:r>
        <w:r w:rsidR="00A20493" w:rsidRPr="00A20493">
          <w:rPr>
            <w:bCs/>
            <w:szCs w:val="24"/>
          </w:rPr>
          <w:instrText xml:space="preserve"> PAGE </w:instrText>
        </w:r>
        <w:r w:rsidR="00A20493" w:rsidRPr="00A20493">
          <w:rPr>
            <w:bCs/>
            <w:szCs w:val="24"/>
          </w:rPr>
          <w:fldChar w:fldCharType="separate"/>
        </w:r>
        <w:r w:rsidR="007A2BFD">
          <w:rPr>
            <w:bCs/>
            <w:noProof/>
            <w:szCs w:val="24"/>
          </w:rPr>
          <w:t>1</w:t>
        </w:r>
        <w:r w:rsidR="00A20493" w:rsidRPr="00A20493">
          <w:rPr>
            <w:bCs/>
            <w:szCs w:val="24"/>
          </w:rPr>
          <w:fldChar w:fldCharType="end"/>
        </w:r>
        <w:r w:rsidR="00A20493" w:rsidRPr="00A20493">
          <w:rPr>
            <w:szCs w:val="24"/>
          </w:rPr>
          <w:t xml:space="preserve"> of </w:t>
        </w:r>
        <w:r w:rsidR="00A20493" w:rsidRPr="00A20493">
          <w:rPr>
            <w:bCs/>
            <w:szCs w:val="24"/>
          </w:rPr>
          <w:fldChar w:fldCharType="begin"/>
        </w:r>
        <w:r w:rsidR="00A20493" w:rsidRPr="00A20493">
          <w:rPr>
            <w:bCs/>
            <w:szCs w:val="24"/>
          </w:rPr>
          <w:instrText xml:space="preserve"> NUMPAGES  </w:instrText>
        </w:r>
        <w:r w:rsidR="00A20493" w:rsidRPr="00A20493">
          <w:rPr>
            <w:bCs/>
            <w:szCs w:val="24"/>
          </w:rPr>
          <w:fldChar w:fldCharType="separate"/>
        </w:r>
        <w:r w:rsidR="007A2BFD">
          <w:rPr>
            <w:bCs/>
            <w:noProof/>
            <w:szCs w:val="24"/>
          </w:rPr>
          <w:t>1</w:t>
        </w:r>
        <w:r w:rsidR="00A20493" w:rsidRPr="00A20493">
          <w:rPr>
            <w:bCs/>
            <w:szCs w:val="24"/>
          </w:rPr>
          <w:fldChar w:fldCharType="end"/>
        </w:r>
        <w:r w:rsidR="00A20493" w:rsidRPr="00A20493">
          <w:rPr>
            <w:bCs/>
            <w:szCs w:val="24"/>
          </w:rPr>
          <w:t xml:space="preserve"> </w:t>
        </w:r>
        <w:r w:rsidR="00A20493">
          <w:rPr>
            <w:bCs/>
            <w:szCs w:val="24"/>
          </w:rPr>
          <w:tab/>
        </w:r>
        <w:r w:rsidR="00AD26CE">
          <w:rPr>
            <w:bCs/>
            <w:szCs w:val="24"/>
          </w:rPr>
          <w:t>October 2023</w:t>
        </w:r>
      </w:sdtContent>
    </w:sdt>
  </w:p>
  <w:p w14:paraId="34BD934A" w14:textId="77777777" w:rsidR="00A20493" w:rsidRDefault="00A20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F8DF9" w14:textId="77777777" w:rsidR="000E2884" w:rsidRDefault="000E2884" w:rsidP="00C4619D">
      <w:pPr>
        <w:spacing w:after="0" w:line="240" w:lineRule="auto"/>
      </w:pPr>
      <w:r>
        <w:separator/>
      </w:r>
    </w:p>
  </w:footnote>
  <w:footnote w:type="continuationSeparator" w:id="0">
    <w:p w14:paraId="63CD3BBE" w14:textId="77777777" w:rsidR="000E2884" w:rsidRDefault="000E2884" w:rsidP="00C46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5808"/>
    <w:multiLevelType w:val="multilevel"/>
    <w:tmpl w:val="EF84630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ADE74CA"/>
    <w:multiLevelType w:val="hybridMultilevel"/>
    <w:tmpl w:val="6DFE2A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F286934"/>
    <w:multiLevelType w:val="hybridMultilevel"/>
    <w:tmpl w:val="6A107FF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F339BE"/>
    <w:multiLevelType w:val="hybridMultilevel"/>
    <w:tmpl w:val="B8A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D2CDA"/>
    <w:multiLevelType w:val="hybridMultilevel"/>
    <w:tmpl w:val="ACAA76A6"/>
    <w:lvl w:ilvl="0" w:tplc="04090011">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5CDF1728"/>
    <w:multiLevelType w:val="hybridMultilevel"/>
    <w:tmpl w:val="652E3232"/>
    <w:lvl w:ilvl="0" w:tplc="2ED06E8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E06D9"/>
    <w:multiLevelType w:val="hybridMultilevel"/>
    <w:tmpl w:val="1A8601C8"/>
    <w:lvl w:ilvl="0" w:tplc="3306BFA8">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74649"/>
    <w:multiLevelType w:val="hybridMultilevel"/>
    <w:tmpl w:val="40B6F6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F63759F"/>
    <w:multiLevelType w:val="hybridMultilevel"/>
    <w:tmpl w:val="46A0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8329C7"/>
    <w:multiLevelType w:val="hybridMultilevel"/>
    <w:tmpl w:val="BBE858EE"/>
    <w:lvl w:ilvl="0" w:tplc="CC3479B0">
      <w:numFmt w:val="bullet"/>
      <w:lvlText w:val=""/>
      <w:lvlJc w:val="left"/>
      <w:pPr>
        <w:ind w:left="1080" w:hanging="72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9"/>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EwNjIysLA0NTA3NDFR0lEKTi0uzszPAykwrwUARfS/uywAAAA="/>
  </w:docVars>
  <w:rsids>
    <w:rsidRoot w:val="00C4619D"/>
    <w:rsid w:val="00011FF6"/>
    <w:rsid w:val="0005733A"/>
    <w:rsid w:val="00064B6E"/>
    <w:rsid w:val="00070957"/>
    <w:rsid w:val="00077074"/>
    <w:rsid w:val="000907CE"/>
    <w:rsid w:val="000942B8"/>
    <w:rsid w:val="00096466"/>
    <w:rsid w:val="000A7E79"/>
    <w:rsid w:val="000D41F4"/>
    <w:rsid w:val="000E2884"/>
    <w:rsid w:val="00125585"/>
    <w:rsid w:val="00166463"/>
    <w:rsid w:val="0017715C"/>
    <w:rsid w:val="00184425"/>
    <w:rsid w:val="001A419E"/>
    <w:rsid w:val="001A5DD5"/>
    <w:rsid w:val="001F3A50"/>
    <w:rsid w:val="002241D7"/>
    <w:rsid w:val="00230165"/>
    <w:rsid w:val="00233C68"/>
    <w:rsid w:val="00243E97"/>
    <w:rsid w:val="0027732C"/>
    <w:rsid w:val="0029566A"/>
    <w:rsid w:val="002A49F5"/>
    <w:rsid w:val="002C59C1"/>
    <w:rsid w:val="002E1426"/>
    <w:rsid w:val="002F1B40"/>
    <w:rsid w:val="00331BF6"/>
    <w:rsid w:val="0038630F"/>
    <w:rsid w:val="003A1359"/>
    <w:rsid w:val="003A1E24"/>
    <w:rsid w:val="003A6798"/>
    <w:rsid w:val="003C4722"/>
    <w:rsid w:val="003F4960"/>
    <w:rsid w:val="003F52C1"/>
    <w:rsid w:val="004152B5"/>
    <w:rsid w:val="00456691"/>
    <w:rsid w:val="00465C12"/>
    <w:rsid w:val="00485B57"/>
    <w:rsid w:val="00486070"/>
    <w:rsid w:val="004C54B7"/>
    <w:rsid w:val="004C7838"/>
    <w:rsid w:val="004C7A9D"/>
    <w:rsid w:val="004D2C52"/>
    <w:rsid w:val="004D4E7D"/>
    <w:rsid w:val="005672DE"/>
    <w:rsid w:val="005828C4"/>
    <w:rsid w:val="005B7443"/>
    <w:rsid w:val="005C4514"/>
    <w:rsid w:val="005C50CC"/>
    <w:rsid w:val="005E57E5"/>
    <w:rsid w:val="00603577"/>
    <w:rsid w:val="00635F03"/>
    <w:rsid w:val="006736D1"/>
    <w:rsid w:val="00686543"/>
    <w:rsid w:val="00693DDF"/>
    <w:rsid w:val="006A3FCD"/>
    <w:rsid w:val="006A609C"/>
    <w:rsid w:val="006B0413"/>
    <w:rsid w:val="006B415E"/>
    <w:rsid w:val="006D0069"/>
    <w:rsid w:val="006D1667"/>
    <w:rsid w:val="0071078A"/>
    <w:rsid w:val="00716669"/>
    <w:rsid w:val="00733D79"/>
    <w:rsid w:val="007538F6"/>
    <w:rsid w:val="007607FD"/>
    <w:rsid w:val="00771FA8"/>
    <w:rsid w:val="007A2BFD"/>
    <w:rsid w:val="007C0F9E"/>
    <w:rsid w:val="007D3711"/>
    <w:rsid w:val="008061A0"/>
    <w:rsid w:val="00861DD5"/>
    <w:rsid w:val="008909EA"/>
    <w:rsid w:val="008A2287"/>
    <w:rsid w:val="00922A5D"/>
    <w:rsid w:val="009470D6"/>
    <w:rsid w:val="009632DF"/>
    <w:rsid w:val="00981B51"/>
    <w:rsid w:val="00983499"/>
    <w:rsid w:val="009E1A7B"/>
    <w:rsid w:val="00A03350"/>
    <w:rsid w:val="00A11416"/>
    <w:rsid w:val="00A141D9"/>
    <w:rsid w:val="00A20493"/>
    <w:rsid w:val="00A21B60"/>
    <w:rsid w:val="00A311B3"/>
    <w:rsid w:val="00A53A4A"/>
    <w:rsid w:val="00A73267"/>
    <w:rsid w:val="00A753B5"/>
    <w:rsid w:val="00A86DD1"/>
    <w:rsid w:val="00A87723"/>
    <w:rsid w:val="00AB0A87"/>
    <w:rsid w:val="00AD26CE"/>
    <w:rsid w:val="00AF6711"/>
    <w:rsid w:val="00B34956"/>
    <w:rsid w:val="00B37BB7"/>
    <w:rsid w:val="00B44FC5"/>
    <w:rsid w:val="00B61E64"/>
    <w:rsid w:val="00B7712E"/>
    <w:rsid w:val="00B775DE"/>
    <w:rsid w:val="00B808CB"/>
    <w:rsid w:val="00BB4329"/>
    <w:rsid w:val="00BC356A"/>
    <w:rsid w:val="00BF7C9C"/>
    <w:rsid w:val="00BF7E4A"/>
    <w:rsid w:val="00C207D9"/>
    <w:rsid w:val="00C4619D"/>
    <w:rsid w:val="00C76E65"/>
    <w:rsid w:val="00C77556"/>
    <w:rsid w:val="00C822CB"/>
    <w:rsid w:val="00C864F3"/>
    <w:rsid w:val="00CC019F"/>
    <w:rsid w:val="00CE0CB8"/>
    <w:rsid w:val="00CE165B"/>
    <w:rsid w:val="00CF27D3"/>
    <w:rsid w:val="00D00615"/>
    <w:rsid w:val="00D53E91"/>
    <w:rsid w:val="00D71FD0"/>
    <w:rsid w:val="00D7273E"/>
    <w:rsid w:val="00DC43BB"/>
    <w:rsid w:val="00DC4413"/>
    <w:rsid w:val="00DD5A7C"/>
    <w:rsid w:val="00DE1873"/>
    <w:rsid w:val="00DF7D10"/>
    <w:rsid w:val="00E23A28"/>
    <w:rsid w:val="00E44AF3"/>
    <w:rsid w:val="00E52A71"/>
    <w:rsid w:val="00E53985"/>
    <w:rsid w:val="00E62748"/>
    <w:rsid w:val="00E81F29"/>
    <w:rsid w:val="00EA22D1"/>
    <w:rsid w:val="00EB620C"/>
    <w:rsid w:val="00EE6F6A"/>
    <w:rsid w:val="00F56318"/>
    <w:rsid w:val="00F8144E"/>
    <w:rsid w:val="00F9480C"/>
    <w:rsid w:val="00FA5D01"/>
    <w:rsid w:val="00FA7522"/>
    <w:rsid w:val="00FB67AA"/>
    <w:rsid w:val="00FD56D3"/>
    <w:rsid w:val="00FE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D931E"/>
  <w15:chartTrackingRefBased/>
  <w15:docId w15:val="{CD496050-676D-4EE3-823A-B241FE82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287"/>
    <w:rPr>
      <w:sz w:val="24"/>
    </w:rPr>
  </w:style>
  <w:style w:type="paragraph" w:styleId="Heading1">
    <w:name w:val="heading 1"/>
    <w:basedOn w:val="Header"/>
    <w:next w:val="Normal"/>
    <w:link w:val="Heading1Char"/>
    <w:uiPriority w:val="9"/>
    <w:qFormat/>
    <w:rsid w:val="00125585"/>
    <w:pPr>
      <w:outlineLvl w:val="0"/>
    </w:pPr>
    <w:rPr>
      <w:rFonts w:cstheme="minorHAnsi"/>
      <w:b/>
      <w:color w:val="1F4E79" w:themeColor="accent1" w:themeShade="80"/>
      <w:sz w:val="28"/>
      <w:szCs w:val="28"/>
    </w:rPr>
  </w:style>
  <w:style w:type="paragraph" w:styleId="Heading2">
    <w:name w:val="heading 2"/>
    <w:basedOn w:val="Normal"/>
    <w:next w:val="Normal"/>
    <w:link w:val="Heading2Char"/>
    <w:uiPriority w:val="9"/>
    <w:unhideWhenUsed/>
    <w:qFormat/>
    <w:rsid w:val="00125585"/>
    <w:pPr>
      <w:spacing w:after="0" w:line="240" w:lineRule="auto"/>
      <w:outlineLvl w:val="1"/>
    </w:pPr>
    <w:rPr>
      <w:b/>
      <w:szCs w:val="24"/>
    </w:rPr>
  </w:style>
  <w:style w:type="paragraph" w:styleId="Heading3">
    <w:name w:val="heading 3"/>
    <w:basedOn w:val="Heading2"/>
    <w:next w:val="Normal"/>
    <w:link w:val="Heading3Char"/>
    <w:uiPriority w:val="9"/>
    <w:unhideWhenUsed/>
    <w:qFormat/>
    <w:rsid w:val="00125585"/>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19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46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19D"/>
  </w:style>
  <w:style w:type="paragraph" w:styleId="Footer">
    <w:name w:val="footer"/>
    <w:basedOn w:val="Normal"/>
    <w:link w:val="FooterChar"/>
    <w:uiPriority w:val="99"/>
    <w:unhideWhenUsed/>
    <w:rsid w:val="00C46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19D"/>
  </w:style>
  <w:style w:type="character" w:styleId="Hyperlink">
    <w:name w:val="Hyperlink"/>
    <w:basedOn w:val="DefaultParagraphFont"/>
    <w:uiPriority w:val="99"/>
    <w:unhideWhenUsed/>
    <w:rsid w:val="00C4619D"/>
    <w:rPr>
      <w:color w:val="0563C1" w:themeColor="hyperlink"/>
      <w:u w:val="single"/>
    </w:rPr>
  </w:style>
  <w:style w:type="paragraph" w:styleId="BalloonText">
    <w:name w:val="Balloon Text"/>
    <w:basedOn w:val="Normal"/>
    <w:link w:val="BalloonTextChar"/>
    <w:uiPriority w:val="99"/>
    <w:semiHidden/>
    <w:unhideWhenUsed/>
    <w:rsid w:val="00C46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9D"/>
    <w:rPr>
      <w:rFonts w:ascii="Segoe UI" w:hAnsi="Segoe UI" w:cs="Segoe UI"/>
      <w:sz w:val="18"/>
      <w:szCs w:val="18"/>
    </w:rPr>
  </w:style>
  <w:style w:type="character" w:styleId="PlaceholderText">
    <w:name w:val="Placeholder Text"/>
    <w:basedOn w:val="DefaultParagraphFont"/>
    <w:uiPriority w:val="99"/>
    <w:semiHidden/>
    <w:rsid w:val="004C54B7"/>
    <w:rPr>
      <w:color w:val="808080"/>
    </w:rPr>
  </w:style>
  <w:style w:type="character" w:customStyle="1" w:styleId="Heading1Char">
    <w:name w:val="Heading 1 Char"/>
    <w:basedOn w:val="DefaultParagraphFont"/>
    <w:link w:val="Heading1"/>
    <w:uiPriority w:val="9"/>
    <w:rsid w:val="00125585"/>
    <w:rPr>
      <w:rFonts w:cstheme="minorHAnsi"/>
      <w:b/>
      <w:color w:val="1F4E79" w:themeColor="accent1" w:themeShade="80"/>
      <w:sz w:val="28"/>
      <w:szCs w:val="28"/>
    </w:rPr>
  </w:style>
  <w:style w:type="character" w:customStyle="1" w:styleId="Heading2Char">
    <w:name w:val="Heading 2 Char"/>
    <w:basedOn w:val="DefaultParagraphFont"/>
    <w:link w:val="Heading2"/>
    <w:uiPriority w:val="9"/>
    <w:rsid w:val="00125585"/>
    <w:rPr>
      <w:b/>
      <w:sz w:val="24"/>
      <w:szCs w:val="24"/>
    </w:rPr>
  </w:style>
  <w:style w:type="paragraph" w:styleId="ListParagraph">
    <w:name w:val="List Paragraph"/>
    <w:basedOn w:val="Normal"/>
    <w:uiPriority w:val="34"/>
    <w:qFormat/>
    <w:rsid w:val="00C77556"/>
    <w:pPr>
      <w:ind w:left="720"/>
      <w:contextualSpacing/>
    </w:pPr>
  </w:style>
  <w:style w:type="paragraph" w:styleId="CommentText">
    <w:name w:val="annotation text"/>
    <w:basedOn w:val="Normal"/>
    <w:link w:val="CommentTextChar"/>
    <w:uiPriority w:val="99"/>
    <w:unhideWhenUsed/>
    <w:rsid w:val="006D0069"/>
    <w:pPr>
      <w:spacing w:line="240" w:lineRule="auto"/>
    </w:pPr>
    <w:rPr>
      <w:sz w:val="20"/>
      <w:szCs w:val="20"/>
    </w:rPr>
  </w:style>
  <w:style w:type="character" w:customStyle="1" w:styleId="CommentTextChar">
    <w:name w:val="Comment Text Char"/>
    <w:basedOn w:val="DefaultParagraphFont"/>
    <w:link w:val="CommentText"/>
    <w:uiPriority w:val="99"/>
    <w:rsid w:val="006D0069"/>
    <w:rPr>
      <w:sz w:val="20"/>
      <w:szCs w:val="20"/>
    </w:rPr>
  </w:style>
  <w:style w:type="character" w:styleId="CommentReference">
    <w:name w:val="annotation reference"/>
    <w:basedOn w:val="DefaultParagraphFont"/>
    <w:uiPriority w:val="99"/>
    <w:semiHidden/>
    <w:unhideWhenUsed/>
    <w:rsid w:val="005828C4"/>
    <w:rPr>
      <w:sz w:val="16"/>
      <w:szCs w:val="16"/>
    </w:rPr>
  </w:style>
  <w:style w:type="paragraph" w:styleId="CommentSubject">
    <w:name w:val="annotation subject"/>
    <w:basedOn w:val="CommentText"/>
    <w:next w:val="CommentText"/>
    <w:link w:val="CommentSubjectChar"/>
    <w:uiPriority w:val="99"/>
    <w:semiHidden/>
    <w:unhideWhenUsed/>
    <w:rsid w:val="005828C4"/>
    <w:rPr>
      <w:b/>
      <w:bCs/>
    </w:rPr>
  </w:style>
  <w:style w:type="character" w:customStyle="1" w:styleId="CommentSubjectChar">
    <w:name w:val="Comment Subject Char"/>
    <w:basedOn w:val="CommentTextChar"/>
    <w:link w:val="CommentSubject"/>
    <w:uiPriority w:val="99"/>
    <w:semiHidden/>
    <w:rsid w:val="005828C4"/>
    <w:rPr>
      <w:b/>
      <w:bCs/>
      <w:sz w:val="20"/>
      <w:szCs w:val="20"/>
    </w:rPr>
  </w:style>
  <w:style w:type="character" w:customStyle="1" w:styleId="Heading3Char">
    <w:name w:val="Heading 3 Char"/>
    <w:basedOn w:val="DefaultParagraphFont"/>
    <w:link w:val="Heading3"/>
    <w:uiPriority w:val="9"/>
    <w:rsid w:val="00125585"/>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1278">
      <w:bodyDiv w:val="1"/>
      <w:marLeft w:val="0"/>
      <w:marRight w:val="0"/>
      <w:marTop w:val="0"/>
      <w:marBottom w:val="0"/>
      <w:divBdr>
        <w:top w:val="none" w:sz="0" w:space="0" w:color="auto"/>
        <w:left w:val="none" w:sz="0" w:space="0" w:color="auto"/>
        <w:bottom w:val="none" w:sz="0" w:space="0" w:color="auto"/>
        <w:right w:val="none" w:sz="0" w:space="0" w:color="auto"/>
      </w:divBdr>
    </w:div>
    <w:div w:id="209808218">
      <w:bodyDiv w:val="1"/>
      <w:marLeft w:val="0"/>
      <w:marRight w:val="0"/>
      <w:marTop w:val="0"/>
      <w:marBottom w:val="0"/>
      <w:divBdr>
        <w:top w:val="none" w:sz="0" w:space="0" w:color="auto"/>
        <w:left w:val="none" w:sz="0" w:space="0" w:color="auto"/>
        <w:bottom w:val="none" w:sz="0" w:space="0" w:color="auto"/>
        <w:right w:val="none" w:sz="0" w:space="0" w:color="auto"/>
      </w:divBdr>
    </w:div>
    <w:div w:id="472605751">
      <w:bodyDiv w:val="1"/>
      <w:marLeft w:val="0"/>
      <w:marRight w:val="0"/>
      <w:marTop w:val="0"/>
      <w:marBottom w:val="0"/>
      <w:divBdr>
        <w:top w:val="none" w:sz="0" w:space="0" w:color="auto"/>
        <w:left w:val="none" w:sz="0" w:space="0" w:color="auto"/>
        <w:bottom w:val="none" w:sz="0" w:space="0" w:color="auto"/>
        <w:right w:val="none" w:sz="0" w:space="0" w:color="auto"/>
      </w:divBdr>
    </w:div>
    <w:div w:id="475298583">
      <w:bodyDiv w:val="1"/>
      <w:marLeft w:val="0"/>
      <w:marRight w:val="0"/>
      <w:marTop w:val="0"/>
      <w:marBottom w:val="0"/>
      <w:divBdr>
        <w:top w:val="none" w:sz="0" w:space="0" w:color="auto"/>
        <w:left w:val="none" w:sz="0" w:space="0" w:color="auto"/>
        <w:bottom w:val="none" w:sz="0" w:space="0" w:color="auto"/>
        <w:right w:val="none" w:sz="0" w:space="0" w:color="auto"/>
      </w:divBdr>
    </w:div>
    <w:div w:id="645626267">
      <w:bodyDiv w:val="1"/>
      <w:marLeft w:val="0"/>
      <w:marRight w:val="0"/>
      <w:marTop w:val="0"/>
      <w:marBottom w:val="0"/>
      <w:divBdr>
        <w:top w:val="none" w:sz="0" w:space="0" w:color="auto"/>
        <w:left w:val="none" w:sz="0" w:space="0" w:color="auto"/>
        <w:bottom w:val="none" w:sz="0" w:space="0" w:color="auto"/>
        <w:right w:val="none" w:sz="0" w:space="0" w:color="auto"/>
      </w:divBdr>
    </w:div>
    <w:div w:id="676811966">
      <w:bodyDiv w:val="1"/>
      <w:marLeft w:val="0"/>
      <w:marRight w:val="0"/>
      <w:marTop w:val="0"/>
      <w:marBottom w:val="0"/>
      <w:divBdr>
        <w:top w:val="none" w:sz="0" w:space="0" w:color="auto"/>
        <w:left w:val="none" w:sz="0" w:space="0" w:color="auto"/>
        <w:bottom w:val="none" w:sz="0" w:space="0" w:color="auto"/>
        <w:right w:val="none" w:sz="0" w:space="0" w:color="auto"/>
      </w:divBdr>
    </w:div>
    <w:div w:id="1030303479">
      <w:bodyDiv w:val="1"/>
      <w:marLeft w:val="0"/>
      <w:marRight w:val="0"/>
      <w:marTop w:val="0"/>
      <w:marBottom w:val="0"/>
      <w:divBdr>
        <w:top w:val="none" w:sz="0" w:space="0" w:color="auto"/>
        <w:left w:val="none" w:sz="0" w:space="0" w:color="auto"/>
        <w:bottom w:val="none" w:sz="0" w:space="0" w:color="auto"/>
        <w:right w:val="none" w:sz="0" w:space="0" w:color="auto"/>
      </w:divBdr>
    </w:div>
    <w:div w:id="1037899869">
      <w:bodyDiv w:val="1"/>
      <w:marLeft w:val="0"/>
      <w:marRight w:val="0"/>
      <w:marTop w:val="0"/>
      <w:marBottom w:val="0"/>
      <w:divBdr>
        <w:top w:val="none" w:sz="0" w:space="0" w:color="auto"/>
        <w:left w:val="none" w:sz="0" w:space="0" w:color="auto"/>
        <w:bottom w:val="none" w:sz="0" w:space="0" w:color="auto"/>
        <w:right w:val="none" w:sz="0" w:space="0" w:color="auto"/>
      </w:divBdr>
    </w:div>
    <w:div w:id="104818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Management" ma:contentTypeID="0x010100D571FD07E671E2489F449FDA63933F4100EB9405400B65984A9E7974DD7067B5E1" ma:contentTypeVersion="8" ma:contentTypeDescription="" ma:contentTypeScope="" ma:versionID="2cbc878aa4d5e5e649066a1926d769b8">
  <xsd:schema xmlns:xsd="http://www.w3.org/2001/XMLSchema" xmlns:xs="http://www.w3.org/2001/XMLSchema" xmlns:p="http://schemas.microsoft.com/office/2006/metadata/properties" targetNamespace="http://schemas.microsoft.com/office/2006/metadata/properties" ma:root="true" ma:fieldsID="299a3f5ee5223cc661f9959a98653c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B95BF-8062-44FF-B4DB-3758EBE580F4}">
  <ds:schemaRefs>
    <ds:schemaRef ds:uri="http://schemas.openxmlformats.org/officeDocument/2006/bibliography"/>
  </ds:schemaRefs>
</ds:datastoreItem>
</file>

<file path=customXml/itemProps2.xml><?xml version="1.0" encoding="utf-8"?>
<ds:datastoreItem xmlns:ds="http://schemas.openxmlformats.org/officeDocument/2006/customXml" ds:itemID="{065D8BBD-2DCF-40F1-946C-4D7C304E1578}">
  <ds:schemaRefs>
    <ds:schemaRef ds:uri="http://schemas.microsoft.com/sharepoint/v3/contenttype/forms"/>
  </ds:schemaRefs>
</ds:datastoreItem>
</file>

<file path=customXml/itemProps3.xml><?xml version="1.0" encoding="utf-8"?>
<ds:datastoreItem xmlns:ds="http://schemas.openxmlformats.org/officeDocument/2006/customXml" ds:itemID="{E2741C77-FBB5-4E74-9AC9-5AFE41E86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0ADBC4-D5A2-437F-94B5-BF32A94331C5}">
  <ds:schemaRef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 WSB</dc:creator>
  <cp:keywords>SFP, grant funding</cp:keywords>
  <dc:description/>
  <cp:lastModifiedBy>Richardson, Jeffrey@EDD</cp:lastModifiedBy>
  <cp:revision>6</cp:revision>
  <cp:lastPrinted>2023-10-18T19:07:00Z</cp:lastPrinted>
  <dcterms:created xsi:type="dcterms:W3CDTF">2023-10-24T15:57:00Z</dcterms:created>
  <dcterms:modified xsi:type="dcterms:W3CDTF">2023-10-25T18:08:00Z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0x010100D571FD07E671E2489F449FDA63933F4100EB9405400B65984A9E7974DD7067B5E1</vt:lpwstr>
  </property>
  <property fmtid="{D5CDD505-2E9C-101B-9397-08002B2CF9AE}" pid="3" name="TaxKeywordTaxHTField">
    <vt:lpwstr>grant funding|24533338-b092-46de-9a94-240000df5e0b;SFP|450a614c-e2c0-40a1-8bc3-ae6ada1023fe</vt:lpwstr>
  </property>
  <property fmtid="{D5CDD505-2E9C-101B-9397-08002B2CF9AE}" pid="4" name="TaxKeyword">
    <vt:lpwstr>163;#grant funding|24533338-b092-46de-9a94-240000df5e0b;#162;#SFP|450a614c-e2c0-40a1-8bc3-ae6ada1023fe</vt:lpwstr>
  </property>
  <property fmtid="{D5CDD505-2E9C-101B-9397-08002B2CF9AE}" pid="5" name="TaxCatchAll">
    <vt:lpwstr>163;#grant funding;#162;#SFP</vt:lpwstr>
  </property>
</Properties>
</file>