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1972"/>
        <w:gridCol w:w="5318"/>
        <w:gridCol w:w="2041"/>
      </w:tblGrid>
      <w:tr w:rsidR="00C62B97" w:rsidRPr="00C62B97" w14:paraId="4D487A3C" w14:textId="77777777" w:rsidTr="00C62B97">
        <w:tc>
          <w:tcPr>
            <w:tcW w:w="1972" w:type="dxa"/>
          </w:tcPr>
          <w:p w14:paraId="2063B6BA" w14:textId="620C1E40" w:rsidR="00C62B97" w:rsidRPr="00C62B97" w:rsidRDefault="00B80852" w:rsidP="00380762">
            <w:pPr>
              <w:outlineLvl w:val="9"/>
              <w:rPr>
                <w:rFonts w:ascii="Calibri" w:eastAsia="Aptos" w:hAnsi="Calibri" w:cs="Calibri"/>
                <w:kern w:val="2"/>
                <w:szCs w:val="22"/>
                <w14:ligatures w14:val="standardContextual"/>
              </w:rPr>
            </w:pPr>
            <w:r w:rsidRPr="00C62B97">
              <w:rPr>
                <w:rFonts w:ascii="Calibri" w:hAnsi="Calibri"/>
                <w:noProof/>
              </w:rPr>
              <w:drawing>
                <wp:inline distT="0" distB="0" distL="0" distR="0" wp14:anchorId="6409063E" wp14:editId="49415728">
                  <wp:extent cx="1112520" cy="695325"/>
                  <wp:effectExtent l="0" t="0" r="0" b="9525"/>
                  <wp:docPr id="1632516635"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606" cy="727254"/>
                          </a:xfrm>
                          <a:prstGeom prst="rect">
                            <a:avLst/>
                          </a:prstGeom>
                          <a:noFill/>
                          <a:ln>
                            <a:noFill/>
                          </a:ln>
                        </pic:spPr>
                      </pic:pic>
                    </a:graphicData>
                  </a:graphic>
                </wp:inline>
              </w:drawing>
            </w:r>
          </w:p>
        </w:tc>
        <w:tc>
          <w:tcPr>
            <w:tcW w:w="5318" w:type="dxa"/>
          </w:tcPr>
          <w:p w14:paraId="2C65CC2C" w14:textId="260BA38C" w:rsidR="00C62B97" w:rsidRPr="00C62B97" w:rsidRDefault="00C62B97" w:rsidP="00380762">
            <w:pPr>
              <w:jc w:val="center"/>
              <w:outlineLvl w:val="0"/>
              <w:rPr>
                <w:rFonts w:ascii="Calibri" w:hAnsi="Calibri"/>
                <w:noProof/>
                <w:color w:val="007DA5"/>
                <w:sz w:val="48"/>
                <w:szCs w:val="48"/>
              </w:rPr>
            </w:pPr>
            <w:r>
              <w:rPr>
                <w:rFonts w:ascii="Calibri" w:hAnsi="Calibri"/>
                <w:noProof/>
                <w:color w:val="007DA5"/>
                <w:sz w:val="48"/>
                <w:szCs w:val="48"/>
              </w:rPr>
              <w:t xml:space="preserve">Draft </w:t>
            </w:r>
            <w:r w:rsidRPr="00C62B97">
              <w:rPr>
                <w:rFonts w:ascii="Calibri" w:hAnsi="Calibri"/>
                <w:noProof/>
                <w:color w:val="007DA5"/>
                <w:sz w:val="48"/>
                <w:szCs w:val="48"/>
              </w:rPr>
              <w:t>Directive</w:t>
            </w:r>
          </w:p>
          <w:p w14:paraId="58567C37" w14:textId="152379B2" w:rsidR="00C62B97" w:rsidRPr="00C62B97" w:rsidRDefault="00C62B97" w:rsidP="00380762">
            <w:pPr>
              <w:jc w:val="center"/>
              <w:outlineLvl w:val="9"/>
              <w:rPr>
                <w:rFonts w:ascii="Calibri" w:eastAsia="Aptos" w:hAnsi="Calibri" w:cs="Calibri"/>
                <w:kern w:val="2"/>
                <w:szCs w:val="22"/>
                <w14:ligatures w14:val="standardContextual"/>
              </w:rPr>
            </w:pPr>
            <w:r>
              <w:rPr>
                <w:rFonts w:ascii="Calibri" w:hAnsi="Calibri"/>
                <w:noProof/>
                <w:color w:val="007DA5"/>
                <w:sz w:val="48"/>
                <w:szCs w:val="48"/>
              </w:rPr>
              <w:t>Coverpage</w:t>
            </w:r>
          </w:p>
        </w:tc>
        <w:tc>
          <w:tcPr>
            <w:tcW w:w="2041" w:type="dxa"/>
          </w:tcPr>
          <w:p w14:paraId="08E827B8" w14:textId="775FA415" w:rsidR="00C62B97" w:rsidRPr="00C62B97" w:rsidRDefault="00C62B97" w:rsidP="00380762">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2B26A620" wp14:editId="633FA517">
                  <wp:extent cx="1181100" cy="499237"/>
                  <wp:effectExtent l="0" t="0" r="0" b="0"/>
                  <wp:docPr id="1304414156" name="Picture 1304414156"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3767" cy="504591"/>
                          </a:xfrm>
                          <a:prstGeom prst="rect">
                            <a:avLst/>
                          </a:prstGeom>
                          <a:noFill/>
                          <a:ln>
                            <a:noFill/>
                          </a:ln>
                        </pic:spPr>
                      </pic:pic>
                    </a:graphicData>
                  </a:graphic>
                </wp:inline>
              </w:drawing>
            </w:r>
          </w:p>
        </w:tc>
      </w:tr>
    </w:tbl>
    <w:p w14:paraId="70863912" w14:textId="77777777" w:rsidR="00C62B97" w:rsidRPr="00C62B97" w:rsidRDefault="00C62B97" w:rsidP="00C62B97">
      <w:pPr>
        <w:pBdr>
          <w:bottom w:val="single" w:sz="4" w:space="1" w:color="auto"/>
        </w:pBdr>
        <w:spacing w:after="160" w:line="259" w:lineRule="auto"/>
        <w:outlineLvl w:val="9"/>
        <w:rPr>
          <w:rFonts w:ascii="Calibri" w:eastAsia="Aptos" w:hAnsi="Calibri" w:cs="Calibri"/>
          <w:kern w:val="2"/>
          <w:szCs w:val="22"/>
          <w14:ligatures w14:val="standardContextual"/>
        </w:rPr>
      </w:pPr>
    </w:p>
    <w:p w14:paraId="242F76FF" w14:textId="22EA51DB" w:rsidR="001C741C" w:rsidRPr="00FF293D" w:rsidRDefault="00B10C2B" w:rsidP="00FF293D">
      <w:pPr>
        <w:pStyle w:val="Heading2"/>
      </w:pPr>
      <w:r w:rsidRPr="00B10C2B">
        <w:br/>
      </w:r>
      <w:r w:rsidR="00DD6E27">
        <w:t xml:space="preserve"> </w:t>
      </w:r>
      <w:r w:rsidR="00DD6E27" w:rsidRPr="00DD6E27">
        <w:t xml:space="preserve">WIOA Waiver Guidance – Out-of-School Youth </w:t>
      </w:r>
    </w:p>
    <w:p w14:paraId="2339B9A2" w14:textId="232A2DE5" w:rsidR="00B10C2B" w:rsidRPr="00B10C2B" w:rsidRDefault="00B10C2B" w:rsidP="00B10C2B">
      <w:pPr>
        <w:jc w:val="center"/>
        <w:outlineLvl w:val="0"/>
        <w:rPr>
          <w:b/>
          <w:bCs/>
        </w:rPr>
      </w:pPr>
      <w:r w:rsidRPr="00B10C2B">
        <w:rPr>
          <w:b/>
          <w:bCs/>
          <w:sz w:val="32"/>
          <w:szCs w:val="32"/>
        </w:rPr>
        <w:br/>
      </w:r>
      <w:r w:rsidR="00CD60C0">
        <w:rPr>
          <w:rFonts w:ascii="Calibri" w:hAnsi="Calibri"/>
        </w:rPr>
        <w:pict w14:anchorId="1FC5690E">
          <v:rect id="_x0000_i1025" style="width:466.55pt;height:2pt" o:hralign="center" o:hrstd="t" o:hrnoshade="t" o:hr="t" fillcolor="#f79646" stroked="f"/>
        </w:pict>
      </w:r>
    </w:p>
    <w:p w14:paraId="3E5E1DD0" w14:textId="1346EA32" w:rsidR="00DD6E27" w:rsidRDefault="00BD112C" w:rsidP="00DD6E27">
      <w:pPr>
        <w:pStyle w:val="ListParagraph"/>
        <w:ind w:left="0"/>
        <w:contextualSpacing w:val="0"/>
        <w:outlineLvl w:val="9"/>
        <w:rPr>
          <w:rStyle w:val="Heading3Char"/>
        </w:rPr>
      </w:pPr>
      <w:r>
        <w:rPr>
          <w:rStyle w:val="Heading3Char"/>
        </w:rPr>
        <w:t>G</w:t>
      </w:r>
      <w:r w:rsidR="005F3A26">
        <w:rPr>
          <w:rStyle w:val="Heading3Char"/>
        </w:rPr>
        <w:t>eneral Instructions</w:t>
      </w:r>
    </w:p>
    <w:p w14:paraId="45EE04E3" w14:textId="79895EE9" w:rsidR="00DD6E27" w:rsidRDefault="00F42516" w:rsidP="00DD6E27">
      <w:pPr>
        <w:pStyle w:val="ListParagraph"/>
        <w:ind w:left="0"/>
        <w:contextualSpacing w:val="0"/>
        <w:outlineLvl w:val="9"/>
      </w:pPr>
      <w:r>
        <w:br/>
      </w:r>
      <w:r w:rsidR="00DD6E27">
        <w:t>The attached D</w:t>
      </w:r>
      <w:r w:rsidR="00DD6E27" w:rsidRPr="006C233C">
        <w:t>irective is being issued</w:t>
      </w:r>
      <w:r w:rsidR="00DD6E27">
        <w:t xml:space="preserve"> in draft to give</w:t>
      </w:r>
      <w:r w:rsidR="00DD6E27" w:rsidRPr="00AD65B7">
        <w:t xml:space="preserve"> </w:t>
      </w:r>
      <w:r w:rsidR="00DD6E27">
        <w:t>the workforce development community the</w:t>
      </w:r>
      <w:r w:rsidR="00DD6E27" w:rsidRPr="00AD65B7">
        <w:t xml:space="preserve"> opportunity to review and comment prior to final issuance.</w:t>
      </w:r>
      <w:r w:rsidR="00DD6E27">
        <w:t xml:space="preserve"> </w:t>
      </w:r>
    </w:p>
    <w:p w14:paraId="573E4B86" w14:textId="77777777" w:rsidR="00DD6E27" w:rsidRDefault="00DD6E27" w:rsidP="00DD6E27">
      <w:pPr>
        <w:pStyle w:val="ListParagraph"/>
        <w:ind w:left="0"/>
        <w:contextualSpacing w:val="0"/>
        <w:outlineLvl w:val="9"/>
      </w:pPr>
    </w:p>
    <w:p w14:paraId="55EF61ED" w14:textId="35882865" w:rsidR="00B17D68" w:rsidRDefault="00DD6E27" w:rsidP="00CD1343">
      <w:pPr>
        <w:pStyle w:val="ListParagraph"/>
        <w:ind w:left="0"/>
        <w:contextualSpacing w:val="0"/>
        <w:outlineLvl w:val="9"/>
      </w:pPr>
      <w:r>
        <w:t>The state will be submitting a request for this waiver to the Department of Labor as part of its Unified Strategic Workforce Development Plan Two-Year Modification process</w:t>
      </w:r>
      <w:r w:rsidR="00BD112C">
        <w:t>. O</w:t>
      </w:r>
      <w:r>
        <w:t>nce approved, this Directive will be finalized.</w:t>
      </w:r>
      <w:r>
        <w:br/>
      </w:r>
      <w:r>
        <w:br/>
        <w:t xml:space="preserve">Submit any comments by email no later than </w:t>
      </w:r>
      <w:r w:rsidR="00C33B08" w:rsidRPr="00C33B08">
        <w:rPr>
          <w:b/>
          <w:bCs/>
        </w:rPr>
        <w:t>February 13, 2026</w:t>
      </w:r>
      <w:r w:rsidRPr="00E90656">
        <w:t>.</w:t>
      </w:r>
      <w:r>
        <w:br/>
      </w:r>
      <w:r>
        <w:br/>
      </w:r>
      <w:r w:rsidRPr="009916E8">
        <w:t xml:space="preserve">All comments received within the comment period will be considered </w:t>
      </w:r>
      <w:r>
        <w:t>before issuing the final D</w:t>
      </w:r>
      <w:r w:rsidRPr="009916E8">
        <w:t>irective. Commenters will not be responded to individually. Rather, a summary of comments w</w:t>
      </w:r>
      <w:r>
        <w:t>ill be released with the final D</w:t>
      </w:r>
      <w:r w:rsidRPr="009916E8">
        <w:t>irective.</w:t>
      </w:r>
      <w:r>
        <w:br/>
      </w:r>
      <w:r>
        <w:br/>
      </w:r>
      <w:r w:rsidRPr="009916E8">
        <w:t>Comments received after the specified due date will not be considered.</w:t>
      </w:r>
    </w:p>
    <w:p w14:paraId="54F59BD4" w14:textId="49E87C07" w:rsidR="001C741C" w:rsidRDefault="00CD60C0" w:rsidP="001C741C">
      <w:r>
        <w:rPr>
          <w:rFonts w:ascii="Calibri" w:hAnsi="Calibri"/>
        </w:rPr>
        <w:pict w14:anchorId="6D680082">
          <v:rect id="_x0000_i1026" style="width:466.55pt;height:2pt" o:hralign="center" o:hrstd="t" o:hrnoshade="t" o:hr="t" fillcolor="#f79646" stroked="f"/>
        </w:pict>
      </w:r>
    </w:p>
    <w:p w14:paraId="2AF3CC72" w14:textId="13656B48" w:rsidR="001C741C" w:rsidRDefault="001C741C" w:rsidP="001C741C">
      <w:pPr>
        <w:spacing w:before="240"/>
      </w:pPr>
      <w:r w:rsidRPr="00F42516">
        <w:rPr>
          <w:rStyle w:val="Heading3Char"/>
        </w:rPr>
        <w:t>Email</w:t>
      </w:r>
      <w:r>
        <w:tab/>
      </w:r>
      <w:r>
        <w:tab/>
      </w:r>
      <w:hyperlink r:id="rId13" w:history="1">
        <w:r w:rsidR="000D365C">
          <w:rPr>
            <w:rStyle w:val="Hyperlink"/>
          </w:rPr>
          <w:t>PolicyUnit@cwdb.ca.gov</w:t>
        </w:r>
      </w:hyperlink>
    </w:p>
    <w:p w14:paraId="65F70149" w14:textId="54788069" w:rsidR="001C741C" w:rsidRDefault="001C741C" w:rsidP="001C741C">
      <w:r>
        <w:rPr>
          <w:bCs/>
        </w:rPr>
        <w:tab/>
      </w:r>
      <w:r>
        <w:rPr>
          <w:bCs/>
        </w:rPr>
        <w:tab/>
      </w:r>
      <w:r w:rsidRPr="00DE5EB4">
        <w:t>Include “</w:t>
      </w:r>
      <w:r>
        <w:t>Draft Directive C</w:t>
      </w:r>
      <w:r w:rsidRPr="00DE5EB4">
        <w:t xml:space="preserve">omments” in the </w:t>
      </w:r>
      <w:r>
        <w:t xml:space="preserve">email </w:t>
      </w:r>
      <w:r w:rsidRPr="00DE5EB4">
        <w:t>subject line</w:t>
      </w:r>
      <w:r>
        <w:t>.</w:t>
      </w:r>
    </w:p>
    <w:p w14:paraId="2DE32066" w14:textId="18113CCF" w:rsidR="001C741C" w:rsidRDefault="00CD60C0" w:rsidP="001C741C">
      <w:r>
        <w:rPr>
          <w:rFonts w:ascii="Calibri" w:hAnsi="Calibri"/>
        </w:rPr>
        <w:pict w14:anchorId="7E5B852E">
          <v:rect id="_x0000_i1027" style="width:466.55pt;height:2pt" o:hralign="center" o:hrstd="t" o:hrnoshade="t" o:hr="t" fillcolor="#f79646" stroked="f"/>
        </w:pict>
      </w:r>
    </w:p>
    <w:p w14:paraId="33AE8E3C" w14:textId="1E0C47DD" w:rsidR="00423EEA" w:rsidRDefault="001C741C" w:rsidP="00C33B08">
      <w:pPr>
        <w:spacing w:before="240"/>
        <w:rPr>
          <w:noProof/>
        </w:rPr>
        <w:sectPr w:rsidR="00423EEA" w:rsidSect="00B10C2B">
          <w:footerReference w:type="default" r:id="rId14"/>
          <w:type w:val="continuous"/>
          <w:pgSz w:w="12240" w:h="15840"/>
          <w:pgMar w:top="1440" w:right="1440" w:bottom="1440" w:left="1440" w:header="720" w:footer="720" w:gutter="0"/>
          <w:cols w:space="720"/>
          <w:docGrid w:linePitch="360"/>
        </w:sectPr>
      </w:pPr>
      <w:r>
        <w:t>If you have any questions, contact</w:t>
      </w:r>
      <w:r w:rsidR="00DD6E27">
        <w:t xml:space="preserve"> </w:t>
      </w:r>
      <w:r w:rsidR="00DD6E27">
        <w:rPr>
          <w:noProof/>
        </w:rPr>
        <w:t xml:space="preserve">the CWDB Policy Unit at </w:t>
      </w:r>
      <w:hyperlink r:id="rId15" w:history="1">
        <w:r w:rsidR="00BC39D0" w:rsidRPr="003E0F79">
          <w:rPr>
            <w:rStyle w:val="Hyperlink"/>
          </w:rPr>
          <w:t>PolicyUnit@cwdb.ca.gov</w:t>
        </w:r>
        <w:r w:rsidR="00DD6E27" w:rsidRPr="000D365C">
          <w:rPr>
            <w:rStyle w:val="Hyperlink"/>
            <w:noProof/>
          </w:rPr>
          <w:t>.</w:t>
        </w:r>
      </w:hyperlink>
    </w:p>
    <w:p w14:paraId="027937B1" w14:textId="77777777" w:rsidR="00C33B08" w:rsidRDefault="00C33B08">
      <w:bookmarkStart w:id="0" w:name="_Hlk185339338"/>
      <w:r>
        <w:br w:type="page"/>
      </w:r>
    </w:p>
    <w:tbl>
      <w:tblPr>
        <w:tblW w:w="0" w:type="auto"/>
        <w:tblLook w:val="04A0" w:firstRow="1" w:lastRow="0" w:firstColumn="1" w:lastColumn="0" w:noHBand="0" w:noVBand="1"/>
      </w:tblPr>
      <w:tblGrid>
        <w:gridCol w:w="1973"/>
        <w:gridCol w:w="5311"/>
        <w:gridCol w:w="2076"/>
      </w:tblGrid>
      <w:tr w:rsidR="00C62B97" w:rsidRPr="00C62B97" w14:paraId="687715FD" w14:textId="77777777" w:rsidTr="00C62B97">
        <w:tc>
          <w:tcPr>
            <w:tcW w:w="1973" w:type="dxa"/>
          </w:tcPr>
          <w:p w14:paraId="797A1739" w14:textId="43828D72" w:rsidR="00C62B97" w:rsidRPr="00C62B97" w:rsidRDefault="00B80852" w:rsidP="00C62B97">
            <w:pPr>
              <w:outlineLvl w:val="9"/>
              <w:rPr>
                <w:rFonts w:ascii="Calibri" w:eastAsia="Aptos" w:hAnsi="Calibri" w:cs="Calibri"/>
                <w:kern w:val="2"/>
                <w:szCs w:val="22"/>
                <w14:ligatures w14:val="standardContextual"/>
              </w:rPr>
            </w:pPr>
            <w:r w:rsidRPr="00C62B97">
              <w:rPr>
                <w:rFonts w:ascii="Calibri" w:hAnsi="Calibri"/>
                <w:noProof/>
              </w:rPr>
              <w:lastRenderedPageBreak/>
              <w:drawing>
                <wp:inline distT="0" distB="0" distL="0" distR="0" wp14:anchorId="49043B9B" wp14:editId="426F8A91">
                  <wp:extent cx="1112520" cy="695325"/>
                  <wp:effectExtent l="0" t="0" r="0" b="9525"/>
                  <wp:docPr id="715329318"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606" cy="727254"/>
                          </a:xfrm>
                          <a:prstGeom prst="rect">
                            <a:avLst/>
                          </a:prstGeom>
                          <a:noFill/>
                          <a:ln>
                            <a:noFill/>
                          </a:ln>
                        </pic:spPr>
                      </pic:pic>
                    </a:graphicData>
                  </a:graphic>
                </wp:inline>
              </w:drawing>
            </w:r>
          </w:p>
        </w:tc>
        <w:tc>
          <w:tcPr>
            <w:tcW w:w="5311" w:type="dxa"/>
          </w:tcPr>
          <w:p w14:paraId="5BD9E9F4" w14:textId="2C011FB8" w:rsidR="00C62B97" w:rsidRPr="00C62B97" w:rsidRDefault="00C62B97" w:rsidP="00C62B97">
            <w:pPr>
              <w:jc w:val="center"/>
              <w:outlineLvl w:val="0"/>
              <w:rPr>
                <w:rFonts w:ascii="Calibri" w:hAnsi="Calibri"/>
                <w:noProof/>
                <w:color w:val="007DA5"/>
                <w:sz w:val="48"/>
                <w:szCs w:val="48"/>
              </w:rPr>
            </w:pPr>
            <w:r>
              <w:rPr>
                <w:rFonts w:ascii="Calibri" w:hAnsi="Calibri"/>
                <w:noProof/>
                <w:color w:val="007DA5"/>
                <w:sz w:val="48"/>
                <w:szCs w:val="48"/>
              </w:rPr>
              <w:t xml:space="preserve">Draft </w:t>
            </w:r>
            <w:r w:rsidRPr="00C62B97">
              <w:rPr>
                <w:rFonts w:ascii="Calibri" w:hAnsi="Calibri"/>
                <w:noProof/>
                <w:color w:val="007DA5"/>
                <w:sz w:val="48"/>
                <w:szCs w:val="48"/>
              </w:rPr>
              <w:t>Directive</w:t>
            </w:r>
          </w:p>
          <w:p w14:paraId="51F12668" w14:textId="6D52F3F9" w:rsidR="00C62B97" w:rsidRPr="00C62B97" w:rsidRDefault="00C62B97" w:rsidP="00C62B97">
            <w:pPr>
              <w:jc w:val="center"/>
              <w:outlineLvl w:val="9"/>
              <w:rPr>
                <w:rFonts w:ascii="Calibri" w:eastAsia="Aptos" w:hAnsi="Calibri" w:cs="Calibri"/>
                <w:kern w:val="2"/>
                <w:szCs w:val="22"/>
                <w14:ligatures w14:val="standardContextual"/>
              </w:rPr>
            </w:pPr>
            <w:r w:rsidRPr="00C62B97">
              <w:rPr>
                <w:rFonts w:ascii="Calibri" w:hAnsi="Calibri"/>
                <w:b/>
              </w:rPr>
              <w:t xml:space="preserve">Date: </w:t>
            </w:r>
            <w:r w:rsidR="00CD60C0">
              <w:rPr>
                <w:rFonts w:ascii="Calibri" w:hAnsi="Calibri"/>
              </w:rPr>
              <w:t xml:space="preserve">January 15, </w:t>
            </w:r>
            <w:proofErr w:type="gramStart"/>
            <w:r w:rsidR="00CD60C0">
              <w:rPr>
                <w:rFonts w:ascii="Calibri" w:hAnsi="Calibri"/>
              </w:rPr>
              <w:t>2026</w:t>
            </w:r>
            <w:proofErr w:type="gramEnd"/>
            <w:r w:rsidRPr="00C62B97">
              <w:rPr>
                <w:rFonts w:ascii="Calibri" w:hAnsi="Calibri"/>
                <w:b/>
              </w:rPr>
              <w:t xml:space="preserve"> Number: </w:t>
            </w:r>
            <w:r w:rsidRPr="00C62B97">
              <w:rPr>
                <w:rFonts w:ascii="Calibri" w:hAnsi="Calibri"/>
              </w:rPr>
              <w:t>WSD</w:t>
            </w:r>
            <w:r w:rsidR="00CD60C0">
              <w:rPr>
                <w:rFonts w:ascii="Calibri" w:hAnsi="Calibri"/>
              </w:rPr>
              <w:t>D</w:t>
            </w:r>
            <w:r w:rsidRPr="00C62B97">
              <w:rPr>
                <w:rFonts w:ascii="Calibri" w:hAnsi="Calibri"/>
              </w:rPr>
              <w:t>-</w:t>
            </w:r>
            <w:r w:rsidR="00CD60C0">
              <w:rPr>
                <w:rFonts w:ascii="Calibri" w:hAnsi="Calibri"/>
              </w:rPr>
              <w:t>272</w:t>
            </w:r>
          </w:p>
        </w:tc>
        <w:tc>
          <w:tcPr>
            <w:tcW w:w="2076" w:type="dxa"/>
          </w:tcPr>
          <w:p w14:paraId="2B5B4BC9" w14:textId="21329EF8" w:rsidR="00C62B97" w:rsidRPr="00C62B97" w:rsidRDefault="00C62B97" w:rsidP="00C62B97">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2E09448C" wp14:editId="7B03FE4C">
                  <wp:extent cx="1181100" cy="499237"/>
                  <wp:effectExtent l="0" t="0" r="0" b="0"/>
                  <wp:docPr id="7" name="Picture 7"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3767" cy="504591"/>
                          </a:xfrm>
                          <a:prstGeom prst="rect">
                            <a:avLst/>
                          </a:prstGeom>
                          <a:noFill/>
                          <a:ln>
                            <a:noFill/>
                          </a:ln>
                        </pic:spPr>
                      </pic:pic>
                    </a:graphicData>
                  </a:graphic>
                </wp:inline>
              </w:drawing>
            </w:r>
          </w:p>
        </w:tc>
      </w:tr>
    </w:tbl>
    <w:p w14:paraId="3B937F0D" w14:textId="77777777" w:rsidR="00C62B97" w:rsidRPr="00C62B97" w:rsidRDefault="00C62B97" w:rsidP="00C62B97">
      <w:pPr>
        <w:pBdr>
          <w:bottom w:val="single" w:sz="4" w:space="1" w:color="auto"/>
        </w:pBdr>
        <w:spacing w:after="160" w:line="259" w:lineRule="auto"/>
        <w:outlineLvl w:val="9"/>
        <w:rPr>
          <w:rFonts w:ascii="Calibri" w:eastAsia="Aptos" w:hAnsi="Calibri" w:cs="Calibri"/>
          <w:kern w:val="2"/>
          <w:szCs w:val="22"/>
          <w14:ligatures w14:val="standardContextual"/>
        </w:rPr>
      </w:pPr>
    </w:p>
    <w:bookmarkEnd w:id="0"/>
    <w:p w14:paraId="4A474D4C" w14:textId="77777777" w:rsidR="00423EEA" w:rsidRDefault="00423EEA" w:rsidP="00C62B97"/>
    <w:p w14:paraId="699302EC" w14:textId="6FBAEF33" w:rsidR="00F42516" w:rsidRPr="00F42516" w:rsidRDefault="00DD6E27" w:rsidP="00F42516">
      <w:pPr>
        <w:pStyle w:val="Heading2"/>
      </w:pPr>
      <w:r>
        <w:t xml:space="preserve">WIOA Waiver Guidance – </w:t>
      </w:r>
      <w:r w:rsidRPr="009049CC">
        <w:t>Out-of-School Youth</w:t>
      </w:r>
      <w:r w:rsidR="00F42516" w:rsidRPr="00F42516">
        <w:br/>
      </w:r>
    </w:p>
    <w:p w14:paraId="13E1AA96" w14:textId="77777777" w:rsidR="00F42516" w:rsidRPr="00F42516" w:rsidRDefault="00F42516" w:rsidP="00F42516">
      <w:pPr>
        <w:pStyle w:val="Heading3"/>
      </w:pPr>
      <w:bookmarkStart w:id="1" w:name="_Hlk146794571"/>
      <w:r w:rsidRPr="00F42516">
        <w:t>Executive Summary</w:t>
      </w:r>
      <w:bookmarkEnd w:id="1"/>
    </w:p>
    <w:p w14:paraId="3D343B35" w14:textId="77777777" w:rsidR="00F42516" w:rsidRDefault="00F42516" w:rsidP="00F42516">
      <w:pPr>
        <w:pBdr>
          <w:bottom w:val="double" w:sz="12" w:space="1" w:color="E58E1A"/>
        </w:pBdr>
        <w:outlineLvl w:val="9"/>
      </w:pPr>
    </w:p>
    <w:p w14:paraId="2A8CC34F" w14:textId="05E7CAFA" w:rsidR="00DD6E27" w:rsidRDefault="00DD6E27" w:rsidP="00DD6E27">
      <w:r>
        <w:t xml:space="preserve">This notice provides guidance regarding implementing and using </w:t>
      </w:r>
      <w:r w:rsidRPr="003E0F79">
        <w:rPr>
          <w:i/>
          <w:iCs/>
        </w:rPr>
        <w:t>Workforce Innovation and Opportunity Act</w:t>
      </w:r>
      <w:r>
        <w:t xml:space="preserve"> (WIOA) waivers approved by the Department of Labor (DOL). This notice applies to Local Workforce Development Boards (Local Board) and is effective immediately.</w:t>
      </w:r>
    </w:p>
    <w:p w14:paraId="752D6A2A" w14:textId="77777777" w:rsidR="00DD6E27" w:rsidRPr="00461174" w:rsidRDefault="00DD6E27" w:rsidP="00DD6E27">
      <w:pPr>
        <w:rPr>
          <w:sz w:val="16"/>
          <w:szCs w:val="16"/>
        </w:rPr>
      </w:pPr>
    </w:p>
    <w:p w14:paraId="6A4EBD80" w14:textId="0CF5DB21" w:rsidR="00DD6E27" w:rsidRPr="00C056AC" w:rsidRDefault="00DD6E27" w:rsidP="00DD6E27">
      <w:r>
        <w:t>This notice restates applicable legal requirements. It is a</w:t>
      </w:r>
      <w:r w:rsidRPr="00C056AC">
        <w:t xml:space="preserve"> notice regarding waivers under </w:t>
      </w:r>
      <w:proofErr w:type="gramStart"/>
      <w:r w:rsidRPr="00C056AC">
        <w:t>WIOA</w:t>
      </w:r>
      <w:proofErr w:type="gramEnd"/>
      <w:r w:rsidRPr="00C056AC">
        <w:t xml:space="preserve"> </w:t>
      </w:r>
      <w:r>
        <w:t xml:space="preserve">the California Workforce Development Board (CWDB) and the Employment Development Department (EDD) </w:t>
      </w:r>
      <w:r w:rsidRPr="00C056AC">
        <w:t xml:space="preserve">sought and obtained from DOL. </w:t>
      </w:r>
    </w:p>
    <w:p w14:paraId="69C8B53C" w14:textId="77777777" w:rsidR="00DD6E27" w:rsidRPr="00461174" w:rsidRDefault="00DD6E27" w:rsidP="00DD6E27">
      <w:pPr>
        <w:rPr>
          <w:sz w:val="16"/>
          <w:szCs w:val="16"/>
        </w:rPr>
      </w:pPr>
    </w:p>
    <w:p w14:paraId="53DDA18D" w14:textId="77777777" w:rsidR="00DD6E27" w:rsidRDefault="00DD6E27" w:rsidP="00DD6E27">
      <w:r>
        <w:t xml:space="preserve">This notice supersedes Workforce Services Directive </w:t>
      </w:r>
      <w:r w:rsidRPr="00D67842">
        <w:rPr>
          <w:i/>
          <w:iCs/>
        </w:rPr>
        <w:t>WIOA Waiver Guidance</w:t>
      </w:r>
      <w:r>
        <w:t xml:space="preserve"> (WSD24-14), dated </w:t>
      </w:r>
    </w:p>
    <w:p w14:paraId="208EA4CA" w14:textId="77777777" w:rsidR="00CD1343" w:rsidRDefault="00DD6E27" w:rsidP="00F42516">
      <w:r>
        <w:t>February 4, 2025. This Directive remains active until further notice.</w:t>
      </w:r>
    </w:p>
    <w:p w14:paraId="3FA4E8BE" w14:textId="18A94332" w:rsidR="00F42516" w:rsidRPr="00F42516" w:rsidRDefault="00F42516" w:rsidP="00F42516"/>
    <w:p w14:paraId="3481AA73" w14:textId="77777777" w:rsidR="00F42516" w:rsidRPr="00F42516" w:rsidRDefault="00F42516" w:rsidP="00F42516">
      <w:pPr>
        <w:pStyle w:val="Heading3"/>
      </w:pPr>
      <w:r w:rsidRPr="00F42516">
        <w:t>References</w:t>
      </w:r>
    </w:p>
    <w:p w14:paraId="73D5D4F2" w14:textId="77777777" w:rsidR="00F42516" w:rsidRDefault="00F42516" w:rsidP="00F42516">
      <w:pPr>
        <w:pBdr>
          <w:bottom w:val="double" w:sz="12" w:space="1" w:color="E58E1A"/>
        </w:pBdr>
        <w:outlineLvl w:val="9"/>
      </w:pPr>
    </w:p>
    <w:p w14:paraId="59542131" w14:textId="44F39C17" w:rsidR="00DD6E27" w:rsidRDefault="00DD6E27" w:rsidP="00DD6E27">
      <w:pPr>
        <w:pStyle w:val="ListParagraph"/>
        <w:numPr>
          <w:ilvl w:val="0"/>
          <w:numId w:val="1"/>
        </w:numPr>
      </w:pPr>
      <w:r w:rsidRPr="003E0F79">
        <w:rPr>
          <w:i/>
          <w:iCs/>
        </w:rPr>
        <w:t>W</w:t>
      </w:r>
      <w:r w:rsidR="004A422F">
        <w:rPr>
          <w:i/>
          <w:iCs/>
        </w:rPr>
        <w:t xml:space="preserve">orkforce </w:t>
      </w:r>
      <w:r w:rsidRPr="003E0F79">
        <w:rPr>
          <w:i/>
          <w:iCs/>
        </w:rPr>
        <w:t>I</w:t>
      </w:r>
      <w:r w:rsidR="004A422F">
        <w:rPr>
          <w:i/>
          <w:iCs/>
        </w:rPr>
        <w:t xml:space="preserve">nnovation </w:t>
      </w:r>
      <w:r w:rsidR="00D67842">
        <w:rPr>
          <w:i/>
          <w:iCs/>
        </w:rPr>
        <w:t xml:space="preserve">and </w:t>
      </w:r>
      <w:r w:rsidRPr="003E0F79">
        <w:rPr>
          <w:i/>
          <w:iCs/>
        </w:rPr>
        <w:t>O</w:t>
      </w:r>
      <w:r w:rsidR="004A422F">
        <w:rPr>
          <w:i/>
          <w:iCs/>
        </w:rPr>
        <w:t xml:space="preserve">pportunity </w:t>
      </w:r>
      <w:r w:rsidRPr="003E0F79">
        <w:rPr>
          <w:i/>
          <w:iCs/>
        </w:rPr>
        <w:t>A</w:t>
      </w:r>
      <w:r w:rsidR="00814B53">
        <w:rPr>
          <w:i/>
          <w:iCs/>
        </w:rPr>
        <w:t>ct</w:t>
      </w:r>
      <w:r>
        <w:t xml:space="preserve"> (</w:t>
      </w:r>
      <w:hyperlink r:id="rId16" w:history="1">
        <w:r w:rsidRPr="0001166E">
          <w:rPr>
            <w:rStyle w:val="Hyperlink"/>
          </w:rPr>
          <w:t>Public Law 113-128</w:t>
        </w:r>
      </w:hyperlink>
      <w:r>
        <w:t>) Sections 129 and 189</w:t>
      </w:r>
    </w:p>
    <w:p w14:paraId="0B8A402D" w14:textId="6F53F585" w:rsidR="00DD6E27" w:rsidRDefault="00DD6E27" w:rsidP="00DD6E27">
      <w:pPr>
        <w:pStyle w:val="ListParagraph"/>
        <w:numPr>
          <w:ilvl w:val="0"/>
          <w:numId w:val="1"/>
        </w:numPr>
      </w:pPr>
      <w:r>
        <w:t xml:space="preserve">Training and Employment Guidance Letter </w:t>
      </w:r>
      <w:hyperlink r:id="rId17" w:history="1">
        <w:r w:rsidRPr="00252BD5">
          <w:rPr>
            <w:rStyle w:val="Hyperlink"/>
          </w:rPr>
          <w:t>(TEGL) 08-18</w:t>
        </w:r>
      </w:hyperlink>
      <w:r>
        <w:t xml:space="preserve">, </w:t>
      </w:r>
      <w:r w:rsidRPr="00D67842">
        <w:rPr>
          <w:i/>
          <w:iCs/>
        </w:rPr>
        <w:t>WIOA Title I and Wag</w:t>
      </w:r>
      <w:r w:rsidR="00F4034D" w:rsidRPr="00D67842">
        <w:rPr>
          <w:i/>
          <w:iCs/>
        </w:rPr>
        <w:t>n</w:t>
      </w:r>
      <w:r w:rsidRPr="00D67842">
        <w:rPr>
          <w:i/>
          <w:iCs/>
        </w:rPr>
        <w:t>er-Peyser Act Waiver Requirements and Request Process</w:t>
      </w:r>
      <w:r>
        <w:t xml:space="preserve"> (December 19, 2018)</w:t>
      </w:r>
    </w:p>
    <w:p w14:paraId="51CCBCFD" w14:textId="1F105263" w:rsidR="00DD6E27" w:rsidRDefault="00DD6E27" w:rsidP="00DD6E27">
      <w:pPr>
        <w:pStyle w:val="ListParagraph"/>
        <w:numPr>
          <w:ilvl w:val="0"/>
          <w:numId w:val="1"/>
        </w:numPr>
      </w:pPr>
      <w:hyperlink r:id="rId18" w:history="1">
        <w:r w:rsidRPr="007D33CC">
          <w:rPr>
            <w:rStyle w:val="Hyperlink"/>
          </w:rPr>
          <w:t>TEGL 05-18, Change 1</w:t>
        </w:r>
      </w:hyperlink>
      <w:r>
        <w:t xml:space="preserve">, </w:t>
      </w:r>
      <w:r w:rsidRPr="00D67842">
        <w:rPr>
          <w:i/>
          <w:iCs/>
        </w:rPr>
        <w:t>WIOA Annual Statewide Performance Report Narrative</w:t>
      </w:r>
      <w:r>
        <w:t xml:space="preserve"> (July 8, 2025)</w:t>
      </w:r>
    </w:p>
    <w:p w14:paraId="340556A7" w14:textId="0C3644ED" w:rsidR="00F42516" w:rsidRPr="00F42516" w:rsidRDefault="00F42516" w:rsidP="00F42516"/>
    <w:p w14:paraId="4BDA142B" w14:textId="77777777" w:rsidR="00F42516" w:rsidRPr="00F42516" w:rsidRDefault="00F42516" w:rsidP="00F42516">
      <w:pPr>
        <w:pStyle w:val="Heading3"/>
      </w:pPr>
      <w:r w:rsidRPr="00F42516">
        <w:t>Background</w:t>
      </w:r>
    </w:p>
    <w:p w14:paraId="2FC89D7E" w14:textId="77777777" w:rsidR="00F42516" w:rsidRDefault="00F42516" w:rsidP="00F42516">
      <w:pPr>
        <w:pBdr>
          <w:bottom w:val="double" w:sz="12" w:space="1" w:color="E58E1A"/>
        </w:pBdr>
        <w:outlineLvl w:val="9"/>
      </w:pPr>
    </w:p>
    <w:p w14:paraId="1F8878A0" w14:textId="77777777" w:rsidR="00DD6E27" w:rsidRPr="00DD6E27" w:rsidRDefault="00DD6E27" w:rsidP="00DD6E27">
      <w:proofErr w:type="gramStart"/>
      <w:r w:rsidRPr="00DD6E27">
        <w:t>In order to</w:t>
      </w:r>
      <w:proofErr w:type="gramEnd"/>
      <w:r w:rsidRPr="00DD6E27">
        <w:t xml:space="preserve"> provide Local Boards with additional flexibility when assisting individuals from the </w:t>
      </w:r>
    </w:p>
    <w:p w14:paraId="51885D21" w14:textId="77777777" w:rsidR="00DD6E27" w:rsidRPr="00DD6E27" w:rsidRDefault="00DD6E27" w:rsidP="00DD6E27">
      <w:r w:rsidRPr="00DD6E27">
        <w:t xml:space="preserve">most vulnerable populations and with high barriers to employment, and as part of the </w:t>
      </w:r>
    </w:p>
    <w:p w14:paraId="7769A502" w14:textId="77777777" w:rsidR="00DD6E27" w:rsidRPr="00DD6E27" w:rsidRDefault="00DD6E27" w:rsidP="00DD6E27">
      <w:r w:rsidRPr="00DD6E27">
        <w:t>California 2024-2027 Unified Strategic Workforce Development Plan (</w:t>
      </w:r>
      <w:hyperlink r:id="rId19" w:history="1">
        <w:r w:rsidRPr="00DD6E27">
          <w:rPr>
            <w:color w:val="0563C1" w:themeColor="hyperlink"/>
            <w:u w:val="single"/>
          </w:rPr>
          <w:t>State Plan</w:t>
        </w:r>
      </w:hyperlink>
      <w:r w:rsidRPr="00DD6E27">
        <w:t>) Two-Year Modification, the CWDB and the EDD requested and was approved for the following WIOA waiver from the DOL:</w:t>
      </w:r>
    </w:p>
    <w:p w14:paraId="2AEC3EC1" w14:textId="77777777" w:rsidR="00DD6E27" w:rsidRPr="00DD6E27" w:rsidRDefault="00DD6E27" w:rsidP="00DD6E27">
      <w:pPr>
        <w:ind w:left="720"/>
        <w:contextualSpacing/>
      </w:pPr>
    </w:p>
    <w:p w14:paraId="443043DC" w14:textId="77777777" w:rsidR="00DD6E27" w:rsidRPr="00DD6E27" w:rsidRDefault="00DD6E27" w:rsidP="00DD6E27">
      <w:pPr>
        <w:numPr>
          <w:ilvl w:val="0"/>
          <w:numId w:val="2"/>
        </w:numPr>
        <w:contextualSpacing/>
        <w:rPr>
          <w:b/>
          <w:bCs/>
        </w:rPr>
      </w:pPr>
      <w:r w:rsidRPr="00DD6E27">
        <w:rPr>
          <w:b/>
          <w:bCs/>
        </w:rPr>
        <w:t>Waiver of WIOA Section 129(a)(4)(A)</w:t>
      </w:r>
    </w:p>
    <w:p w14:paraId="47A56608" w14:textId="24DCFCF4" w:rsidR="00F42516" w:rsidRPr="00F42516" w:rsidRDefault="00DD6E27" w:rsidP="00CD1343">
      <w:pPr>
        <w:ind w:left="720"/>
        <w:contextualSpacing/>
      </w:pPr>
      <w:r w:rsidRPr="00DD6E27">
        <w:t>This waiver allows the decrease of the out-of-school youth (OSY) expenditure requirement from 75 percent to 50 percent.</w:t>
      </w:r>
      <w:r w:rsidRPr="00DD6E27">
        <w:br/>
      </w:r>
    </w:p>
    <w:p w14:paraId="2F482829" w14:textId="77777777" w:rsidR="00F42516" w:rsidRPr="00F42516" w:rsidRDefault="00F42516" w:rsidP="00F42516">
      <w:pPr>
        <w:pStyle w:val="Heading3"/>
      </w:pPr>
      <w:r w:rsidRPr="00F42516">
        <w:lastRenderedPageBreak/>
        <w:t>Policy and Procedures</w:t>
      </w:r>
    </w:p>
    <w:p w14:paraId="3960178E" w14:textId="77777777" w:rsidR="00F42516" w:rsidRDefault="00F42516" w:rsidP="00F42516">
      <w:pPr>
        <w:pBdr>
          <w:bottom w:val="double" w:sz="12" w:space="1" w:color="E58E1A"/>
        </w:pBdr>
        <w:outlineLvl w:val="9"/>
      </w:pPr>
    </w:p>
    <w:p w14:paraId="332073ED" w14:textId="77777777" w:rsidR="00940F81" w:rsidRPr="00940F81" w:rsidRDefault="00940F81" w:rsidP="00940F81">
      <w:r w:rsidRPr="00940F81">
        <w:t>Under the DOL Secretary’s waiver authority outlined in WIOA Section 189(</w:t>
      </w:r>
      <w:proofErr w:type="spellStart"/>
      <w:r w:rsidRPr="00940F81">
        <w:t>i</w:t>
      </w:r>
      <w:proofErr w:type="spellEnd"/>
      <w:r w:rsidRPr="00940F81">
        <w:t xml:space="preserve">)(3)(A) and detailed </w:t>
      </w:r>
    </w:p>
    <w:p w14:paraId="7F0C2010" w14:textId="77777777" w:rsidR="00940F81" w:rsidRPr="00940F81" w:rsidRDefault="00940F81" w:rsidP="00940F81">
      <w:r w:rsidRPr="00940F81">
        <w:t xml:space="preserve">in TEGL 08-18, the Secretary may waive certain provisions of WIOA Title I. Part of the waiver </w:t>
      </w:r>
    </w:p>
    <w:p w14:paraId="0F370545" w14:textId="77777777" w:rsidR="00940F81" w:rsidRPr="00940F81" w:rsidRDefault="00940F81" w:rsidP="00940F81">
      <w:proofErr w:type="gramStart"/>
      <w:r w:rsidRPr="00940F81">
        <w:t>lifecycle</w:t>
      </w:r>
      <w:proofErr w:type="gramEnd"/>
      <w:r w:rsidRPr="00940F81">
        <w:t xml:space="preserve"> requires states to estimate and then regularly assess whether the waiver is </w:t>
      </w:r>
      <w:proofErr w:type="gramStart"/>
      <w:r w:rsidRPr="00940F81">
        <w:t>successfully</w:t>
      </w:r>
      <w:proofErr w:type="gramEnd"/>
      <w:r w:rsidRPr="00940F81">
        <w:t xml:space="preserve"> </w:t>
      </w:r>
    </w:p>
    <w:p w14:paraId="4CD1DA7E" w14:textId="77777777" w:rsidR="00940F81" w:rsidRPr="00940F81" w:rsidRDefault="00940F81" w:rsidP="00940F81">
      <w:r w:rsidRPr="00940F81">
        <w:t>achieving state goals.</w:t>
      </w:r>
    </w:p>
    <w:p w14:paraId="29B7F6FB" w14:textId="77777777" w:rsidR="00940F81" w:rsidRPr="00940F81" w:rsidRDefault="00940F81" w:rsidP="00940F81"/>
    <w:p w14:paraId="118AC18B" w14:textId="77777777" w:rsidR="00940F81" w:rsidRPr="00940F81" w:rsidRDefault="00940F81" w:rsidP="00940F81">
      <w:r w:rsidRPr="00940F81">
        <w:t xml:space="preserve">As the goal of waivers is to provide opportunities to innovate and experiment with new </w:t>
      </w:r>
    </w:p>
    <w:p w14:paraId="132FBA7B" w14:textId="7399FCB8" w:rsidR="00940F81" w:rsidRPr="00940F81" w:rsidRDefault="00940F81" w:rsidP="00940F81">
      <w:r w:rsidRPr="00940F81">
        <w:t xml:space="preserve">approaches to service delivery, states with approved waivers must provide detailed reports, as outlined in TEGL 05-18, Change 1, in the WIOA Annual Statewide Performance Report Narrative </w:t>
      </w:r>
      <w:r w:rsidR="00730BBD" w:rsidRPr="0004507C">
        <w:rPr>
          <w:color w:val="000000" w:themeColor="text1"/>
        </w:rPr>
        <w:t>(</w:t>
      </w:r>
      <w:hyperlink r:id="rId20" w:history="1">
        <w:r w:rsidR="00730BBD" w:rsidRPr="0004507C">
          <w:rPr>
            <w:rStyle w:val="Hyperlink"/>
          </w:rPr>
          <w:t>WIOA Annual Report</w:t>
        </w:r>
        <w:r w:rsidR="0004507C" w:rsidRPr="0004507C">
          <w:rPr>
            <w:rStyle w:val="Hyperlink"/>
          </w:rPr>
          <w:t xml:space="preserve"> [PDF]</w:t>
        </w:r>
      </w:hyperlink>
      <w:r w:rsidR="00730BBD" w:rsidRPr="0004507C">
        <w:rPr>
          <w:color w:val="000000" w:themeColor="text1"/>
        </w:rPr>
        <w:t>),</w:t>
      </w:r>
      <w:r w:rsidRPr="00940F81">
        <w:t xml:space="preserve"> addressing the waivers’ impact and outcomes. The DOL will consider outcome information as part of the criteria for granting renewal of a waiver, if requested.</w:t>
      </w:r>
    </w:p>
    <w:p w14:paraId="2911B104" w14:textId="77777777" w:rsidR="00940F81" w:rsidRPr="00940F81" w:rsidRDefault="00940F81" w:rsidP="00940F81"/>
    <w:p w14:paraId="26C0A000" w14:textId="77777777" w:rsidR="00940F81" w:rsidRPr="00940F81" w:rsidRDefault="00940F81" w:rsidP="00940F81">
      <w:r w:rsidRPr="00940F81">
        <w:t>The following waiver was approved as part of the State Plan Two-Year Modification and may be used by Local Boards from July 1, 2026 – June 30, 2027 (Program Year [PY] 26-27).</w:t>
      </w:r>
    </w:p>
    <w:p w14:paraId="46C6E6A8" w14:textId="77777777" w:rsidR="00940F81" w:rsidRPr="00940F81" w:rsidRDefault="00940F81" w:rsidP="00940F81"/>
    <w:p w14:paraId="578B9FE2" w14:textId="77777777" w:rsidR="00940F81" w:rsidRPr="00940F81" w:rsidRDefault="00940F81" w:rsidP="00D67842">
      <w:pPr>
        <w:pStyle w:val="Heading4"/>
        <w:rPr>
          <w:b w:val="0"/>
        </w:rPr>
      </w:pPr>
      <w:r w:rsidRPr="00940F81">
        <w:t>Out-of-School Youth Expenditure Waiver</w:t>
      </w:r>
    </w:p>
    <w:p w14:paraId="22818DAD" w14:textId="2B9933E4" w:rsidR="00940F81" w:rsidRPr="00940F81" w:rsidRDefault="00940F81" w:rsidP="00940F81">
      <w:r w:rsidRPr="00940F81">
        <w:t xml:space="preserve">According to </w:t>
      </w:r>
      <w:r w:rsidR="000A0657" w:rsidRPr="000A0657">
        <w:t>WIOA Section 129(a)(1)(B),</w:t>
      </w:r>
      <w:r w:rsidRPr="00940F81">
        <w:t xml:space="preserve"> an OSY means an individual who is not attending any </w:t>
      </w:r>
    </w:p>
    <w:p w14:paraId="5F24E0E4" w14:textId="77777777" w:rsidR="00940F81" w:rsidRPr="00940F81" w:rsidRDefault="00940F81" w:rsidP="00940F81">
      <w:r w:rsidRPr="00940F81">
        <w:t>school, is not younger than age 16 or older than age 24, and is one or more of the following:</w:t>
      </w:r>
    </w:p>
    <w:p w14:paraId="24D469C4" w14:textId="77777777" w:rsidR="00940F81" w:rsidRPr="00940F81" w:rsidRDefault="00940F81" w:rsidP="00940F81">
      <w:pPr>
        <w:numPr>
          <w:ilvl w:val="0"/>
          <w:numId w:val="2"/>
        </w:numPr>
        <w:contextualSpacing/>
      </w:pPr>
      <w:r w:rsidRPr="00940F81">
        <w:t>A school dropout.</w:t>
      </w:r>
    </w:p>
    <w:p w14:paraId="03EA3D01" w14:textId="77777777" w:rsidR="00940F81" w:rsidRPr="00940F81" w:rsidRDefault="00940F81" w:rsidP="00940F81">
      <w:pPr>
        <w:numPr>
          <w:ilvl w:val="0"/>
          <w:numId w:val="2"/>
        </w:numPr>
        <w:contextualSpacing/>
      </w:pPr>
      <w:r w:rsidRPr="00940F81">
        <w:t>A youth who is within the age of compulsory school attendance but has not attended school for at least the most recent complete school year calendar quarter.</w:t>
      </w:r>
    </w:p>
    <w:p w14:paraId="4C32F6B3" w14:textId="701759CF" w:rsidR="00940F81" w:rsidRPr="00940F81" w:rsidRDefault="00940F81" w:rsidP="00940F81">
      <w:pPr>
        <w:numPr>
          <w:ilvl w:val="0"/>
          <w:numId w:val="3"/>
        </w:numPr>
        <w:contextualSpacing/>
      </w:pPr>
      <w:r w:rsidRPr="00940F81">
        <w:t xml:space="preserve">A recipient of a secondary school diploma or its recognized equivalent who is a </w:t>
      </w:r>
      <w:proofErr w:type="gramStart"/>
      <w:r w:rsidR="001D4706" w:rsidRPr="00940F81">
        <w:t>low income</w:t>
      </w:r>
      <w:proofErr w:type="gramEnd"/>
      <w:r w:rsidRPr="00940F81">
        <w:t xml:space="preserve"> individual and is basic skills deficient or an English language learner.</w:t>
      </w:r>
    </w:p>
    <w:p w14:paraId="5A2F18BA" w14:textId="77777777" w:rsidR="00940F81" w:rsidRPr="00940F81" w:rsidRDefault="00940F81" w:rsidP="00940F81">
      <w:pPr>
        <w:numPr>
          <w:ilvl w:val="0"/>
          <w:numId w:val="3"/>
        </w:numPr>
        <w:contextualSpacing/>
      </w:pPr>
      <w:r w:rsidRPr="00940F81">
        <w:t>An individual who is subject to the juvenile or adult justice system.</w:t>
      </w:r>
    </w:p>
    <w:p w14:paraId="5BD48065" w14:textId="77777777" w:rsidR="00940F81" w:rsidRPr="00940F81" w:rsidRDefault="00940F81" w:rsidP="00940F81">
      <w:pPr>
        <w:numPr>
          <w:ilvl w:val="0"/>
          <w:numId w:val="3"/>
        </w:numPr>
        <w:contextualSpacing/>
      </w:pPr>
      <w:r w:rsidRPr="00940F81">
        <w:t>A homeless individual, a runaway, in foster care, or who has aged out of the foster care system, a child eligible for assistance under Section 477 of the Social Security Act, or in an out-of-home placement.</w:t>
      </w:r>
    </w:p>
    <w:p w14:paraId="024E80F5" w14:textId="77777777" w:rsidR="00940F81" w:rsidRPr="00940F81" w:rsidRDefault="00940F81" w:rsidP="00940F81">
      <w:pPr>
        <w:numPr>
          <w:ilvl w:val="0"/>
          <w:numId w:val="4"/>
        </w:numPr>
        <w:contextualSpacing/>
      </w:pPr>
      <w:r w:rsidRPr="00940F81">
        <w:t>An individual who is pregnant or parenting.</w:t>
      </w:r>
    </w:p>
    <w:p w14:paraId="18B5D773" w14:textId="77777777" w:rsidR="00940F81" w:rsidRPr="00940F81" w:rsidRDefault="00940F81" w:rsidP="00940F81">
      <w:pPr>
        <w:numPr>
          <w:ilvl w:val="0"/>
          <w:numId w:val="4"/>
        </w:numPr>
        <w:contextualSpacing/>
      </w:pPr>
      <w:r w:rsidRPr="00940F81">
        <w:t>A youth who is an individual with a disability.</w:t>
      </w:r>
    </w:p>
    <w:p w14:paraId="13172336" w14:textId="77777777" w:rsidR="00940F81" w:rsidRPr="00940F81" w:rsidRDefault="00940F81" w:rsidP="00940F81">
      <w:pPr>
        <w:numPr>
          <w:ilvl w:val="0"/>
          <w:numId w:val="4"/>
        </w:numPr>
        <w:contextualSpacing/>
      </w:pPr>
      <w:r w:rsidRPr="00940F81">
        <w:t>A low-income individual who requires additional assistance to enter or complete an educational program or to secure or hold employment.</w:t>
      </w:r>
    </w:p>
    <w:p w14:paraId="79AE7D38" w14:textId="77777777" w:rsidR="00940F81" w:rsidRPr="00940F81" w:rsidRDefault="00940F81" w:rsidP="00940F81"/>
    <w:p w14:paraId="3606CCCC" w14:textId="77777777" w:rsidR="00940F81" w:rsidRPr="00940F81" w:rsidRDefault="00940F81" w:rsidP="00940F81">
      <w:r w:rsidRPr="00940F81">
        <w:t xml:space="preserve">Under WIOA Section 129(a)(4)(A), Local Boards are required to spend at least 75 percent of </w:t>
      </w:r>
    </w:p>
    <w:p w14:paraId="3DEB86E6" w14:textId="77777777" w:rsidR="00940F81" w:rsidRPr="00940F81" w:rsidRDefault="00940F81" w:rsidP="00940F81">
      <w:r w:rsidRPr="00940F81">
        <w:t xml:space="preserve">their WIOA youth formula allocation on youth workforce investment activities for OSY. This </w:t>
      </w:r>
    </w:p>
    <w:p w14:paraId="0FA308C3" w14:textId="77777777" w:rsidR="00940F81" w:rsidRPr="00940F81" w:rsidRDefault="00940F81" w:rsidP="00940F81">
      <w:r w:rsidRPr="00940F81">
        <w:t xml:space="preserve">waiver would allow a Local Board to decrease their OSY expenditure requirement from 75 </w:t>
      </w:r>
    </w:p>
    <w:p w14:paraId="7C93E732" w14:textId="77777777" w:rsidR="00940F81" w:rsidRPr="00940F81" w:rsidRDefault="00940F81" w:rsidP="00940F81">
      <w:r w:rsidRPr="00940F81">
        <w:t xml:space="preserve">percent to 50 percent to increase their in-school youth (ISY) enrollments of systems-involved </w:t>
      </w:r>
    </w:p>
    <w:p w14:paraId="51195882" w14:textId="77777777" w:rsidR="00940F81" w:rsidRPr="00940F81" w:rsidRDefault="00940F81" w:rsidP="00940F81">
      <w:r w:rsidRPr="00940F81">
        <w:t>youth, specifically youth who are homeless, in foster care, or are justice-involved.</w:t>
      </w:r>
    </w:p>
    <w:p w14:paraId="54654A11" w14:textId="77777777" w:rsidR="00940F81" w:rsidRPr="00940F81" w:rsidRDefault="00940F81" w:rsidP="00940F81"/>
    <w:p w14:paraId="748E2CBE" w14:textId="77777777" w:rsidR="0004507C" w:rsidRDefault="0004507C">
      <w:pPr>
        <w:spacing w:after="160" w:line="259" w:lineRule="auto"/>
        <w:outlineLvl w:val="9"/>
        <w:rPr>
          <w:i/>
          <w:iCs/>
        </w:rPr>
      </w:pPr>
      <w:r>
        <w:rPr>
          <w:i/>
          <w:iCs/>
        </w:rPr>
        <w:br w:type="page"/>
      </w:r>
    </w:p>
    <w:p w14:paraId="4CD75C05" w14:textId="7581184D" w:rsidR="00940F81" w:rsidRPr="00940F81" w:rsidRDefault="00940F81" w:rsidP="00C33B08">
      <w:pPr>
        <w:pStyle w:val="Heading5"/>
      </w:pPr>
      <w:r w:rsidRPr="00940F81">
        <w:lastRenderedPageBreak/>
        <w:t>Projected Programmatic Outcome</w:t>
      </w:r>
    </w:p>
    <w:p w14:paraId="4650558F" w14:textId="79426873" w:rsidR="00940F81" w:rsidRPr="00940F81" w:rsidRDefault="00940F81" w:rsidP="00940F81">
      <w:r w:rsidRPr="00940F81">
        <w:t>As part of the waiver request, California projected that Local Boards that apply for and use the waiver will see an increase of approximately 15 percent in the total number of ISY they enroll who meet the WIOA-defined youth barriers related to foster care, justice-involved, and/or</w:t>
      </w:r>
      <w:r w:rsidR="00673B17">
        <w:t xml:space="preserve"> </w:t>
      </w:r>
      <w:r w:rsidRPr="00940F81">
        <w:t>homelessness.</w:t>
      </w:r>
    </w:p>
    <w:p w14:paraId="12EF389B" w14:textId="77777777" w:rsidR="00940F81" w:rsidRPr="00940F81" w:rsidRDefault="00940F81" w:rsidP="00940F81"/>
    <w:p w14:paraId="0CEA74B5" w14:textId="77777777" w:rsidR="00940F81" w:rsidRPr="00940F81" w:rsidRDefault="00940F81" w:rsidP="00D67842">
      <w:pPr>
        <w:pStyle w:val="Heading4"/>
        <w:rPr>
          <w:b w:val="0"/>
        </w:rPr>
      </w:pPr>
      <w:r w:rsidRPr="00940F81">
        <w:t>Waiver Application Process</w:t>
      </w:r>
    </w:p>
    <w:p w14:paraId="198BEED7" w14:textId="77777777" w:rsidR="00940F81" w:rsidRPr="00940F81" w:rsidRDefault="00940F81" w:rsidP="00940F81">
      <w:r w:rsidRPr="00940F81">
        <w:t xml:space="preserve">The DOL requires the state to evaluate the effectiveness of waivers as part of the WIOA Annual </w:t>
      </w:r>
    </w:p>
    <w:p w14:paraId="28567297" w14:textId="77777777" w:rsidR="00940F81" w:rsidRPr="00940F81" w:rsidRDefault="00940F81" w:rsidP="00940F81">
      <w:r w:rsidRPr="00940F81">
        <w:t>Report. Therefore, the state must track which Local Boards are using the waivers.</w:t>
      </w:r>
    </w:p>
    <w:p w14:paraId="1776E572" w14:textId="77777777" w:rsidR="00940F81" w:rsidRPr="00940F81" w:rsidRDefault="00940F81" w:rsidP="00940F81"/>
    <w:p w14:paraId="474D110B" w14:textId="77777777" w:rsidR="00940F81" w:rsidRPr="00940F81" w:rsidRDefault="00940F81" w:rsidP="00940F81">
      <w:r w:rsidRPr="00940F81">
        <w:t xml:space="preserve">To use this approved waiver, Local Boards must apply. Electronic signatures on the applications will be accepted. Additionally, to comply with the DOL requirements, applications must be completed and approved every year the waiver is in effect. </w:t>
      </w:r>
    </w:p>
    <w:p w14:paraId="7293A989" w14:textId="77777777" w:rsidR="00940F81" w:rsidRPr="00940F81" w:rsidRDefault="00940F81" w:rsidP="00940F81"/>
    <w:p w14:paraId="25DBE51B" w14:textId="77777777" w:rsidR="00940F81" w:rsidRPr="00940F81" w:rsidRDefault="00940F81" w:rsidP="00940F81">
      <w:r w:rsidRPr="00940F81">
        <w:t xml:space="preserve">Applications for PY 26-27 are </w:t>
      </w:r>
      <w:r w:rsidRPr="003E0F79">
        <w:rPr>
          <w:b/>
          <w:bCs/>
        </w:rPr>
        <w:t xml:space="preserve">due by June 15, </w:t>
      </w:r>
      <w:proofErr w:type="gramStart"/>
      <w:r w:rsidRPr="003E0F79">
        <w:rPr>
          <w:b/>
          <w:bCs/>
        </w:rPr>
        <w:t>2026</w:t>
      </w:r>
      <w:proofErr w:type="gramEnd"/>
      <w:r w:rsidRPr="00940F81">
        <w:t xml:space="preserve"> and must be electronically signed by the </w:t>
      </w:r>
    </w:p>
    <w:p w14:paraId="7BED9A44" w14:textId="7C967FB7" w:rsidR="00F42516" w:rsidRDefault="00940F81" w:rsidP="00F42516">
      <w:r w:rsidRPr="00940F81">
        <w:t xml:space="preserve">Local Board Executive Director and submitted electronically to </w:t>
      </w:r>
      <w:hyperlink r:id="rId21" w:history="1">
        <w:r w:rsidR="00CD7D90" w:rsidRPr="00CD7D90">
          <w:rPr>
            <w:rStyle w:val="Hyperlink"/>
          </w:rPr>
          <w:t>PolicyUnit@cwdb.ca.gov</w:t>
        </w:r>
      </w:hyperlink>
      <w:r w:rsidRPr="00940F81">
        <w:t xml:space="preserve">. However, applications may be submitted at any time during the program year and will be processed by the CWDB. Please include “WIOA Waiver Request Application” in the subject line. The CWDB will review the applications and notify Local Boards of their approval or denial </w:t>
      </w:r>
      <w:r w:rsidR="00CD7D90">
        <w:t>via</w:t>
      </w:r>
      <w:r w:rsidRPr="00940F81">
        <w:t xml:space="preserve"> email by June 29, 2026.</w:t>
      </w:r>
    </w:p>
    <w:p w14:paraId="437F31D5" w14:textId="77777777" w:rsidR="00CD1343" w:rsidRPr="00F42516" w:rsidRDefault="00CD1343" w:rsidP="00F42516"/>
    <w:p w14:paraId="65440DA0" w14:textId="77777777" w:rsidR="00F42516" w:rsidRPr="00F42516" w:rsidRDefault="00F42516" w:rsidP="00F42516">
      <w:pPr>
        <w:pStyle w:val="Heading3"/>
      </w:pPr>
      <w:r w:rsidRPr="00F42516">
        <w:t>Action</w:t>
      </w:r>
    </w:p>
    <w:p w14:paraId="375C3E82" w14:textId="77777777" w:rsidR="00F42516" w:rsidRDefault="00F42516" w:rsidP="00F42516">
      <w:pPr>
        <w:pBdr>
          <w:bottom w:val="double" w:sz="12" w:space="1" w:color="E58E1A"/>
        </w:pBdr>
        <w:outlineLvl w:val="9"/>
      </w:pPr>
    </w:p>
    <w:p w14:paraId="5E16BF39" w14:textId="77777777" w:rsidR="00940F81" w:rsidRDefault="00940F81" w:rsidP="00940F81">
      <w:r>
        <w:t xml:space="preserve">Bring this Directive to the attention of the local Chief Elected Official, Local Board, and </w:t>
      </w:r>
    </w:p>
    <w:p w14:paraId="01A79A77" w14:textId="77777777" w:rsidR="00CD1343" w:rsidRDefault="00940F81" w:rsidP="00F42516">
      <w:r>
        <w:t>appropriate staff.</w:t>
      </w:r>
    </w:p>
    <w:p w14:paraId="6316A3F3" w14:textId="6B6332D0" w:rsidR="00F42516" w:rsidRPr="00F42516" w:rsidRDefault="00F42516" w:rsidP="00F42516"/>
    <w:p w14:paraId="769C9A95" w14:textId="3F70F8B6" w:rsidR="00F42516" w:rsidRPr="00F42516" w:rsidRDefault="00F42516" w:rsidP="00F42516">
      <w:pPr>
        <w:pStyle w:val="Heading3"/>
      </w:pPr>
      <w:r w:rsidRPr="00F42516">
        <w:t>Inquir</w:t>
      </w:r>
      <w:r w:rsidR="00BE63C6">
        <w:t>i</w:t>
      </w:r>
      <w:r w:rsidRPr="00F42516">
        <w:t>es</w:t>
      </w:r>
    </w:p>
    <w:p w14:paraId="4036F87C" w14:textId="77777777" w:rsidR="00F42516" w:rsidRDefault="00F42516" w:rsidP="00F42516">
      <w:pPr>
        <w:pBdr>
          <w:bottom w:val="double" w:sz="12" w:space="1" w:color="E58E1A"/>
        </w:pBdr>
        <w:outlineLvl w:val="9"/>
      </w:pPr>
    </w:p>
    <w:p w14:paraId="12D8910B" w14:textId="628CC12A" w:rsidR="00940F81" w:rsidRPr="00D67842" w:rsidRDefault="00940F81" w:rsidP="00940F81">
      <w:pPr>
        <w:rPr>
          <w:sz w:val="56"/>
          <w:szCs w:val="56"/>
        </w:rPr>
      </w:pPr>
      <w:r w:rsidRPr="00940F81">
        <w:t xml:space="preserve">If you have any questions, contact the </w:t>
      </w:r>
      <w:r w:rsidR="00CD7D90" w:rsidRPr="003E0F79">
        <w:t>CWDB</w:t>
      </w:r>
      <w:r w:rsidRPr="00940F81">
        <w:t xml:space="preserve"> at </w:t>
      </w:r>
      <w:hyperlink r:id="rId22" w:history="1">
        <w:r w:rsidR="00CD7D90" w:rsidRPr="00CD7D90">
          <w:rPr>
            <w:rStyle w:val="Hyperlink"/>
          </w:rPr>
          <w:t>PolicyUnit@cwdb.ca.gov</w:t>
        </w:r>
      </w:hyperlink>
      <w:r w:rsidRPr="00940F81">
        <w:br/>
      </w:r>
    </w:p>
    <w:p w14:paraId="1940FC6F" w14:textId="30FCE05D" w:rsidR="00940F81" w:rsidRPr="00940F81" w:rsidRDefault="00C33B08" w:rsidP="00940F81">
      <w:r>
        <w:t xml:space="preserve">/s/ </w:t>
      </w:r>
      <w:r w:rsidR="00940F81" w:rsidRPr="00940F81">
        <w:t>JAVIER ROMERO, Deputy Director</w:t>
      </w:r>
      <w:r w:rsidR="00940F81" w:rsidRPr="00940F81">
        <w:br/>
        <w:t>Workforce Services Branch</w:t>
      </w:r>
      <w:r w:rsidR="00940F81" w:rsidRPr="00940F81">
        <w:br/>
      </w:r>
    </w:p>
    <w:p w14:paraId="24158988" w14:textId="172B07F9" w:rsidR="00940F81" w:rsidRPr="00940F81" w:rsidRDefault="00D67842" w:rsidP="00940F81">
      <w:r w:rsidRPr="00D67842">
        <w:t>Attachment</w:t>
      </w:r>
      <w:r>
        <w:t>:</w:t>
      </w:r>
    </w:p>
    <w:p w14:paraId="6949E8DE" w14:textId="0B01B67D" w:rsidR="00940F81" w:rsidRPr="00940F81" w:rsidRDefault="00940F81" w:rsidP="00940F81">
      <w:pPr>
        <w:numPr>
          <w:ilvl w:val="0"/>
          <w:numId w:val="5"/>
        </w:numPr>
        <w:contextualSpacing/>
      </w:pPr>
      <w:hyperlink r:id="rId23" w:history="1">
        <w:r w:rsidRPr="00C33B08">
          <w:rPr>
            <w:rStyle w:val="Hyperlink"/>
          </w:rPr>
          <w:t>Application for Out-of-School Youth Waiver (DOCX)</w:t>
        </w:r>
      </w:hyperlink>
    </w:p>
    <w:p w14:paraId="0286ED9A" w14:textId="77777777" w:rsidR="004001D8" w:rsidRDefault="004001D8" w:rsidP="004001D8">
      <w:pPr>
        <w:pBdr>
          <w:bottom w:val="single" w:sz="4" w:space="1" w:color="auto"/>
        </w:pBdr>
      </w:pPr>
    </w:p>
    <w:p w14:paraId="331C3A93" w14:textId="08165F61" w:rsidR="004001D8" w:rsidRPr="00C30BD7" w:rsidRDefault="004001D8" w:rsidP="00047609">
      <w:pPr>
        <w:spacing w:before="240"/>
        <w:jc w:val="center"/>
      </w:pPr>
      <w:proofErr w:type="gramStart"/>
      <w:r w:rsidRPr="00C30BD7">
        <w:rPr>
          <w:i/>
          <w:iCs/>
        </w:rPr>
        <w:t>The EDD</w:t>
      </w:r>
      <w:proofErr w:type="gramEnd"/>
      <w:r w:rsidRPr="00C30BD7">
        <w:rPr>
          <w:i/>
          <w:iCs/>
        </w:rPr>
        <w:t xml:space="preserve"> is an equal opportunity employer/program. Auxiliary aids and services </w:t>
      </w:r>
      <w:r>
        <w:rPr>
          <w:i/>
          <w:iCs/>
        </w:rPr>
        <w:br/>
      </w:r>
      <w:r w:rsidRPr="00C30BD7">
        <w:rPr>
          <w:i/>
          <w:iCs/>
        </w:rPr>
        <w:t>are available upon request to individuals with disabilities.</w:t>
      </w:r>
    </w:p>
    <w:p w14:paraId="1E1BC946" w14:textId="77777777" w:rsidR="001C741C" w:rsidRDefault="001C741C" w:rsidP="00D67842">
      <w:pPr>
        <w:pBdr>
          <w:bottom w:val="single" w:sz="4" w:space="1" w:color="auto"/>
        </w:pBdr>
      </w:pPr>
    </w:p>
    <w:sectPr w:rsidR="001C741C" w:rsidSect="00B10C2B">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1297" w14:textId="77777777" w:rsidR="00E00FDB" w:rsidRDefault="00E00FDB" w:rsidP="001C741C">
      <w:r>
        <w:separator/>
      </w:r>
    </w:p>
  </w:endnote>
  <w:endnote w:type="continuationSeparator" w:id="0">
    <w:p w14:paraId="048475E8" w14:textId="77777777" w:rsidR="00E00FDB" w:rsidRDefault="00E00FDB" w:rsidP="001C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2447" w14:textId="77777777" w:rsidR="00F42516" w:rsidRPr="00BA060D" w:rsidRDefault="00F42516">
    <w:pPr>
      <w:pStyle w:val="Footer"/>
      <w:jc w:val="center"/>
    </w:pPr>
    <w:r w:rsidRPr="00BA060D">
      <w:t xml:space="preserve">Page </w:t>
    </w:r>
    <w:r w:rsidRPr="00BA060D">
      <w:fldChar w:fldCharType="begin"/>
    </w:r>
    <w:r w:rsidRPr="00BA060D">
      <w:instrText xml:space="preserve"> PAGE  \* Arabic  \* MERGEFORMAT </w:instrText>
    </w:r>
    <w:r w:rsidRPr="00BA060D">
      <w:fldChar w:fldCharType="separate"/>
    </w:r>
    <w:r w:rsidRPr="00BA060D">
      <w:rPr>
        <w:noProof/>
      </w:rPr>
      <w:t>2</w:t>
    </w:r>
    <w:r w:rsidRPr="00BA060D">
      <w:fldChar w:fldCharType="end"/>
    </w:r>
    <w:r w:rsidRPr="00BA060D">
      <w:t xml:space="preserve"> of </w:t>
    </w:r>
    <w:r w:rsidR="00DC1075">
      <w:rPr>
        <w:noProof/>
      </w:rPr>
      <w:fldChar w:fldCharType="begin"/>
    </w:r>
    <w:r w:rsidR="00DC1075">
      <w:rPr>
        <w:noProof/>
      </w:rPr>
      <w:instrText xml:space="preserve"> NUMPAGES  \* Arabic  \* MERGEFORMAT </w:instrText>
    </w:r>
    <w:r w:rsidR="00DC1075">
      <w:rPr>
        <w:noProof/>
      </w:rPr>
      <w:fldChar w:fldCharType="separate"/>
    </w:r>
    <w:r w:rsidRPr="00BA060D">
      <w:rPr>
        <w:noProof/>
      </w:rPr>
      <w:t>2</w:t>
    </w:r>
    <w:r w:rsidR="00DC1075">
      <w:rPr>
        <w:noProof/>
      </w:rPr>
      <w:fldChar w:fldCharType="end"/>
    </w:r>
  </w:p>
  <w:p w14:paraId="6A2A7A7A" w14:textId="77777777" w:rsidR="00F42516" w:rsidRDefault="00F42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04B0" w14:textId="41323A86" w:rsidR="00423EEA" w:rsidRPr="00BA060D" w:rsidRDefault="006A4D40" w:rsidP="006A4D40">
    <w:pPr>
      <w:pStyle w:val="Footer"/>
    </w:pPr>
    <w:r w:rsidRPr="006A4D40">
      <w:rPr>
        <w:rFonts w:ascii="Calibri" w:eastAsia="Calibri" w:hAnsi="Calibri"/>
      </w:rPr>
      <w:t>Draft Directive</w:t>
    </w:r>
    <w:r w:rsidRPr="00BA060D">
      <w:t xml:space="preserve"> </w:t>
    </w:r>
    <w:r>
      <w:tab/>
    </w:r>
    <w:r w:rsidR="00423EEA" w:rsidRPr="00BA060D">
      <w:t xml:space="preserve">Page </w:t>
    </w:r>
    <w:r w:rsidR="00423EEA" w:rsidRPr="00BA060D">
      <w:fldChar w:fldCharType="begin"/>
    </w:r>
    <w:r w:rsidR="00423EEA" w:rsidRPr="00BA060D">
      <w:instrText xml:space="preserve"> PAGE  \* Arabic  \* MERGEFORMAT </w:instrText>
    </w:r>
    <w:r w:rsidR="00423EEA" w:rsidRPr="00BA060D">
      <w:fldChar w:fldCharType="separate"/>
    </w:r>
    <w:r w:rsidR="003E0F79">
      <w:rPr>
        <w:noProof/>
      </w:rPr>
      <w:t>5</w:t>
    </w:r>
    <w:r w:rsidR="00423EEA" w:rsidRPr="00BA060D">
      <w:fldChar w:fldCharType="end"/>
    </w:r>
    <w:r w:rsidR="00423EEA" w:rsidRPr="00BA060D">
      <w:t xml:space="preserve"> of </w:t>
    </w:r>
    <w:r w:rsidR="00DC1075">
      <w:rPr>
        <w:noProof/>
      </w:rPr>
      <w:fldChar w:fldCharType="begin"/>
    </w:r>
    <w:r w:rsidR="00DC1075">
      <w:rPr>
        <w:noProof/>
      </w:rPr>
      <w:instrText xml:space="preserve"> NUMPAGES  \* Arabic  \* MERGEFORMAT </w:instrText>
    </w:r>
    <w:r w:rsidR="00DC1075">
      <w:rPr>
        <w:noProof/>
      </w:rPr>
      <w:fldChar w:fldCharType="separate"/>
    </w:r>
    <w:r w:rsidR="003E0F79">
      <w:rPr>
        <w:noProof/>
      </w:rPr>
      <w:t>5</w:t>
    </w:r>
    <w:r w:rsidR="00DC1075">
      <w:rPr>
        <w:noProof/>
      </w:rPr>
      <w:fldChar w:fldCharType="end"/>
    </w:r>
    <w:r w:rsidR="0023716C">
      <w:rPr>
        <w:noProof/>
      </w:rPr>
      <w:tab/>
      <w:t xml:space="preserve">DIC: </w:t>
    </w:r>
    <w:r w:rsidR="00777498">
      <w:rPr>
        <w:noProof/>
      </w:rPr>
      <w:t>30</w:t>
    </w:r>
  </w:p>
  <w:p w14:paraId="5C68D291" w14:textId="77777777" w:rsidR="00423EEA" w:rsidRDefault="00423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CC8B" w14:textId="77777777" w:rsidR="00E00FDB" w:rsidRDefault="00E00FDB" w:rsidP="001C741C">
      <w:r>
        <w:separator/>
      </w:r>
    </w:p>
  </w:footnote>
  <w:footnote w:type="continuationSeparator" w:id="0">
    <w:p w14:paraId="0AECD158" w14:textId="77777777" w:rsidR="00E00FDB" w:rsidRDefault="00E00FDB" w:rsidP="001C7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AA3"/>
    <w:multiLevelType w:val="hybridMultilevel"/>
    <w:tmpl w:val="E778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60F99"/>
    <w:multiLevelType w:val="hybridMultilevel"/>
    <w:tmpl w:val="CB5E8ED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4C8D7D4C"/>
    <w:multiLevelType w:val="hybridMultilevel"/>
    <w:tmpl w:val="0AFA5BB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E4A386E"/>
    <w:multiLevelType w:val="hybridMultilevel"/>
    <w:tmpl w:val="5B2A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E03680"/>
    <w:multiLevelType w:val="hybridMultilevel"/>
    <w:tmpl w:val="15BC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956561">
    <w:abstractNumId w:val="0"/>
  </w:num>
  <w:num w:numId="2" w16cid:durableId="869298094">
    <w:abstractNumId w:val="3"/>
  </w:num>
  <w:num w:numId="3" w16cid:durableId="1882595968">
    <w:abstractNumId w:val="4"/>
  </w:num>
  <w:num w:numId="4" w16cid:durableId="1412577479">
    <w:abstractNumId w:val="1"/>
  </w:num>
  <w:num w:numId="5" w16cid:durableId="2078552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0NTA1MzezNDW3tDBT0lEKTi0uzszPAymwqAUAo4PLSywAAAA="/>
  </w:docVars>
  <w:rsids>
    <w:rsidRoot w:val="008B3FB8"/>
    <w:rsid w:val="00011103"/>
    <w:rsid w:val="0001166E"/>
    <w:rsid w:val="00041D43"/>
    <w:rsid w:val="0004507C"/>
    <w:rsid w:val="00047609"/>
    <w:rsid w:val="00051903"/>
    <w:rsid w:val="00070850"/>
    <w:rsid w:val="000716D1"/>
    <w:rsid w:val="000763C0"/>
    <w:rsid w:val="000A0657"/>
    <w:rsid w:val="000B4AE2"/>
    <w:rsid w:val="000C0CF3"/>
    <w:rsid w:val="000D365C"/>
    <w:rsid w:val="00114556"/>
    <w:rsid w:val="00115896"/>
    <w:rsid w:val="00131ADB"/>
    <w:rsid w:val="00141B12"/>
    <w:rsid w:val="001514DB"/>
    <w:rsid w:val="00175D98"/>
    <w:rsid w:val="00187CC9"/>
    <w:rsid w:val="001A6A8E"/>
    <w:rsid w:val="001C741C"/>
    <w:rsid w:val="001D4706"/>
    <w:rsid w:val="00211C5C"/>
    <w:rsid w:val="0022480B"/>
    <w:rsid w:val="002277C9"/>
    <w:rsid w:val="002368A2"/>
    <w:rsid w:val="0023716C"/>
    <w:rsid w:val="00247371"/>
    <w:rsid w:val="00252BD5"/>
    <w:rsid w:val="00261036"/>
    <w:rsid w:val="00284CB2"/>
    <w:rsid w:val="0028555B"/>
    <w:rsid w:val="002B680D"/>
    <w:rsid w:val="002E3314"/>
    <w:rsid w:val="003471E9"/>
    <w:rsid w:val="003A794D"/>
    <w:rsid w:val="003B343B"/>
    <w:rsid w:val="003E0F79"/>
    <w:rsid w:val="004001D8"/>
    <w:rsid w:val="00423EEA"/>
    <w:rsid w:val="00437F02"/>
    <w:rsid w:val="00443577"/>
    <w:rsid w:val="00461038"/>
    <w:rsid w:val="00461174"/>
    <w:rsid w:val="004A2513"/>
    <w:rsid w:val="004A422F"/>
    <w:rsid w:val="004D1CBF"/>
    <w:rsid w:val="004D34A7"/>
    <w:rsid w:val="005159C7"/>
    <w:rsid w:val="005A7202"/>
    <w:rsid w:val="005F3A26"/>
    <w:rsid w:val="006001D2"/>
    <w:rsid w:val="006457C4"/>
    <w:rsid w:val="00673B17"/>
    <w:rsid w:val="00690892"/>
    <w:rsid w:val="006A4D40"/>
    <w:rsid w:val="006B0E65"/>
    <w:rsid w:val="006E1118"/>
    <w:rsid w:val="006F1AF2"/>
    <w:rsid w:val="00701BAE"/>
    <w:rsid w:val="0071372F"/>
    <w:rsid w:val="00730BBD"/>
    <w:rsid w:val="00733DFB"/>
    <w:rsid w:val="007701DA"/>
    <w:rsid w:val="00777498"/>
    <w:rsid w:val="007A4E01"/>
    <w:rsid w:val="007D33CC"/>
    <w:rsid w:val="007F7C94"/>
    <w:rsid w:val="00814B53"/>
    <w:rsid w:val="00834A1A"/>
    <w:rsid w:val="008360AA"/>
    <w:rsid w:val="008772D9"/>
    <w:rsid w:val="00886EFD"/>
    <w:rsid w:val="00895805"/>
    <w:rsid w:val="008A2F41"/>
    <w:rsid w:val="008B3FB8"/>
    <w:rsid w:val="008F4CEC"/>
    <w:rsid w:val="00940F81"/>
    <w:rsid w:val="009521F8"/>
    <w:rsid w:val="009821C7"/>
    <w:rsid w:val="00985CD9"/>
    <w:rsid w:val="0098741E"/>
    <w:rsid w:val="00997BF2"/>
    <w:rsid w:val="009B6BCF"/>
    <w:rsid w:val="009D21D5"/>
    <w:rsid w:val="009E4570"/>
    <w:rsid w:val="009E7D2C"/>
    <w:rsid w:val="00A53C54"/>
    <w:rsid w:val="00A6683E"/>
    <w:rsid w:val="00A940AA"/>
    <w:rsid w:val="00AB1DF3"/>
    <w:rsid w:val="00AB29EB"/>
    <w:rsid w:val="00AD5C44"/>
    <w:rsid w:val="00B10C2B"/>
    <w:rsid w:val="00B118B7"/>
    <w:rsid w:val="00B15097"/>
    <w:rsid w:val="00B17D68"/>
    <w:rsid w:val="00B202C6"/>
    <w:rsid w:val="00B40C46"/>
    <w:rsid w:val="00B80852"/>
    <w:rsid w:val="00B814D8"/>
    <w:rsid w:val="00BB7572"/>
    <w:rsid w:val="00BC39D0"/>
    <w:rsid w:val="00BD112C"/>
    <w:rsid w:val="00BE3411"/>
    <w:rsid w:val="00BE63C6"/>
    <w:rsid w:val="00C01712"/>
    <w:rsid w:val="00C226DD"/>
    <w:rsid w:val="00C26B09"/>
    <w:rsid w:val="00C30986"/>
    <w:rsid w:val="00C3168F"/>
    <w:rsid w:val="00C33B08"/>
    <w:rsid w:val="00C51889"/>
    <w:rsid w:val="00C53927"/>
    <w:rsid w:val="00C62B97"/>
    <w:rsid w:val="00C70A0F"/>
    <w:rsid w:val="00C731AA"/>
    <w:rsid w:val="00C8489B"/>
    <w:rsid w:val="00CC64AB"/>
    <w:rsid w:val="00CD1343"/>
    <w:rsid w:val="00CD60C0"/>
    <w:rsid w:val="00CD7D90"/>
    <w:rsid w:val="00D3262E"/>
    <w:rsid w:val="00D42C94"/>
    <w:rsid w:val="00D43F33"/>
    <w:rsid w:val="00D520E7"/>
    <w:rsid w:val="00D557BB"/>
    <w:rsid w:val="00D57941"/>
    <w:rsid w:val="00D67842"/>
    <w:rsid w:val="00D97FE7"/>
    <w:rsid w:val="00DB281A"/>
    <w:rsid w:val="00DC1075"/>
    <w:rsid w:val="00DD6E27"/>
    <w:rsid w:val="00DE0BDF"/>
    <w:rsid w:val="00DE3014"/>
    <w:rsid w:val="00E00FDB"/>
    <w:rsid w:val="00E03919"/>
    <w:rsid w:val="00E07AAB"/>
    <w:rsid w:val="00E12FBD"/>
    <w:rsid w:val="00E16985"/>
    <w:rsid w:val="00E27117"/>
    <w:rsid w:val="00E520BC"/>
    <w:rsid w:val="00E60064"/>
    <w:rsid w:val="00E60397"/>
    <w:rsid w:val="00E7369D"/>
    <w:rsid w:val="00E84684"/>
    <w:rsid w:val="00EA65B8"/>
    <w:rsid w:val="00ED2582"/>
    <w:rsid w:val="00EE1ADE"/>
    <w:rsid w:val="00EF2FB1"/>
    <w:rsid w:val="00F13C1D"/>
    <w:rsid w:val="00F216F4"/>
    <w:rsid w:val="00F4034D"/>
    <w:rsid w:val="00F42516"/>
    <w:rsid w:val="00F510A9"/>
    <w:rsid w:val="00FA48DB"/>
    <w:rsid w:val="00FE097A"/>
    <w:rsid w:val="00FF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CCF5F9C"/>
  <w15:chartTrackingRefBased/>
  <w15:docId w15:val="{A9245523-C3E4-477D-A5E1-CE49FBAD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97"/>
    <w:pPr>
      <w:spacing w:after="0" w:line="240" w:lineRule="auto"/>
      <w:outlineLvl w:val="5"/>
    </w:pPr>
    <w:rPr>
      <w:rFonts w:eastAsia="Times New Roman" w:cs="Times New Roman"/>
      <w:sz w:val="24"/>
      <w:szCs w:val="24"/>
    </w:rPr>
  </w:style>
  <w:style w:type="paragraph" w:styleId="Heading1">
    <w:name w:val="heading 1"/>
    <w:basedOn w:val="Normal"/>
    <w:next w:val="Normal"/>
    <w:link w:val="Heading1Char"/>
    <w:uiPriority w:val="9"/>
    <w:qFormat/>
    <w:rsid w:val="00FF293D"/>
    <w:pPr>
      <w:jc w:val="center"/>
      <w:outlineLvl w:val="0"/>
    </w:pPr>
    <w:rPr>
      <w:noProof/>
      <w:color w:val="007DA5"/>
      <w:sz w:val="48"/>
      <w:szCs w:val="48"/>
    </w:rPr>
  </w:style>
  <w:style w:type="paragraph" w:styleId="Heading2">
    <w:name w:val="heading 2"/>
    <w:basedOn w:val="Normal"/>
    <w:next w:val="Normal"/>
    <w:link w:val="Heading2Char"/>
    <w:uiPriority w:val="9"/>
    <w:unhideWhenUsed/>
    <w:qFormat/>
    <w:rsid w:val="00FF293D"/>
    <w:pPr>
      <w:jc w:val="center"/>
      <w:outlineLvl w:val="1"/>
    </w:pPr>
    <w:rPr>
      <w:b/>
      <w:bCs/>
      <w:sz w:val="32"/>
      <w:szCs w:val="32"/>
    </w:rPr>
  </w:style>
  <w:style w:type="paragraph" w:styleId="Heading3">
    <w:name w:val="heading 3"/>
    <w:basedOn w:val="Normal"/>
    <w:next w:val="Normal"/>
    <w:link w:val="Heading3Char"/>
    <w:uiPriority w:val="9"/>
    <w:unhideWhenUsed/>
    <w:qFormat/>
    <w:rsid w:val="00F42516"/>
    <w:pPr>
      <w:keepNext/>
      <w:keepLines/>
      <w:spacing w:before="40"/>
      <w:outlineLvl w:val="2"/>
    </w:pPr>
    <w:rPr>
      <w:rFonts w:ascii="Calibri" w:eastAsiaTheme="majorEastAsia" w:hAnsi="Calibri" w:cstheme="majorBidi"/>
      <w:color w:val="007DA5"/>
      <w:sz w:val="32"/>
    </w:rPr>
  </w:style>
  <w:style w:type="paragraph" w:styleId="Heading4">
    <w:name w:val="heading 4"/>
    <w:basedOn w:val="Normal"/>
    <w:next w:val="Normal"/>
    <w:link w:val="Heading4Char"/>
    <w:uiPriority w:val="9"/>
    <w:unhideWhenUsed/>
    <w:qFormat/>
    <w:rsid w:val="00D67842"/>
    <w:pPr>
      <w:keepNext/>
      <w:keepLines/>
      <w:spacing w:before="40"/>
      <w:outlineLvl w:val="3"/>
    </w:pPr>
    <w:rPr>
      <w:rFonts w:ascii="Calibri" w:eastAsiaTheme="majorEastAsia" w:hAnsi="Calibri" w:cstheme="majorBidi"/>
      <w:b/>
      <w:iCs/>
      <w:sz w:val="28"/>
    </w:rPr>
  </w:style>
  <w:style w:type="paragraph" w:styleId="Heading5">
    <w:name w:val="heading 5"/>
    <w:basedOn w:val="Normal"/>
    <w:next w:val="Normal"/>
    <w:link w:val="Heading5Char"/>
    <w:uiPriority w:val="9"/>
    <w:unhideWhenUsed/>
    <w:qFormat/>
    <w:rsid w:val="00C33B08"/>
    <w:pPr>
      <w:keepNext/>
      <w:keepLines/>
      <w:spacing w:before="40"/>
      <w:outlineLvl w:val="4"/>
    </w:pPr>
    <w:rPr>
      <w:rFonts w:ascii="Calibri" w:eastAsiaTheme="majorEastAsia" w:hAnsi="Calibri" w:cstheme="majorBidi"/>
      <w:i/>
      <w:color w:val="000000" w:themeColor="text1"/>
      <w:sz w:val="28"/>
    </w:rPr>
  </w:style>
  <w:style w:type="paragraph" w:styleId="Heading6">
    <w:name w:val="heading 6"/>
    <w:basedOn w:val="Heading5"/>
    <w:next w:val="Normal"/>
    <w:link w:val="Heading6Char"/>
    <w:qFormat/>
    <w:rsid w:val="001C741C"/>
    <w:pPr>
      <w:keepNext w:val="0"/>
      <w:keepLines w:val="0"/>
      <w:spacing w:before="0"/>
      <w:outlineLvl w:val="5"/>
    </w:pPr>
    <w:rPr>
      <w:rFonts w:asciiTheme="minorHAnsi" w:eastAsia="Times New Roman" w:hAnsiTheme="minorHAnsi"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C741C"/>
    <w:rPr>
      <w:rFonts w:eastAsia="Times New Roman" w:cs="Times New Roman"/>
      <w:sz w:val="24"/>
      <w:szCs w:val="24"/>
    </w:rPr>
  </w:style>
  <w:style w:type="character" w:customStyle="1" w:styleId="Heading5Char">
    <w:name w:val="Heading 5 Char"/>
    <w:basedOn w:val="DefaultParagraphFont"/>
    <w:link w:val="Heading5"/>
    <w:uiPriority w:val="9"/>
    <w:rsid w:val="00C33B08"/>
    <w:rPr>
      <w:rFonts w:ascii="Calibri" w:eastAsiaTheme="majorEastAsia" w:hAnsi="Calibri" w:cstheme="majorBidi"/>
      <w:i/>
      <w:color w:val="000000" w:themeColor="text1"/>
      <w:sz w:val="28"/>
      <w:szCs w:val="24"/>
    </w:rPr>
  </w:style>
  <w:style w:type="paragraph" w:styleId="Header">
    <w:name w:val="header"/>
    <w:basedOn w:val="Normal"/>
    <w:link w:val="HeaderChar"/>
    <w:uiPriority w:val="99"/>
    <w:rsid w:val="001C741C"/>
    <w:pPr>
      <w:tabs>
        <w:tab w:val="center" w:pos="4320"/>
        <w:tab w:val="right" w:pos="8640"/>
      </w:tabs>
    </w:pPr>
  </w:style>
  <w:style w:type="character" w:customStyle="1" w:styleId="HeaderChar">
    <w:name w:val="Header Char"/>
    <w:basedOn w:val="DefaultParagraphFont"/>
    <w:link w:val="Header"/>
    <w:uiPriority w:val="99"/>
    <w:rsid w:val="001C741C"/>
    <w:rPr>
      <w:rFonts w:eastAsia="Times New Roman" w:cs="Times New Roman"/>
      <w:sz w:val="24"/>
      <w:szCs w:val="24"/>
    </w:rPr>
  </w:style>
  <w:style w:type="paragraph" w:styleId="Footer">
    <w:name w:val="footer"/>
    <w:basedOn w:val="Normal"/>
    <w:link w:val="FooterChar"/>
    <w:uiPriority w:val="99"/>
    <w:rsid w:val="001C741C"/>
    <w:pPr>
      <w:tabs>
        <w:tab w:val="center" w:pos="4320"/>
        <w:tab w:val="right" w:pos="8640"/>
      </w:tabs>
    </w:pPr>
  </w:style>
  <w:style w:type="character" w:customStyle="1" w:styleId="FooterChar">
    <w:name w:val="Footer Char"/>
    <w:basedOn w:val="DefaultParagraphFont"/>
    <w:link w:val="Footer"/>
    <w:uiPriority w:val="99"/>
    <w:rsid w:val="001C741C"/>
    <w:rPr>
      <w:rFonts w:eastAsia="Times New Roman" w:cs="Times New Roman"/>
      <w:sz w:val="24"/>
      <w:szCs w:val="24"/>
    </w:rPr>
  </w:style>
  <w:style w:type="character" w:styleId="PageNumber">
    <w:name w:val="page number"/>
    <w:basedOn w:val="DefaultParagraphFont"/>
    <w:rsid w:val="001C741C"/>
  </w:style>
  <w:style w:type="character" w:customStyle="1" w:styleId="Heading1Char">
    <w:name w:val="Heading 1 Char"/>
    <w:basedOn w:val="DefaultParagraphFont"/>
    <w:link w:val="Heading1"/>
    <w:uiPriority w:val="9"/>
    <w:rsid w:val="00FF293D"/>
    <w:rPr>
      <w:rFonts w:eastAsia="Times New Roman" w:cs="Times New Roman"/>
      <w:noProof/>
      <w:color w:val="007DA5"/>
      <w:sz w:val="48"/>
      <w:szCs w:val="48"/>
    </w:rPr>
  </w:style>
  <w:style w:type="character" w:customStyle="1" w:styleId="Heading2Char">
    <w:name w:val="Heading 2 Char"/>
    <w:basedOn w:val="DefaultParagraphFont"/>
    <w:link w:val="Heading2"/>
    <w:uiPriority w:val="9"/>
    <w:rsid w:val="00FF293D"/>
    <w:rPr>
      <w:rFonts w:eastAsia="Times New Roman" w:cs="Times New Roman"/>
      <w:b/>
      <w:bCs/>
      <w:sz w:val="32"/>
      <w:szCs w:val="32"/>
    </w:rPr>
  </w:style>
  <w:style w:type="character" w:customStyle="1" w:styleId="Heading3Char">
    <w:name w:val="Heading 3 Char"/>
    <w:basedOn w:val="DefaultParagraphFont"/>
    <w:link w:val="Heading3"/>
    <w:uiPriority w:val="9"/>
    <w:rsid w:val="00F42516"/>
    <w:rPr>
      <w:rFonts w:ascii="Calibri" w:eastAsiaTheme="majorEastAsia" w:hAnsi="Calibri" w:cstheme="majorBidi"/>
      <w:color w:val="007DA5"/>
      <w:sz w:val="32"/>
      <w:szCs w:val="24"/>
    </w:rPr>
  </w:style>
  <w:style w:type="table" w:styleId="GridTable1Light-Accent4">
    <w:name w:val="Grid Table 1 Light Accent 4"/>
    <w:basedOn w:val="TableNormal"/>
    <w:uiPriority w:val="46"/>
    <w:rsid w:val="00E6039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53927"/>
    <w:rPr>
      <w:color w:val="0563C1"/>
      <w:u w:val="single"/>
    </w:rPr>
  </w:style>
  <w:style w:type="table" w:customStyle="1" w:styleId="TableGrid1">
    <w:name w:val="Table Grid1"/>
    <w:basedOn w:val="TableNormal"/>
    <w:next w:val="TableGrid"/>
    <w:uiPriority w:val="39"/>
    <w:rsid w:val="00C62B97"/>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62B97"/>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6E27"/>
    <w:pPr>
      <w:spacing w:after="0" w:line="240" w:lineRule="auto"/>
    </w:pPr>
    <w:rPr>
      <w:rFonts w:eastAsia="Times New Roman" w:cs="Times New Roman"/>
      <w:sz w:val="24"/>
      <w:szCs w:val="24"/>
    </w:rPr>
  </w:style>
  <w:style w:type="paragraph" w:styleId="ListParagraph">
    <w:name w:val="List Paragraph"/>
    <w:basedOn w:val="Normal"/>
    <w:uiPriority w:val="34"/>
    <w:qFormat/>
    <w:rsid w:val="00DD6E27"/>
    <w:pPr>
      <w:ind w:left="720"/>
      <w:contextualSpacing/>
    </w:pPr>
  </w:style>
  <w:style w:type="character" w:styleId="CommentReference">
    <w:name w:val="annotation reference"/>
    <w:basedOn w:val="DefaultParagraphFont"/>
    <w:uiPriority w:val="99"/>
    <w:semiHidden/>
    <w:unhideWhenUsed/>
    <w:rsid w:val="00DD6E27"/>
    <w:rPr>
      <w:sz w:val="16"/>
      <w:szCs w:val="16"/>
    </w:rPr>
  </w:style>
  <w:style w:type="paragraph" w:styleId="CommentText">
    <w:name w:val="annotation text"/>
    <w:basedOn w:val="Normal"/>
    <w:link w:val="CommentTextChar"/>
    <w:uiPriority w:val="99"/>
    <w:unhideWhenUsed/>
    <w:rsid w:val="00DD6E27"/>
    <w:rPr>
      <w:sz w:val="20"/>
      <w:szCs w:val="20"/>
    </w:rPr>
  </w:style>
  <w:style w:type="character" w:customStyle="1" w:styleId="CommentTextChar">
    <w:name w:val="Comment Text Char"/>
    <w:basedOn w:val="DefaultParagraphFont"/>
    <w:link w:val="CommentText"/>
    <w:uiPriority w:val="99"/>
    <w:rsid w:val="00DD6E27"/>
    <w:rPr>
      <w:rFonts w:eastAsia="Times New Roman" w:cs="Times New Roman"/>
      <w:sz w:val="20"/>
      <w:szCs w:val="20"/>
    </w:rPr>
  </w:style>
  <w:style w:type="paragraph" w:styleId="BalloonText">
    <w:name w:val="Balloon Text"/>
    <w:basedOn w:val="Normal"/>
    <w:link w:val="BalloonTextChar"/>
    <w:uiPriority w:val="99"/>
    <w:semiHidden/>
    <w:unhideWhenUsed/>
    <w:rsid w:val="00CD1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34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D112C"/>
    <w:rPr>
      <w:b/>
      <w:bCs/>
    </w:rPr>
  </w:style>
  <w:style w:type="character" w:customStyle="1" w:styleId="CommentSubjectChar">
    <w:name w:val="Comment Subject Char"/>
    <w:basedOn w:val="CommentTextChar"/>
    <w:link w:val="CommentSubject"/>
    <w:uiPriority w:val="99"/>
    <w:semiHidden/>
    <w:rsid w:val="00BD112C"/>
    <w:rPr>
      <w:rFonts w:eastAsia="Times New Roman" w:cs="Times New Roman"/>
      <w:b/>
      <w:bCs/>
      <w:sz w:val="20"/>
      <w:szCs w:val="20"/>
    </w:rPr>
  </w:style>
  <w:style w:type="character" w:customStyle="1" w:styleId="UnresolvedMention1">
    <w:name w:val="Unresolved Mention1"/>
    <w:basedOn w:val="DefaultParagraphFont"/>
    <w:uiPriority w:val="99"/>
    <w:semiHidden/>
    <w:unhideWhenUsed/>
    <w:rsid w:val="00BC39D0"/>
    <w:rPr>
      <w:color w:val="605E5C"/>
      <w:shd w:val="clear" w:color="auto" w:fill="E1DFDD"/>
    </w:rPr>
  </w:style>
  <w:style w:type="character" w:styleId="FollowedHyperlink">
    <w:name w:val="FollowedHyperlink"/>
    <w:basedOn w:val="DefaultParagraphFont"/>
    <w:uiPriority w:val="99"/>
    <w:semiHidden/>
    <w:unhideWhenUsed/>
    <w:rsid w:val="00CD7D90"/>
    <w:rPr>
      <w:color w:val="954F72" w:themeColor="followedHyperlink"/>
      <w:u w:val="single"/>
    </w:rPr>
  </w:style>
  <w:style w:type="character" w:styleId="UnresolvedMention">
    <w:name w:val="Unresolved Mention"/>
    <w:basedOn w:val="DefaultParagraphFont"/>
    <w:uiPriority w:val="99"/>
    <w:semiHidden/>
    <w:unhideWhenUsed/>
    <w:rsid w:val="0001166E"/>
    <w:rPr>
      <w:color w:val="605E5C"/>
      <w:shd w:val="clear" w:color="auto" w:fill="E1DFDD"/>
    </w:rPr>
  </w:style>
  <w:style w:type="character" w:customStyle="1" w:styleId="Heading4Char">
    <w:name w:val="Heading 4 Char"/>
    <w:basedOn w:val="DefaultParagraphFont"/>
    <w:link w:val="Heading4"/>
    <w:uiPriority w:val="9"/>
    <w:rsid w:val="00D67842"/>
    <w:rPr>
      <w:rFonts w:ascii="Calibri" w:eastAsiaTheme="majorEastAsia" w:hAnsi="Calibri" w:cstheme="majorBidi"/>
      <w:b/>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licyunit@CWDB.ca.gov" TargetMode="External"/><Relationship Id="rId18" Type="http://schemas.openxmlformats.org/officeDocument/2006/relationships/hyperlink" Target="https://www.dol.gov/agencies/eta/advisories/tegl-05-18-change-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olicyUnit@cwdb.ca.go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dol.gov/agencies/eta/advisories/training-and-employment-guidance-letter-no-08-1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info.gov/app/details/PLAW-113publ128" TargetMode="External"/><Relationship Id="rId20" Type="http://schemas.openxmlformats.org/officeDocument/2006/relationships/hyperlink" Target="https://cwdb.ca.gov/wp-content/uploads/sites/43/2024/12/24_12_3_WIOA-Annual-Report_FINAL_ACCESSIB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C:\Users\AQirko\AppData\Local\Microsoft\Windows\INetCache\Content.Outlook\1Q6KCFBD\PolicyUnit@cwdb.ca.gov" TargetMode="External"/><Relationship Id="rId23" Type="http://schemas.openxmlformats.org/officeDocument/2006/relationships/hyperlink" Target="https://edd.ca.gov/siteassets/files/jobs_and_training/pubs/wsdd-272att1.docx" TargetMode="External"/><Relationship Id="rId10" Type="http://schemas.openxmlformats.org/officeDocument/2006/relationships/endnotes" Target="endnotes.xml"/><Relationship Id="rId19" Type="http://schemas.openxmlformats.org/officeDocument/2006/relationships/hyperlink" Target="https://cwdb.ca.gov/plans_policies/2024-2027-state-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olicyUnit@cwdb.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raft Directive" ma:contentTypeID="0x0101009CCA0FCD852C9F4698247C3EFE263C8B00317D270D879B7B4A8EE6E3B72423157E" ma:contentTypeVersion="9" ma:contentTypeDescription="" ma:contentTypeScope="" ma:versionID="31a148738b8f62342bda30c4967caccc">
  <xsd:schema xmlns:xsd="http://www.w3.org/2001/XMLSchema" xmlns:xs="http://www.w3.org/2001/XMLSchema" xmlns:p="http://schemas.microsoft.com/office/2006/metadata/properties" targetNamespace="http://schemas.microsoft.com/office/2006/metadata/properties" ma:root="true" ma:fieldsID="92a620696f3a486d1c15ca9c73122f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F0732-8E5D-4B51-B576-42FE360FFC9B}">
  <ds:schemaRefs>
    <ds:schemaRef ds:uri="http://schemas.microsoft.com/sharepoint/v3/contenttype/forms"/>
  </ds:schemaRefs>
</ds:datastoreItem>
</file>

<file path=customXml/itemProps2.xml><?xml version="1.0" encoding="utf-8"?>
<ds:datastoreItem xmlns:ds="http://schemas.openxmlformats.org/officeDocument/2006/customXml" ds:itemID="{0223486D-CD94-4B9F-85D5-FF7A4D9C2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8F5F4B-9EEA-4F8C-8852-AD8FBD52E946}">
  <ds:schemaRefs>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s>
</ds:datastoreItem>
</file>

<file path=customXml/itemProps4.xml><?xml version="1.0" encoding="utf-8"?>
<ds:datastoreItem xmlns:ds="http://schemas.openxmlformats.org/officeDocument/2006/customXml" ds:itemID="{3B3FF027-21BB-4AC5-B02B-A791DF8BE587}">
  <ds:schemaRefs>
    <ds:schemaRef ds:uri="http://schemas.openxmlformats.org/officeDocument/2006/bibliography"/>
  </ds:schemaRefs>
</ds:datastoreItem>
</file>

<file path=docMetadata/LabelInfo.xml><?xml version="1.0" encoding="utf-8"?>
<clbl:labelList xmlns:clbl="http://schemas.microsoft.com/office/2020/mipLabelMetadata">
  <clbl:label id="{06cac249-57c6-4eed-94fd-256abde82b4e}" enabled="0" method="" siteId="{06cac249-57c6-4eed-94fd-256abde82b4e}" removed="1"/>
</clbl:labelList>
</file>

<file path=docProps/app.xml><?xml version="1.0" encoding="utf-8"?>
<Properties xmlns="http://schemas.openxmlformats.org/officeDocument/2006/extended-properties" xmlns:vt="http://schemas.openxmlformats.org/officeDocument/2006/docPropsVTypes">
  <Template>Normal</Template>
  <TotalTime>54</TotalTime>
  <Pages>4</Pages>
  <Words>1036</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Draft Directive</vt:lpstr>
    </vt:vector>
  </TitlesOfParts>
  <Company>Employment Development Department</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Workforce Services</dc:creator>
  <cp:keywords/>
  <dc:description/>
  <cp:lastModifiedBy>Richardson, Jeffrey@EDD</cp:lastModifiedBy>
  <cp:revision>7</cp:revision>
  <dcterms:created xsi:type="dcterms:W3CDTF">2025-12-23T18:33:00Z</dcterms:created>
  <dcterms:modified xsi:type="dcterms:W3CDTF">2026-01-15T21:01:00Z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0x0101009CCA0FCD852C9F4698247C3EFE263C8B00317D270D879B7B4A8EE6E3B72423157E</vt:lpwstr>
  </property>
  <property fmtid="{D5CDD505-2E9C-101B-9397-08002B2CF9AE}" pid="3" name="GrammarlyDocumentId">
    <vt:lpwstr>a79b616d-7ecd-477c-ba30-b472368b1e3c</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