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6" w:type="dxa"/>
        <w:tblLook w:val="04A0" w:firstRow="1" w:lastRow="0" w:firstColumn="1" w:lastColumn="0" w:noHBand="0" w:noVBand="1"/>
      </w:tblPr>
      <w:tblGrid>
        <w:gridCol w:w="2299"/>
        <w:gridCol w:w="5161"/>
        <w:gridCol w:w="2126"/>
      </w:tblGrid>
      <w:tr w:rsidR="003351EA" w:rsidRPr="003351EA" w14:paraId="42A1243A" w14:textId="77777777" w:rsidTr="00A30852">
        <w:trPr>
          <w:trHeight w:val="1188"/>
        </w:trPr>
        <w:tc>
          <w:tcPr>
            <w:tcW w:w="2299" w:type="dxa"/>
          </w:tcPr>
          <w:p w14:paraId="2AD48541" w14:textId="77777777" w:rsidR="003351EA" w:rsidRPr="003351EA" w:rsidRDefault="003351EA" w:rsidP="003351EA">
            <w:pPr>
              <w:outlineLvl w:val="9"/>
              <w:rPr>
                <w:rFonts w:ascii="Calibri" w:eastAsia="Aptos" w:hAnsi="Calibri" w:cs="Calibri"/>
                <w:kern w:val="2"/>
                <w:szCs w:val="22"/>
                <w14:ligatures w14:val="standardContextual"/>
              </w:rPr>
            </w:pPr>
            <w:bookmarkStart w:id="0" w:name="_Hlk146795579"/>
            <w:bookmarkStart w:id="1" w:name="_Hlk146795097"/>
            <w:r w:rsidRPr="003351EA">
              <w:rPr>
                <w:rFonts w:ascii="Calibri" w:hAnsi="Calibri"/>
                <w:noProof/>
              </w:rPr>
              <w:drawing>
                <wp:inline distT="0" distB="0" distL="0" distR="0" wp14:anchorId="3AF7904D" wp14:editId="2887F9A9">
                  <wp:extent cx="1112520" cy="695325"/>
                  <wp:effectExtent l="0" t="0" r="0" b="9525"/>
                  <wp:docPr id="1750392694" name="Picture 3" descr="Department Logo: Employment Development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92694" name="Picture 3" descr="Department Logo: Employment Development Depart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606" cy="727254"/>
                          </a:xfrm>
                          <a:prstGeom prst="rect">
                            <a:avLst/>
                          </a:prstGeom>
                          <a:noFill/>
                          <a:ln>
                            <a:noFill/>
                          </a:ln>
                        </pic:spPr>
                      </pic:pic>
                    </a:graphicData>
                  </a:graphic>
                </wp:inline>
              </w:drawing>
            </w:r>
          </w:p>
        </w:tc>
        <w:tc>
          <w:tcPr>
            <w:tcW w:w="5161" w:type="dxa"/>
          </w:tcPr>
          <w:p w14:paraId="3608E1EF" w14:textId="77777777" w:rsidR="003351EA" w:rsidRPr="003351EA" w:rsidRDefault="003351EA" w:rsidP="00575797">
            <w:pPr>
              <w:pStyle w:val="Heading1"/>
            </w:pPr>
            <w:r w:rsidRPr="003351EA">
              <w:t>Directive</w:t>
            </w:r>
          </w:p>
          <w:p w14:paraId="0DD06711" w14:textId="1094CBEB" w:rsidR="003351EA" w:rsidRPr="003351EA" w:rsidRDefault="003351EA" w:rsidP="002D71F6">
            <w:pPr>
              <w:jc w:val="center"/>
              <w:outlineLvl w:val="9"/>
              <w:rPr>
                <w:rFonts w:ascii="Calibri" w:eastAsia="Aptos" w:hAnsi="Calibri" w:cs="Calibri"/>
                <w:kern w:val="2"/>
                <w:szCs w:val="22"/>
                <w14:ligatures w14:val="standardContextual"/>
              </w:rPr>
            </w:pPr>
            <w:r w:rsidRPr="003351EA">
              <w:rPr>
                <w:rFonts w:ascii="Calibri" w:hAnsi="Calibri"/>
                <w:b/>
              </w:rPr>
              <w:t xml:space="preserve">Date: </w:t>
            </w:r>
            <w:r w:rsidR="007831B6">
              <w:t xml:space="preserve">April 9, </w:t>
            </w:r>
            <w:proofErr w:type="gramStart"/>
            <w:r w:rsidR="007831B6">
              <w:t>2026</w:t>
            </w:r>
            <w:proofErr w:type="gramEnd"/>
            <w:r w:rsidRPr="003351EA">
              <w:rPr>
                <w:rFonts w:ascii="Calibri" w:hAnsi="Calibri"/>
                <w:b/>
              </w:rPr>
              <w:t xml:space="preserve"> Number: </w:t>
            </w:r>
            <w:r w:rsidRPr="003351EA">
              <w:rPr>
                <w:rFonts w:ascii="Calibri" w:hAnsi="Calibri"/>
              </w:rPr>
              <w:t>WSD</w:t>
            </w:r>
            <w:r w:rsidR="007831B6">
              <w:rPr>
                <w:rFonts w:ascii="Calibri" w:hAnsi="Calibri"/>
              </w:rPr>
              <w:t>25</w:t>
            </w:r>
            <w:r w:rsidRPr="003351EA">
              <w:rPr>
                <w:rFonts w:ascii="Calibri" w:hAnsi="Calibri"/>
              </w:rPr>
              <w:t>-</w:t>
            </w:r>
            <w:r w:rsidR="007831B6">
              <w:rPr>
                <w:rFonts w:ascii="Calibri" w:hAnsi="Calibri"/>
              </w:rPr>
              <w:t>03</w:t>
            </w:r>
          </w:p>
        </w:tc>
        <w:tc>
          <w:tcPr>
            <w:tcW w:w="2126" w:type="dxa"/>
          </w:tcPr>
          <w:p w14:paraId="0F0EB778" w14:textId="2AEA3F1C" w:rsidR="003351EA" w:rsidRPr="003351EA" w:rsidRDefault="00412935" w:rsidP="003351EA">
            <w:pPr>
              <w:spacing w:before="120"/>
              <w:outlineLvl w:val="9"/>
              <w:rPr>
                <w:rFonts w:ascii="Calibri" w:eastAsia="Aptos" w:hAnsi="Calibri" w:cs="Calibri"/>
                <w:kern w:val="2"/>
                <w:szCs w:val="22"/>
                <w14:ligatures w14:val="standardContextual"/>
              </w:rPr>
            </w:pPr>
            <w:r w:rsidRPr="003351EA">
              <w:rPr>
                <w:rFonts w:ascii="Calibri" w:hAnsi="Calibri"/>
                <w:noProof/>
              </w:rPr>
              <w:drawing>
                <wp:inline distT="0" distB="0" distL="0" distR="0" wp14:anchorId="7783E68A" wp14:editId="202685D5">
                  <wp:extent cx="1181100" cy="499237"/>
                  <wp:effectExtent l="0" t="0" r="0" b="0"/>
                  <wp:docPr id="7" name="Picture 7" descr="Department Logo: California Workforce Developmen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Logo: California Workforce Development Bo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93767" cy="504591"/>
                          </a:xfrm>
                          <a:prstGeom prst="rect">
                            <a:avLst/>
                          </a:prstGeom>
                          <a:noFill/>
                          <a:ln>
                            <a:noFill/>
                          </a:ln>
                        </pic:spPr>
                      </pic:pic>
                    </a:graphicData>
                  </a:graphic>
                </wp:inline>
              </w:drawing>
            </w:r>
          </w:p>
        </w:tc>
      </w:tr>
    </w:tbl>
    <w:p w14:paraId="6FC0B1E2" w14:textId="5E26B8D0" w:rsidR="00B17D68" w:rsidRPr="00BA060D" w:rsidRDefault="00B17D68" w:rsidP="00BA060D">
      <w:pPr>
        <w:pBdr>
          <w:bottom w:val="single" w:sz="4" w:space="1" w:color="auto"/>
        </w:pBdr>
        <w:rPr>
          <w:sz w:val="20"/>
          <w:szCs w:val="20"/>
        </w:rPr>
      </w:pPr>
    </w:p>
    <w:p w14:paraId="522B63CA" w14:textId="074F5681" w:rsidR="00BA060D" w:rsidRPr="00821F43" w:rsidRDefault="00786EBF" w:rsidP="00ED066F">
      <w:pPr>
        <w:pStyle w:val="Heading2"/>
      </w:pPr>
      <w:bookmarkStart w:id="2" w:name="_Hlk213408414"/>
      <w:bookmarkEnd w:id="0"/>
      <w:r w:rsidRPr="007D139D">
        <w:t xml:space="preserve">WIOA Waiver Guidance </w:t>
      </w:r>
      <w:r w:rsidR="00ED066F">
        <w:t xml:space="preserve">– </w:t>
      </w:r>
      <w:r w:rsidRPr="007D139D">
        <w:t>Transitional Jobs and On-the-Job Training</w:t>
      </w:r>
      <w:bookmarkEnd w:id="2"/>
      <w:r w:rsidR="00896BE5" w:rsidRPr="00821F43">
        <w:br/>
      </w:r>
    </w:p>
    <w:p w14:paraId="4D586E26" w14:textId="2FA6E891" w:rsidR="00BA060D" w:rsidRPr="00821F43" w:rsidRDefault="00BA060D" w:rsidP="00354FE2">
      <w:pPr>
        <w:pStyle w:val="Heading3"/>
      </w:pPr>
      <w:bookmarkStart w:id="3" w:name="_Hlk146794571"/>
      <w:r w:rsidRPr="00821F43">
        <w:t>E</w:t>
      </w:r>
      <w:r w:rsidR="00821F43" w:rsidRPr="00821F43">
        <w:t>xecutive</w:t>
      </w:r>
      <w:r w:rsidRPr="00821F43">
        <w:t xml:space="preserve"> </w:t>
      </w:r>
      <w:r w:rsidRPr="00354FE2">
        <w:t>S</w:t>
      </w:r>
      <w:r w:rsidR="00821F43" w:rsidRPr="00354FE2">
        <w:t>ummary</w:t>
      </w:r>
      <w:bookmarkEnd w:id="3"/>
    </w:p>
    <w:p w14:paraId="54868B3C" w14:textId="77777777" w:rsidR="00BA060D" w:rsidRDefault="00BA060D" w:rsidP="00BA060D">
      <w:pPr>
        <w:pBdr>
          <w:bottom w:val="double" w:sz="12" w:space="1" w:color="E58E1A"/>
        </w:pBdr>
        <w:outlineLvl w:val="9"/>
      </w:pPr>
      <w:bookmarkStart w:id="4" w:name="_Hlk146795300"/>
    </w:p>
    <w:bookmarkEnd w:id="4"/>
    <w:p w14:paraId="282C394B" w14:textId="15721B9E" w:rsidR="002A1A6B" w:rsidRPr="004941AC" w:rsidRDefault="002A1A6B" w:rsidP="002A1A6B">
      <w:pPr>
        <w:rPr>
          <w:rFonts w:ascii="Aptos" w:hAnsi="Aptos"/>
        </w:rPr>
      </w:pPr>
      <w:r w:rsidRPr="004941AC">
        <w:rPr>
          <w:rFonts w:ascii="Aptos" w:hAnsi="Aptos"/>
        </w:rPr>
        <w:t xml:space="preserve">This notice provides guidance regarding implementing and using </w:t>
      </w:r>
      <w:r w:rsidRPr="004941AC">
        <w:rPr>
          <w:rFonts w:ascii="Aptos" w:hAnsi="Aptos"/>
          <w:i/>
          <w:iCs/>
        </w:rPr>
        <w:t>Workforce Innovation and Opportunity Act</w:t>
      </w:r>
      <w:r w:rsidRPr="004941AC">
        <w:rPr>
          <w:rFonts w:ascii="Aptos" w:hAnsi="Aptos"/>
        </w:rPr>
        <w:t xml:space="preserve"> (WIOA) waivers approved by the Department of Labor (DOL). This policy applies to Local Workforce Development Boards (Local Board) and is effective immediately.</w:t>
      </w:r>
    </w:p>
    <w:p w14:paraId="439EB515" w14:textId="77777777" w:rsidR="002A1A6B" w:rsidRPr="004941AC" w:rsidRDefault="002A1A6B" w:rsidP="002A1A6B">
      <w:pPr>
        <w:rPr>
          <w:rFonts w:ascii="Aptos" w:hAnsi="Aptos"/>
        </w:rPr>
      </w:pPr>
    </w:p>
    <w:p w14:paraId="3A95C15E" w14:textId="2570D761" w:rsidR="002A1A6B" w:rsidRPr="004941AC" w:rsidRDefault="002A1A6B" w:rsidP="002A1A6B">
      <w:pPr>
        <w:rPr>
          <w:rFonts w:ascii="Aptos" w:hAnsi="Aptos"/>
        </w:rPr>
      </w:pPr>
      <w:r w:rsidRPr="004941AC">
        <w:rPr>
          <w:rFonts w:ascii="Aptos" w:hAnsi="Aptos"/>
        </w:rPr>
        <w:t>This notice restates applicable legal requirements. It is a notice regarding waivers under WIOA</w:t>
      </w:r>
      <w:r w:rsidR="00354FE2" w:rsidRPr="004941AC">
        <w:rPr>
          <w:rFonts w:ascii="Aptos" w:hAnsi="Aptos"/>
        </w:rPr>
        <w:t>,</w:t>
      </w:r>
      <w:r w:rsidRPr="004941AC">
        <w:rPr>
          <w:rFonts w:ascii="Aptos" w:hAnsi="Aptos"/>
        </w:rPr>
        <w:t xml:space="preserve"> the California Workforce Development Board (CWDB)</w:t>
      </w:r>
      <w:r w:rsidR="00354FE2" w:rsidRPr="004941AC">
        <w:rPr>
          <w:rFonts w:ascii="Aptos" w:hAnsi="Aptos"/>
        </w:rPr>
        <w:t>,</w:t>
      </w:r>
      <w:r w:rsidRPr="004941AC">
        <w:rPr>
          <w:rFonts w:ascii="Aptos" w:hAnsi="Aptos"/>
        </w:rPr>
        <w:t xml:space="preserve"> and the Employment Development Department (EDD) sought and obtained from DOL. </w:t>
      </w:r>
    </w:p>
    <w:p w14:paraId="7A543050" w14:textId="77777777" w:rsidR="00C5576A" w:rsidRPr="004941AC" w:rsidRDefault="00C5576A" w:rsidP="002A1A6B">
      <w:pPr>
        <w:rPr>
          <w:rFonts w:ascii="Aptos" w:hAnsi="Aptos"/>
        </w:rPr>
      </w:pPr>
    </w:p>
    <w:p w14:paraId="2A10F961" w14:textId="560A9344" w:rsidR="00A54BF6" w:rsidRPr="004941AC" w:rsidRDefault="00A54BF6" w:rsidP="007C2A40">
      <w:pPr>
        <w:rPr>
          <w:rFonts w:ascii="Aptos" w:hAnsi="Aptos"/>
        </w:rPr>
      </w:pPr>
      <w:r w:rsidRPr="004941AC">
        <w:rPr>
          <w:rFonts w:ascii="Aptos" w:hAnsi="Aptos"/>
        </w:rPr>
        <w:t>This Directive finalizes Workforce Services Draft Directive WIOA Waiver Guidance (WSD</w:t>
      </w:r>
      <w:r w:rsidR="00B803FD" w:rsidRPr="004941AC">
        <w:rPr>
          <w:rFonts w:ascii="Aptos" w:hAnsi="Aptos"/>
        </w:rPr>
        <w:t>D-271</w:t>
      </w:r>
      <w:r w:rsidRPr="004941AC">
        <w:rPr>
          <w:rFonts w:ascii="Aptos" w:hAnsi="Aptos"/>
        </w:rPr>
        <w:t xml:space="preserve">), issued for comment on </w:t>
      </w:r>
      <w:r w:rsidR="000454FC" w:rsidRPr="004941AC">
        <w:rPr>
          <w:rFonts w:ascii="Aptos" w:hAnsi="Aptos"/>
        </w:rPr>
        <w:t>February 13, 2026</w:t>
      </w:r>
      <w:r w:rsidRPr="004941AC">
        <w:rPr>
          <w:rFonts w:ascii="Aptos" w:hAnsi="Aptos"/>
        </w:rPr>
        <w:t xml:space="preserve">. The Workforce Development </w:t>
      </w:r>
      <w:r w:rsidR="00045B28" w:rsidRPr="004941AC">
        <w:rPr>
          <w:rFonts w:ascii="Aptos" w:hAnsi="Aptos"/>
        </w:rPr>
        <w:t>c</w:t>
      </w:r>
      <w:r w:rsidRPr="004941AC">
        <w:rPr>
          <w:rFonts w:ascii="Aptos" w:hAnsi="Aptos"/>
        </w:rPr>
        <w:t xml:space="preserve">ommunity </w:t>
      </w:r>
      <w:r w:rsidR="00924B9E" w:rsidRPr="004941AC">
        <w:rPr>
          <w:rFonts w:ascii="Aptos" w:hAnsi="Aptos"/>
        </w:rPr>
        <w:t>submitted one</w:t>
      </w:r>
      <w:r w:rsidR="00045B28" w:rsidRPr="004941AC">
        <w:rPr>
          <w:rFonts w:ascii="Aptos" w:hAnsi="Aptos"/>
        </w:rPr>
        <w:t xml:space="preserve"> (1)</w:t>
      </w:r>
      <w:r w:rsidR="00924B9E" w:rsidRPr="004941AC">
        <w:rPr>
          <w:rFonts w:ascii="Aptos" w:hAnsi="Aptos"/>
        </w:rPr>
        <w:t xml:space="preserve"> comment during the </w:t>
      </w:r>
      <w:r w:rsidR="00045B28" w:rsidRPr="004941AC">
        <w:rPr>
          <w:rFonts w:ascii="Aptos" w:hAnsi="Aptos"/>
        </w:rPr>
        <w:t xml:space="preserve">draft </w:t>
      </w:r>
      <w:r w:rsidR="00924B9E" w:rsidRPr="004941AC">
        <w:rPr>
          <w:rFonts w:ascii="Aptos" w:hAnsi="Aptos"/>
        </w:rPr>
        <w:t>comment period. A summary of comments</w:t>
      </w:r>
      <w:r w:rsidR="00550292" w:rsidRPr="004941AC">
        <w:rPr>
          <w:rFonts w:ascii="Aptos" w:hAnsi="Aptos"/>
        </w:rPr>
        <w:t xml:space="preserve"> is provided</w:t>
      </w:r>
      <w:r w:rsidR="00924B9E" w:rsidRPr="004941AC">
        <w:rPr>
          <w:rFonts w:ascii="Aptos" w:hAnsi="Aptos"/>
        </w:rPr>
        <w:t xml:space="preserve"> as Attachment 3.  </w:t>
      </w:r>
    </w:p>
    <w:p w14:paraId="078B99DA" w14:textId="77777777" w:rsidR="00EA691E" w:rsidRPr="004941AC" w:rsidRDefault="00EA691E" w:rsidP="002A1A6B">
      <w:pPr>
        <w:rPr>
          <w:rFonts w:ascii="Aptos" w:hAnsi="Aptos"/>
        </w:rPr>
      </w:pPr>
    </w:p>
    <w:p w14:paraId="4FD56B51" w14:textId="4DC6F076" w:rsidR="00BA060D" w:rsidRPr="004941AC" w:rsidRDefault="00EA691E" w:rsidP="00BA060D">
      <w:pPr>
        <w:rPr>
          <w:rFonts w:ascii="Aptos" w:hAnsi="Aptos"/>
          <w:sz w:val="32"/>
          <w:szCs w:val="32"/>
        </w:rPr>
      </w:pPr>
      <w:r w:rsidRPr="004941AC">
        <w:rPr>
          <w:rFonts w:ascii="Aptos" w:hAnsi="Aptos"/>
        </w:rPr>
        <w:t xml:space="preserve">This notice supersedes Workforce Services Directive </w:t>
      </w:r>
      <w:r w:rsidRPr="004941AC">
        <w:rPr>
          <w:rFonts w:ascii="Aptos" w:hAnsi="Aptos"/>
          <w:i/>
          <w:iCs/>
        </w:rPr>
        <w:t xml:space="preserve">WIOA Waiver </w:t>
      </w:r>
      <w:r w:rsidR="00FF711F" w:rsidRPr="004941AC">
        <w:rPr>
          <w:rFonts w:ascii="Aptos" w:hAnsi="Aptos"/>
          <w:i/>
          <w:iCs/>
        </w:rPr>
        <w:t>Guidance (</w:t>
      </w:r>
      <w:r w:rsidR="00131397" w:rsidRPr="004941AC">
        <w:rPr>
          <w:rFonts w:ascii="Aptos" w:hAnsi="Aptos"/>
        </w:rPr>
        <w:t xml:space="preserve">WSD24-14), dated </w:t>
      </w:r>
      <w:r w:rsidR="00FF711F" w:rsidRPr="004941AC">
        <w:rPr>
          <w:rFonts w:ascii="Aptos" w:hAnsi="Aptos"/>
        </w:rPr>
        <w:t>February 4, 2025. This Directive remains active until further notice.</w:t>
      </w:r>
      <w:r w:rsidR="00BA060D" w:rsidRPr="004941AC">
        <w:rPr>
          <w:rFonts w:ascii="Aptos" w:hAnsi="Aptos"/>
        </w:rPr>
        <w:br/>
      </w:r>
    </w:p>
    <w:p w14:paraId="4982D718" w14:textId="33D8A61F" w:rsidR="00BA060D" w:rsidRPr="00821F43" w:rsidRDefault="00BA060D" w:rsidP="00821F43">
      <w:pPr>
        <w:pStyle w:val="Heading3"/>
        <w:rPr>
          <w:color w:val="FF7DA5"/>
        </w:rPr>
      </w:pPr>
      <w:r w:rsidRPr="00821F43">
        <w:t>R</w:t>
      </w:r>
      <w:r w:rsidR="00821F43" w:rsidRPr="00821F43">
        <w:t>eferences</w:t>
      </w:r>
    </w:p>
    <w:p w14:paraId="3B82974D" w14:textId="77777777" w:rsidR="00BA060D" w:rsidRPr="005C0EFE" w:rsidRDefault="00BA060D" w:rsidP="00BA060D">
      <w:pPr>
        <w:pBdr>
          <w:bottom w:val="double" w:sz="12" w:space="1" w:color="E58E1A"/>
        </w:pBdr>
        <w:outlineLvl w:val="9"/>
      </w:pPr>
    </w:p>
    <w:p w14:paraId="06FA37F1" w14:textId="74C947FE" w:rsidR="003041DB" w:rsidRPr="004941AC" w:rsidRDefault="003041DB" w:rsidP="003041DB">
      <w:pPr>
        <w:pStyle w:val="ListParagraph"/>
        <w:numPr>
          <w:ilvl w:val="0"/>
          <w:numId w:val="1"/>
        </w:numPr>
        <w:rPr>
          <w:rFonts w:ascii="Aptos" w:hAnsi="Aptos"/>
        </w:rPr>
      </w:pPr>
      <w:r w:rsidRPr="004941AC">
        <w:rPr>
          <w:rFonts w:ascii="Aptos" w:hAnsi="Aptos"/>
        </w:rPr>
        <w:t>WIOA (</w:t>
      </w:r>
      <w:hyperlink r:id="rId13" w:history="1">
        <w:r w:rsidRPr="004941AC">
          <w:rPr>
            <w:rStyle w:val="Hyperlink"/>
            <w:rFonts w:ascii="Aptos" w:hAnsi="Aptos"/>
          </w:rPr>
          <w:t>Public Law 113-128 [PDF]</w:t>
        </w:r>
      </w:hyperlink>
      <w:r w:rsidRPr="004941AC">
        <w:rPr>
          <w:rFonts w:ascii="Aptos" w:hAnsi="Aptos"/>
        </w:rPr>
        <w:t>) Sections 3, 134, and 189</w:t>
      </w:r>
    </w:p>
    <w:p w14:paraId="4840CB47" w14:textId="3049B81F" w:rsidR="003041DB" w:rsidRPr="004941AC" w:rsidRDefault="003041DB" w:rsidP="003041DB">
      <w:pPr>
        <w:pStyle w:val="ListParagraph"/>
        <w:numPr>
          <w:ilvl w:val="0"/>
          <w:numId w:val="1"/>
        </w:numPr>
        <w:rPr>
          <w:rStyle w:val="Hyperlink"/>
          <w:rFonts w:ascii="Aptos" w:hAnsi="Aptos"/>
        </w:rPr>
      </w:pPr>
      <w:r w:rsidRPr="004941AC">
        <w:rPr>
          <w:rFonts w:ascii="Aptos" w:hAnsi="Aptos"/>
        </w:rPr>
        <w:t>Title 20 Code of Federal Regulations (CFR), Part 680: Adult and Dislocated Worker Activities Under Title I of the WIOA,</w:t>
      </w:r>
      <w:r w:rsidR="00771429" w:rsidRPr="004941AC">
        <w:rPr>
          <w:rFonts w:ascii="Aptos" w:hAnsi="Aptos"/>
        </w:rPr>
        <w:fldChar w:fldCharType="begin"/>
      </w:r>
      <w:r w:rsidR="00771429" w:rsidRPr="004941AC">
        <w:rPr>
          <w:rFonts w:ascii="Aptos" w:hAnsi="Aptos"/>
        </w:rPr>
        <w:instrText>HYPERLINK "https://www.ecfr.gov/current/title-20/chapter-V/part-680/subpart-A/section-680.190"</w:instrText>
      </w:r>
      <w:r w:rsidR="00771429" w:rsidRPr="004941AC">
        <w:rPr>
          <w:rFonts w:ascii="Aptos" w:hAnsi="Aptos"/>
        </w:rPr>
      </w:r>
      <w:r w:rsidR="00771429" w:rsidRPr="004941AC">
        <w:rPr>
          <w:rFonts w:ascii="Aptos" w:hAnsi="Aptos"/>
        </w:rPr>
        <w:fldChar w:fldCharType="separate"/>
      </w:r>
      <w:r w:rsidRPr="004941AC">
        <w:rPr>
          <w:rStyle w:val="Hyperlink"/>
          <w:rFonts w:ascii="Aptos" w:hAnsi="Aptos"/>
        </w:rPr>
        <w:t xml:space="preserve"> Section 680.190</w:t>
      </w:r>
    </w:p>
    <w:p w14:paraId="78C33B81" w14:textId="68DBDE65" w:rsidR="003041DB" w:rsidRPr="004941AC" w:rsidRDefault="00771429" w:rsidP="003041DB">
      <w:pPr>
        <w:pStyle w:val="ListParagraph"/>
        <w:numPr>
          <w:ilvl w:val="0"/>
          <w:numId w:val="1"/>
        </w:numPr>
        <w:rPr>
          <w:rFonts w:ascii="Aptos" w:hAnsi="Aptos"/>
        </w:rPr>
      </w:pPr>
      <w:r w:rsidRPr="004941AC">
        <w:rPr>
          <w:rFonts w:ascii="Aptos" w:hAnsi="Aptos"/>
        </w:rPr>
        <w:fldChar w:fldCharType="end"/>
      </w:r>
      <w:r w:rsidR="003041DB" w:rsidRPr="004941AC">
        <w:rPr>
          <w:rFonts w:ascii="Aptos" w:hAnsi="Aptos"/>
        </w:rPr>
        <w:t xml:space="preserve">Training and Employment Guidance Letter </w:t>
      </w:r>
      <w:hyperlink r:id="rId14" w:history="1">
        <w:r w:rsidR="003041DB" w:rsidRPr="004941AC">
          <w:rPr>
            <w:rStyle w:val="Hyperlink"/>
            <w:rFonts w:ascii="Aptos" w:hAnsi="Aptos"/>
          </w:rPr>
          <w:t>(TEGL) 08-18</w:t>
        </w:r>
      </w:hyperlink>
      <w:r w:rsidR="003041DB" w:rsidRPr="004941AC">
        <w:rPr>
          <w:rFonts w:ascii="Aptos" w:hAnsi="Aptos"/>
        </w:rPr>
        <w:t xml:space="preserve">, </w:t>
      </w:r>
      <w:r w:rsidR="003041DB" w:rsidRPr="004941AC">
        <w:rPr>
          <w:rFonts w:ascii="Aptos" w:hAnsi="Aptos"/>
          <w:i/>
          <w:iCs/>
        </w:rPr>
        <w:t>WIOA Title I and Wagner-Peyser Act Waiver Requirements and Request Process</w:t>
      </w:r>
      <w:r w:rsidR="003041DB" w:rsidRPr="004941AC">
        <w:rPr>
          <w:rFonts w:ascii="Aptos" w:hAnsi="Aptos"/>
        </w:rPr>
        <w:t xml:space="preserve"> (December 19, 2018)</w:t>
      </w:r>
    </w:p>
    <w:p w14:paraId="5A4B0AF0" w14:textId="0BF77775" w:rsidR="00BA060D" w:rsidRPr="004941AC" w:rsidRDefault="003041DB" w:rsidP="003041DB">
      <w:pPr>
        <w:pStyle w:val="ListParagraph"/>
        <w:numPr>
          <w:ilvl w:val="0"/>
          <w:numId w:val="1"/>
        </w:numPr>
        <w:rPr>
          <w:rFonts w:ascii="Aptos" w:hAnsi="Aptos"/>
        </w:rPr>
      </w:pPr>
      <w:hyperlink r:id="rId15" w:history="1">
        <w:r w:rsidRPr="004941AC">
          <w:rPr>
            <w:rStyle w:val="Hyperlink"/>
            <w:rFonts w:ascii="Aptos" w:hAnsi="Aptos"/>
          </w:rPr>
          <w:t>TEGL 05-18,</w:t>
        </w:r>
      </w:hyperlink>
      <w:r w:rsidRPr="004941AC">
        <w:rPr>
          <w:rFonts w:ascii="Aptos" w:hAnsi="Aptos"/>
        </w:rPr>
        <w:t xml:space="preserve"> Change 1, </w:t>
      </w:r>
      <w:r w:rsidRPr="004941AC">
        <w:rPr>
          <w:rFonts w:ascii="Aptos" w:hAnsi="Aptos"/>
          <w:i/>
          <w:iCs/>
        </w:rPr>
        <w:t>WIOA Annual Statewide Performance Report Narrative</w:t>
      </w:r>
      <w:r w:rsidRPr="004941AC">
        <w:rPr>
          <w:rFonts w:ascii="Aptos" w:hAnsi="Aptos"/>
        </w:rPr>
        <w:t xml:space="preserve"> (July 8, 2025)</w:t>
      </w:r>
      <w:r w:rsidR="00896BE5" w:rsidRPr="004941AC">
        <w:rPr>
          <w:rFonts w:ascii="Aptos" w:hAnsi="Aptos"/>
        </w:rPr>
        <w:br/>
      </w:r>
    </w:p>
    <w:p w14:paraId="366E9A26" w14:textId="77777777" w:rsidR="00771429" w:rsidRDefault="00771429" w:rsidP="00821F43">
      <w:pPr>
        <w:pStyle w:val="Heading3"/>
      </w:pPr>
    </w:p>
    <w:p w14:paraId="6FD0AA33" w14:textId="77777777" w:rsidR="00771429" w:rsidRDefault="00771429" w:rsidP="00821F43">
      <w:pPr>
        <w:pStyle w:val="Heading3"/>
      </w:pPr>
    </w:p>
    <w:p w14:paraId="57ABF0FE" w14:textId="77777777" w:rsidR="00771429" w:rsidRDefault="00771429" w:rsidP="00821F43">
      <w:pPr>
        <w:pStyle w:val="Heading3"/>
      </w:pPr>
    </w:p>
    <w:p w14:paraId="0BEF71C2" w14:textId="142E84DE" w:rsidR="00BA060D" w:rsidRPr="005C0EFE" w:rsidRDefault="00BA060D" w:rsidP="00821F43">
      <w:pPr>
        <w:pStyle w:val="Heading3"/>
      </w:pPr>
      <w:r w:rsidRPr="005C0EFE">
        <w:t>B</w:t>
      </w:r>
      <w:r w:rsidR="00821F43">
        <w:t>ackground</w:t>
      </w:r>
    </w:p>
    <w:p w14:paraId="7BEBC769" w14:textId="77777777" w:rsidR="00BA060D" w:rsidRDefault="00BA060D" w:rsidP="00BA060D">
      <w:pPr>
        <w:pBdr>
          <w:bottom w:val="double" w:sz="12" w:space="1" w:color="E58E1A"/>
        </w:pBdr>
        <w:outlineLvl w:val="9"/>
      </w:pPr>
    </w:p>
    <w:p w14:paraId="0D82254E" w14:textId="77777777" w:rsidR="00C75D9B" w:rsidRPr="004941AC" w:rsidRDefault="00C75D9B" w:rsidP="00C75D9B">
      <w:pPr>
        <w:rPr>
          <w:rFonts w:ascii="Aptos" w:hAnsi="Aptos"/>
        </w:rPr>
      </w:pPr>
      <w:proofErr w:type="gramStart"/>
      <w:r w:rsidRPr="004941AC">
        <w:rPr>
          <w:rFonts w:ascii="Aptos" w:hAnsi="Aptos"/>
        </w:rPr>
        <w:t>In order to</w:t>
      </w:r>
      <w:proofErr w:type="gramEnd"/>
      <w:r w:rsidRPr="004941AC">
        <w:rPr>
          <w:rFonts w:ascii="Aptos" w:hAnsi="Aptos"/>
        </w:rPr>
        <w:t xml:space="preserve"> provide Local Boards with additional flexibility when assisting individuals from the most vulnerable populations and with high barriers to employment, and as part of the </w:t>
      </w:r>
    </w:p>
    <w:p w14:paraId="4C80F7AF" w14:textId="31C7A015" w:rsidR="00C75D9B" w:rsidRPr="004941AC" w:rsidRDefault="00C75D9B" w:rsidP="00C75D9B">
      <w:pPr>
        <w:rPr>
          <w:rFonts w:ascii="Aptos" w:hAnsi="Aptos"/>
        </w:rPr>
      </w:pPr>
      <w:r w:rsidRPr="004941AC">
        <w:rPr>
          <w:rFonts w:ascii="Aptos" w:hAnsi="Aptos"/>
        </w:rPr>
        <w:t>California 2024-2027 Unified Strategic Workforce Development Plan (</w:t>
      </w:r>
      <w:hyperlink r:id="rId16" w:history="1">
        <w:r w:rsidRPr="004941AC">
          <w:rPr>
            <w:rFonts w:ascii="Aptos" w:hAnsi="Aptos"/>
            <w:color w:val="0563C1" w:themeColor="hyperlink"/>
            <w:u w:val="single"/>
          </w:rPr>
          <w:t>State Plan</w:t>
        </w:r>
      </w:hyperlink>
      <w:r w:rsidRPr="004941AC">
        <w:rPr>
          <w:rFonts w:ascii="Aptos" w:hAnsi="Aptos"/>
        </w:rPr>
        <w:t>), the CWDB and the EDD requested and were approved for the following two WIOA waivers from the DOL:</w:t>
      </w:r>
      <w:r w:rsidRPr="004941AC">
        <w:rPr>
          <w:rFonts w:ascii="Aptos" w:hAnsi="Aptos"/>
        </w:rPr>
        <w:tab/>
      </w:r>
    </w:p>
    <w:p w14:paraId="5A7A9968" w14:textId="77777777" w:rsidR="003D1057" w:rsidRPr="004941AC" w:rsidRDefault="003D1057" w:rsidP="00C75D9B">
      <w:pPr>
        <w:rPr>
          <w:rFonts w:ascii="Aptos" w:hAnsi="Aptos"/>
        </w:rPr>
      </w:pPr>
    </w:p>
    <w:p w14:paraId="0AAADD2D" w14:textId="77777777" w:rsidR="00C75D9B" w:rsidRPr="004941AC" w:rsidRDefault="00C75D9B" w:rsidP="00C75D9B">
      <w:pPr>
        <w:numPr>
          <w:ilvl w:val="0"/>
          <w:numId w:val="3"/>
        </w:numPr>
        <w:contextualSpacing/>
        <w:rPr>
          <w:rFonts w:ascii="Aptos" w:hAnsi="Aptos"/>
          <w:b/>
          <w:bCs/>
        </w:rPr>
      </w:pPr>
      <w:r w:rsidRPr="004941AC">
        <w:rPr>
          <w:rFonts w:ascii="Aptos" w:hAnsi="Aptos"/>
          <w:b/>
          <w:bCs/>
        </w:rPr>
        <w:t>Waiver of WIOA Section 134(d)(5)</w:t>
      </w:r>
    </w:p>
    <w:p w14:paraId="57F3D0B4" w14:textId="77777777" w:rsidR="00C75D9B" w:rsidRPr="004941AC" w:rsidRDefault="00C75D9B" w:rsidP="00C75D9B">
      <w:pPr>
        <w:ind w:left="720"/>
        <w:contextualSpacing/>
        <w:rPr>
          <w:rFonts w:ascii="Aptos" w:hAnsi="Aptos"/>
        </w:rPr>
      </w:pPr>
      <w:r w:rsidRPr="004941AC">
        <w:rPr>
          <w:rFonts w:ascii="Aptos" w:hAnsi="Aptos"/>
        </w:rPr>
        <w:t>This waiver allows up to 30 percent of WIOA Title I adult and dislocated worker local formula funds to be used for the provision of transitional jobs.</w:t>
      </w:r>
    </w:p>
    <w:p w14:paraId="3F9A5C90" w14:textId="77777777" w:rsidR="00C75D9B" w:rsidRPr="004941AC" w:rsidRDefault="00C75D9B" w:rsidP="00C75D9B">
      <w:pPr>
        <w:ind w:left="720"/>
        <w:contextualSpacing/>
        <w:rPr>
          <w:rFonts w:ascii="Aptos" w:hAnsi="Aptos"/>
        </w:rPr>
      </w:pPr>
    </w:p>
    <w:p w14:paraId="1FDDCB9E" w14:textId="77777777" w:rsidR="00C75D9B" w:rsidRPr="004941AC" w:rsidRDefault="00C75D9B" w:rsidP="00C75D9B">
      <w:pPr>
        <w:numPr>
          <w:ilvl w:val="0"/>
          <w:numId w:val="2"/>
        </w:numPr>
        <w:contextualSpacing/>
        <w:rPr>
          <w:rFonts w:ascii="Aptos" w:hAnsi="Aptos"/>
          <w:b/>
          <w:bCs/>
        </w:rPr>
      </w:pPr>
      <w:r w:rsidRPr="004941AC">
        <w:rPr>
          <w:rFonts w:ascii="Aptos" w:hAnsi="Aptos"/>
          <w:b/>
          <w:bCs/>
        </w:rPr>
        <w:t>Waiver of WIOA Section 134(c)(3)(H)(</w:t>
      </w:r>
      <w:proofErr w:type="spellStart"/>
      <w:r w:rsidRPr="004941AC">
        <w:rPr>
          <w:rFonts w:ascii="Aptos" w:hAnsi="Aptos"/>
          <w:b/>
          <w:bCs/>
        </w:rPr>
        <w:t>i</w:t>
      </w:r>
      <w:proofErr w:type="spellEnd"/>
      <w:r w:rsidRPr="004941AC">
        <w:rPr>
          <w:rFonts w:ascii="Aptos" w:hAnsi="Aptos"/>
          <w:b/>
          <w:bCs/>
        </w:rPr>
        <w:t xml:space="preserve">) </w:t>
      </w:r>
    </w:p>
    <w:p w14:paraId="0E6B9F4B" w14:textId="7DF6DCD5" w:rsidR="00BA060D" w:rsidRPr="004941AC" w:rsidRDefault="00C75D9B" w:rsidP="00C75D9B">
      <w:pPr>
        <w:ind w:left="720"/>
        <w:contextualSpacing/>
        <w:rPr>
          <w:rFonts w:ascii="Aptos" w:hAnsi="Aptos"/>
        </w:rPr>
      </w:pPr>
      <w:r w:rsidRPr="004941AC">
        <w:rPr>
          <w:rFonts w:ascii="Aptos" w:hAnsi="Aptos"/>
        </w:rPr>
        <w:t>This waiver allows up to 90 percent reimbursement of on-the-job training (OJT) costs for businesses with 50 or fewer employees.</w:t>
      </w:r>
      <w:r w:rsidR="00896BE5" w:rsidRPr="004941AC">
        <w:rPr>
          <w:rFonts w:ascii="Aptos" w:hAnsi="Aptos"/>
        </w:rPr>
        <w:br/>
      </w:r>
    </w:p>
    <w:p w14:paraId="51CABB24" w14:textId="6C71C768" w:rsidR="00BA060D" w:rsidRPr="005C0EFE" w:rsidRDefault="00BA060D" w:rsidP="00821F43">
      <w:pPr>
        <w:pStyle w:val="Heading3"/>
      </w:pPr>
      <w:r w:rsidRPr="005C0EFE">
        <w:t>P</w:t>
      </w:r>
      <w:r w:rsidR="00821F43">
        <w:t>olicy and Procedures</w:t>
      </w:r>
    </w:p>
    <w:p w14:paraId="697A2513" w14:textId="77777777" w:rsidR="00BA060D" w:rsidRDefault="00BA060D" w:rsidP="00BA060D">
      <w:pPr>
        <w:pBdr>
          <w:bottom w:val="double" w:sz="12" w:space="1" w:color="E58E1A"/>
        </w:pBdr>
        <w:outlineLvl w:val="9"/>
      </w:pPr>
    </w:p>
    <w:p w14:paraId="65AC9AF2" w14:textId="77777777" w:rsidR="00542993" w:rsidRPr="004941AC" w:rsidRDefault="00542993" w:rsidP="00542993">
      <w:pPr>
        <w:rPr>
          <w:rFonts w:ascii="Aptos" w:hAnsi="Aptos"/>
        </w:rPr>
      </w:pPr>
      <w:r w:rsidRPr="004941AC">
        <w:rPr>
          <w:rFonts w:ascii="Aptos" w:hAnsi="Aptos"/>
        </w:rPr>
        <w:t>Under the DOL Secretary’s waiver authority outlined in WIOA Section 189(</w:t>
      </w:r>
      <w:proofErr w:type="spellStart"/>
      <w:r w:rsidRPr="004941AC">
        <w:rPr>
          <w:rFonts w:ascii="Aptos" w:hAnsi="Aptos"/>
        </w:rPr>
        <w:t>i</w:t>
      </w:r>
      <w:proofErr w:type="spellEnd"/>
      <w:r w:rsidRPr="004941AC">
        <w:rPr>
          <w:rFonts w:ascii="Aptos" w:hAnsi="Aptos"/>
        </w:rPr>
        <w:t xml:space="preserve">)(3)(A) and detailed </w:t>
      </w:r>
    </w:p>
    <w:p w14:paraId="74209040" w14:textId="6EC0804D" w:rsidR="00542993" w:rsidRPr="004941AC" w:rsidRDefault="00542993" w:rsidP="00542993">
      <w:pPr>
        <w:rPr>
          <w:rFonts w:ascii="Aptos" w:hAnsi="Aptos"/>
        </w:rPr>
      </w:pPr>
      <w:r w:rsidRPr="004941AC">
        <w:rPr>
          <w:rFonts w:ascii="Aptos" w:hAnsi="Aptos"/>
        </w:rPr>
        <w:t>in TEGL 08-18, the Secretary may waive certain provisions of WIOA Title I. Part of the waiver lifecycle requires states to estimate and then regularly assess whether the waiver is successfully achieving state goals.</w:t>
      </w:r>
    </w:p>
    <w:p w14:paraId="204ACFDA" w14:textId="77777777" w:rsidR="00542993" w:rsidRPr="004941AC" w:rsidRDefault="00542993" w:rsidP="00542993">
      <w:pPr>
        <w:rPr>
          <w:rFonts w:ascii="Aptos" w:hAnsi="Aptos"/>
        </w:rPr>
      </w:pPr>
    </w:p>
    <w:p w14:paraId="7114A78C" w14:textId="77777777" w:rsidR="00542993" w:rsidRPr="004941AC" w:rsidRDefault="00542993" w:rsidP="00542993">
      <w:pPr>
        <w:rPr>
          <w:rFonts w:ascii="Aptos" w:hAnsi="Aptos"/>
        </w:rPr>
      </w:pPr>
      <w:r w:rsidRPr="004941AC">
        <w:rPr>
          <w:rFonts w:ascii="Aptos" w:hAnsi="Aptos"/>
        </w:rPr>
        <w:t xml:space="preserve">As the goal of waivers is to provide opportunities to innovate and experiment with new </w:t>
      </w:r>
    </w:p>
    <w:p w14:paraId="406C9F65" w14:textId="0B1BD9C5" w:rsidR="00542993" w:rsidRPr="004941AC" w:rsidRDefault="00542993" w:rsidP="00542993">
      <w:pPr>
        <w:rPr>
          <w:rFonts w:ascii="Aptos" w:hAnsi="Aptos"/>
        </w:rPr>
      </w:pPr>
      <w:r w:rsidRPr="004941AC">
        <w:rPr>
          <w:rFonts w:ascii="Aptos" w:hAnsi="Aptos"/>
        </w:rPr>
        <w:t xml:space="preserve">approaches to service delivery, states with approved waivers must provide detailed reports, as outlined in </w:t>
      </w:r>
      <w:hyperlink r:id="rId17" w:history="1">
        <w:r w:rsidRPr="004941AC">
          <w:rPr>
            <w:rFonts w:ascii="Aptos" w:hAnsi="Aptos"/>
            <w:color w:val="0563C1"/>
            <w:u w:val="single"/>
          </w:rPr>
          <w:t>TEGL 05-18 Change 1,</w:t>
        </w:r>
      </w:hyperlink>
      <w:r w:rsidRPr="004941AC">
        <w:rPr>
          <w:rFonts w:ascii="Aptos" w:hAnsi="Aptos"/>
        </w:rPr>
        <w:t xml:space="preserve"> in the WIOA Annual Statewide Performance Report Narrative </w:t>
      </w:r>
      <w:hyperlink r:id="rId18" w:history="1">
        <w:r w:rsidRPr="004941AC">
          <w:rPr>
            <w:rFonts w:ascii="Aptos" w:hAnsi="Aptos"/>
            <w:color w:val="000000" w:themeColor="text1"/>
            <w:u w:val="single"/>
          </w:rPr>
          <w:t>(</w:t>
        </w:r>
        <w:r w:rsidRPr="004941AC">
          <w:rPr>
            <w:rFonts w:ascii="Aptos" w:hAnsi="Aptos"/>
            <w:color w:val="0563C1"/>
            <w:u w:val="single"/>
          </w:rPr>
          <w:t>WIOA Annual Report [PDF]</w:t>
        </w:r>
      </w:hyperlink>
      <w:r w:rsidRPr="004941AC">
        <w:rPr>
          <w:rFonts w:ascii="Aptos" w:hAnsi="Aptos"/>
        </w:rPr>
        <w:t>)</w:t>
      </w:r>
      <w:r w:rsidR="008214B6" w:rsidRPr="004941AC">
        <w:rPr>
          <w:rFonts w:ascii="Aptos" w:hAnsi="Aptos"/>
        </w:rPr>
        <w:t>,</w:t>
      </w:r>
      <w:r w:rsidRPr="004941AC">
        <w:rPr>
          <w:rFonts w:ascii="Aptos" w:hAnsi="Aptos"/>
        </w:rPr>
        <w:t xml:space="preserve"> addressing the waivers’ impact and outcomes. The DOL will consider outcome information as part of the criteria for granting renewal of a waiver, if requested.</w:t>
      </w:r>
    </w:p>
    <w:p w14:paraId="222BB125" w14:textId="77777777" w:rsidR="00542993" w:rsidRPr="004941AC" w:rsidRDefault="00542993" w:rsidP="00542993">
      <w:pPr>
        <w:rPr>
          <w:rFonts w:ascii="Aptos" w:hAnsi="Aptos"/>
        </w:rPr>
      </w:pPr>
    </w:p>
    <w:p w14:paraId="503DEBA6" w14:textId="6A06F9B0" w:rsidR="00542993" w:rsidRPr="004941AC" w:rsidRDefault="00542993" w:rsidP="00542993">
      <w:pPr>
        <w:rPr>
          <w:rFonts w:ascii="Aptos" w:hAnsi="Aptos"/>
        </w:rPr>
      </w:pPr>
      <w:r w:rsidRPr="004941AC">
        <w:rPr>
          <w:rFonts w:ascii="Aptos" w:hAnsi="Aptos"/>
        </w:rPr>
        <w:t xml:space="preserve">The following waivers were approved as part of the </w:t>
      </w:r>
      <w:hyperlink r:id="rId19" w:history="1">
        <w:r w:rsidRPr="004941AC">
          <w:rPr>
            <w:rFonts w:ascii="Aptos" w:hAnsi="Aptos"/>
            <w:color w:val="0563C1"/>
            <w:u w:val="single"/>
          </w:rPr>
          <w:t>State Plan</w:t>
        </w:r>
      </w:hyperlink>
      <w:r w:rsidRPr="004941AC">
        <w:rPr>
          <w:rFonts w:ascii="Aptos" w:hAnsi="Aptos"/>
        </w:rPr>
        <w:t xml:space="preserve"> and may be used by Local Boards from July 1, 2026 – June 30, 2027 (Program Year [PY] 26-27).</w:t>
      </w:r>
    </w:p>
    <w:p w14:paraId="72861253" w14:textId="77777777" w:rsidR="00542993" w:rsidRPr="00542993" w:rsidRDefault="00542993" w:rsidP="00542993"/>
    <w:p w14:paraId="1C79E959" w14:textId="77777777" w:rsidR="00542993" w:rsidRPr="003C0620" w:rsidRDefault="00542993" w:rsidP="00A30852">
      <w:pPr>
        <w:pStyle w:val="Heading4"/>
      </w:pPr>
      <w:r w:rsidRPr="003C0620">
        <w:t xml:space="preserve">Transitional Jobs Waiver </w:t>
      </w:r>
    </w:p>
    <w:p w14:paraId="0BF9C417" w14:textId="77777777" w:rsidR="00542993" w:rsidRPr="004941AC" w:rsidRDefault="00542993" w:rsidP="00542993">
      <w:pPr>
        <w:rPr>
          <w:rFonts w:ascii="Aptos" w:hAnsi="Aptos"/>
        </w:rPr>
      </w:pPr>
      <w:r w:rsidRPr="004941AC">
        <w:rPr>
          <w:rFonts w:ascii="Aptos" w:hAnsi="Aptos"/>
        </w:rPr>
        <w:t xml:space="preserve">Under 20 CFR 680.190, a transitional job is one that provides time-limited work experience, </w:t>
      </w:r>
    </w:p>
    <w:p w14:paraId="07E46825" w14:textId="77777777" w:rsidR="00542993" w:rsidRPr="004941AC" w:rsidRDefault="00542993" w:rsidP="00542993">
      <w:pPr>
        <w:rPr>
          <w:rFonts w:ascii="Aptos" w:hAnsi="Aptos"/>
        </w:rPr>
      </w:pPr>
      <w:r w:rsidRPr="004941AC">
        <w:rPr>
          <w:rFonts w:ascii="Aptos" w:hAnsi="Aptos"/>
        </w:rPr>
        <w:t xml:space="preserve">is wage-paid and subsidized and in the public, private, or non-profit sectors for individuals </w:t>
      </w:r>
    </w:p>
    <w:p w14:paraId="607C1959" w14:textId="77777777" w:rsidR="00542993" w:rsidRPr="004941AC" w:rsidRDefault="00542993" w:rsidP="00542993">
      <w:pPr>
        <w:rPr>
          <w:rFonts w:ascii="Aptos" w:hAnsi="Aptos"/>
        </w:rPr>
      </w:pPr>
      <w:r w:rsidRPr="004941AC">
        <w:rPr>
          <w:rFonts w:ascii="Aptos" w:hAnsi="Aptos"/>
        </w:rPr>
        <w:t xml:space="preserve">with barriers to employment who are chronically unemployed or have inconsistent work </w:t>
      </w:r>
    </w:p>
    <w:p w14:paraId="01070813" w14:textId="7BF1A321" w:rsidR="00542993" w:rsidRPr="004941AC" w:rsidRDefault="00542993" w:rsidP="00542993">
      <w:pPr>
        <w:rPr>
          <w:rFonts w:ascii="Aptos" w:hAnsi="Aptos"/>
        </w:rPr>
      </w:pPr>
      <w:r w:rsidRPr="004941AC">
        <w:rPr>
          <w:rFonts w:ascii="Aptos" w:hAnsi="Aptos"/>
        </w:rPr>
        <w:t>history, as determined by the Local Board. These jobs are designed to enable an individual to establish a work history, demonstrate work success in an employee-</w:t>
      </w:r>
      <w:proofErr w:type="gramStart"/>
      <w:r w:rsidRPr="004941AC">
        <w:rPr>
          <w:rFonts w:ascii="Aptos" w:hAnsi="Aptos"/>
        </w:rPr>
        <w:t>employer</w:t>
      </w:r>
      <w:proofErr w:type="gramEnd"/>
      <w:r w:rsidRPr="004941AC">
        <w:rPr>
          <w:rFonts w:ascii="Aptos" w:hAnsi="Aptos"/>
        </w:rPr>
        <w:t xml:space="preserve"> relationship, and develop skills that lead to unsubsidized employment.</w:t>
      </w:r>
    </w:p>
    <w:p w14:paraId="05CD7655" w14:textId="77777777" w:rsidR="00542993" w:rsidRPr="00542993" w:rsidRDefault="00542993" w:rsidP="00542993"/>
    <w:p w14:paraId="36413B8D" w14:textId="77777777" w:rsidR="00542993" w:rsidRPr="004941AC" w:rsidRDefault="00542993" w:rsidP="00542993">
      <w:pPr>
        <w:rPr>
          <w:rFonts w:ascii="Aptos" w:hAnsi="Aptos"/>
        </w:rPr>
      </w:pPr>
      <w:r w:rsidRPr="004941AC">
        <w:rPr>
          <w:rFonts w:ascii="Aptos" w:hAnsi="Aptos"/>
        </w:rPr>
        <w:lastRenderedPageBreak/>
        <w:t>WIOA Section 134(d)(5) states that a Local Board may use up to 10 percent of its combined WIOA Title I adult and dislocated workers formula funds for the provision of transitional jobs. The transitional jobs waiver allows up to 30 percent of a Local Board’s combined WIOA Title I adult and dislocated workers formula funds to be used for the provision of transitional jobs.</w:t>
      </w:r>
    </w:p>
    <w:p w14:paraId="7F9656AF" w14:textId="77777777" w:rsidR="00542993" w:rsidRPr="004941AC" w:rsidRDefault="00542993" w:rsidP="00542993">
      <w:pPr>
        <w:rPr>
          <w:rFonts w:ascii="Aptos" w:hAnsi="Aptos"/>
        </w:rPr>
      </w:pPr>
    </w:p>
    <w:p w14:paraId="45887CF2" w14:textId="77777777" w:rsidR="00542993" w:rsidRPr="004941AC" w:rsidRDefault="00542993" w:rsidP="00542993">
      <w:pPr>
        <w:rPr>
          <w:rFonts w:ascii="Aptos" w:hAnsi="Aptos"/>
        </w:rPr>
      </w:pPr>
      <w:r w:rsidRPr="004941AC">
        <w:rPr>
          <w:rFonts w:ascii="Aptos" w:hAnsi="Aptos"/>
        </w:rPr>
        <w:t xml:space="preserve">Subsidized employment is a proven tool for encouraging employers to hire new employees, </w:t>
      </w:r>
    </w:p>
    <w:p w14:paraId="27DC0D94" w14:textId="000C13C4" w:rsidR="00542993" w:rsidRPr="004941AC" w:rsidRDefault="00542993" w:rsidP="00542993">
      <w:pPr>
        <w:rPr>
          <w:rFonts w:ascii="Aptos" w:hAnsi="Aptos"/>
        </w:rPr>
      </w:pPr>
      <w:r w:rsidRPr="004941AC">
        <w:rPr>
          <w:rFonts w:ascii="Aptos" w:hAnsi="Aptos"/>
        </w:rPr>
        <w:t>especially individuals with barriers to employment, to meet new and changing economic demands, and can be mutually beneficial for job seekers and employers. Due to the economic impact of the COVID-19 pandemic, utilizing transitional job placements could be a critical service delivery strategy, especially for participants with significant barriers to employment who are struggling to attach or reattach to the labor market.</w:t>
      </w:r>
    </w:p>
    <w:p w14:paraId="4001A87A" w14:textId="77777777" w:rsidR="00542993" w:rsidRPr="004941AC" w:rsidRDefault="00542993" w:rsidP="00542993">
      <w:pPr>
        <w:rPr>
          <w:rFonts w:ascii="Aptos" w:hAnsi="Aptos"/>
        </w:rPr>
      </w:pPr>
    </w:p>
    <w:p w14:paraId="1AA935A0" w14:textId="77777777" w:rsidR="00542993" w:rsidRPr="004941AC" w:rsidRDefault="00542993" w:rsidP="00542993">
      <w:pPr>
        <w:rPr>
          <w:rFonts w:ascii="Aptos" w:hAnsi="Aptos"/>
        </w:rPr>
      </w:pPr>
      <w:r w:rsidRPr="004941AC">
        <w:rPr>
          <w:rFonts w:ascii="Aptos" w:hAnsi="Aptos"/>
        </w:rPr>
        <w:t xml:space="preserve">The transitional jobs waiver provides Local Boards with increased flexibility to provide </w:t>
      </w:r>
    </w:p>
    <w:p w14:paraId="28D2056D" w14:textId="57B1A47D" w:rsidR="00542993" w:rsidRPr="004941AC" w:rsidRDefault="00542993" w:rsidP="00542993">
      <w:pPr>
        <w:rPr>
          <w:rFonts w:ascii="Aptos" w:hAnsi="Aptos"/>
        </w:rPr>
      </w:pPr>
      <w:r w:rsidRPr="004941AC">
        <w:rPr>
          <w:rFonts w:ascii="Aptos" w:hAnsi="Aptos"/>
        </w:rPr>
        <w:t>transitional employment to individuals with barriers to employment to gain income and work experience. Utilizing this waiver could also assist employers who may need to hire additional employees to adjust and meet new service standards and operating procedures.</w:t>
      </w:r>
    </w:p>
    <w:p w14:paraId="1C26F0A1" w14:textId="77777777" w:rsidR="00542993" w:rsidRPr="004941AC" w:rsidRDefault="00542993" w:rsidP="00542993">
      <w:pPr>
        <w:rPr>
          <w:rFonts w:ascii="Aptos" w:hAnsi="Aptos"/>
        </w:rPr>
      </w:pPr>
    </w:p>
    <w:p w14:paraId="1CEA15A6" w14:textId="77777777" w:rsidR="00542993" w:rsidRPr="00542993" w:rsidRDefault="00542993" w:rsidP="00542993">
      <w:pPr>
        <w:keepNext/>
        <w:keepLines/>
        <w:spacing w:before="40"/>
        <w:outlineLvl w:val="4"/>
        <w:rPr>
          <w:rFonts w:ascii="Calibri" w:eastAsiaTheme="majorEastAsia" w:hAnsi="Calibri" w:cstheme="majorBidi"/>
          <w:sz w:val="28"/>
        </w:rPr>
      </w:pPr>
      <w:r w:rsidRPr="00542993">
        <w:rPr>
          <w:rFonts w:ascii="Calibri" w:eastAsiaTheme="majorEastAsia" w:hAnsi="Calibri" w:cstheme="majorBidi"/>
          <w:i/>
          <w:sz w:val="28"/>
        </w:rPr>
        <w:t>Projected Programmatic Outcome</w:t>
      </w:r>
    </w:p>
    <w:p w14:paraId="21A0776F" w14:textId="519D7398" w:rsidR="00542993" w:rsidRPr="004941AC" w:rsidRDefault="00542993" w:rsidP="00542993">
      <w:pPr>
        <w:rPr>
          <w:rFonts w:ascii="Aptos" w:hAnsi="Aptos"/>
        </w:rPr>
      </w:pPr>
      <w:r w:rsidRPr="004941AC">
        <w:rPr>
          <w:rFonts w:ascii="Aptos" w:hAnsi="Aptos"/>
        </w:rPr>
        <w:t>As part of the waiver request, California projected that increasing the percentage of adult and dislocated worker funds spent on transitional jobs will lead to an estimated 7 percent increase in the number of adults and dislocated workers placed in transitional jobs for each full PY the waiver is in effect.</w:t>
      </w:r>
    </w:p>
    <w:p w14:paraId="2412B298" w14:textId="77777777" w:rsidR="00542993" w:rsidRPr="004941AC" w:rsidRDefault="00542993" w:rsidP="00542993">
      <w:pPr>
        <w:rPr>
          <w:rFonts w:ascii="Aptos" w:hAnsi="Aptos"/>
        </w:rPr>
      </w:pPr>
    </w:p>
    <w:p w14:paraId="7C5A3FD1" w14:textId="77777777" w:rsidR="00542993" w:rsidRPr="004941AC" w:rsidRDefault="00542993" w:rsidP="00542993">
      <w:pPr>
        <w:rPr>
          <w:rFonts w:ascii="Aptos" w:hAnsi="Aptos"/>
        </w:rPr>
      </w:pPr>
      <w:r w:rsidRPr="004941AC">
        <w:rPr>
          <w:rFonts w:ascii="Aptos" w:hAnsi="Aptos"/>
        </w:rPr>
        <w:t xml:space="preserve">While Local Boards will not be sanctioned if they do not meet the 10 percent increase, not meeting the target could </w:t>
      </w:r>
      <w:proofErr w:type="gramStart"/>
      <w:r w:rsidRPr="004941AC">
        <w:rPr>
          <w:rFonts w:ascii="Aptos" w:hAnsi="Aptos"/>
        </w:rPr>
        <w:t>impact</w:t>
      </w:r>
      <w:proofErr w:type="gramEnd"/>
      <w:r w:rsidRPr="004941AC">
        <w:rPr>
          <w:rFonts w:ascii="Aptos" w:hAnsi="Aptos"/>
        </w:rPr>
        <w:t xml:space="preserve"> the state’s ability to renew this waiver in the future.</w:t>
      </w:r>
    </w:p>
    <w:p w14:paraId="2D4F2385" w14:textId="77777777" w:rsidR="00542993" w:rsidRPr="004941AC" w:rsidRDefault="00542993" w:rsidP="00542993">
      <w:pPr>
        <w:rPr>
          <w:rFonts w:ascii="Aptos" w:hAnsi="Aptos"/>
        </w:rPr>
      </w:pPr>
    </w:p>
    <w:p w14:paraId="5012830D" w14:textId="6A42D323" w:rsidR="00542993" w:rsidRPr="004941AC" w:rsidRDefault="00542993" w:rsidP="00A30852">
      <w:pPr>
        <w:pStyle w:val="Heading4"/>
        <w:rPr>
          <w:rFonts w:ascii="Aptos" w:hAnsi="Aptos"/>
        </w:rPr>
      </w:pPr>
      <w:r w:rsidRPr="004941AC">
        <w:rPr>
          <w:rFonts w:ascii="Aptos" w:hAnsi="Aptos"/>
        </w:rPr>
        <w:t>On-the-Job Training Waiver</w:t>
      </w:r>
    </w:p>
    <w:p w14:paraId="69606D98" w14:textId="206879AC" w:rsidR="00542993" w:rsidRPr="004941AC" w:rsidRDefault="00542993" w:rsidP="00542993">
      <w:pPr>
        <w:rPr>
          <w:rFonts w:ascii="Aptos" w:hAnsi="Aptos"/>
        </w:rPr>
      </w:pPr>
      <w:r w:rsidRPr="004941AC">
        <w:rPr>
          <w:rFonts w:ascii="Aptos" w:hAnsi="Aptos"/>
        </w:rPr>
        <w:t>Under WIOA Section 3(44), OJT is training provided by the employer to a paid participant. At the same time, the participant is engaged in productive work in a job that provides knowledge or skills essential to the full and adequate performance of the job. OJT is also limited in duration as appropriate to the occupation for which the participant is being trained, the content of the training, consideration of the participant’s prior work experience, and the service strategy for the participant.</w:t>
      </w:r>
    </w:p>
    <w:p w14:paraId="33594200" w14:textId="77777777" w:rsidR="00542993" w:rsidRPr="004941AC" w:rsidRDefault="00542993" w:rsidP="00542993">
      <w:pPr>
        <w:rPr>
          <w:rFonts w:ascii="Aptos" w:hAnsi="Aptos"/>
        </w:rPr>
      </w:pPr>
    </w:p>
    <w:p w14:paraId="0245D56B" w14:textId="77777777" w:rsidR="00542993" w:rsidRPr="004941AC" w:rsidRDefault="00542993" w:rsidP="00542993">
      <w:pPr>
        <w:rPr>
          <w:rFonts w:ascii="Aptos" w:hAnsi="Aptos"/>
        </w:rPr>
      </w:pPr>
      <w:r w:rsidRPr="004941AC">
        <w:rPr>
          <w:rFonts w:ascii="Aptos" w:hAnsi="Aptos"/>
        </w:rPr>
        <w:t>Under WIOA Section 134(c)(3)(H)(</w:t>
      </w:r>
      <w:proofErr w:type="spellStart"/>
      <w:r w:rsidRPr="004941AC">
        <w:rPr>
          <w:rFonts w:ascii="Aptos" w:hAnsi="Aptos"/>
        </w:rPr>
        <w:t>i</w:t>
      </w:r>
      <w:proofErr w:type="spellEnd"/>
      <w:r w:rsidRPr="004941AC">
        <w:rPr>
          <w:rFonts w:ascii="Aptos" w:hAnsi="Aptos"/>
        </w:rPr>
        <w:t xml:space="preserve">), a Local Board may reimburse the employer up to 50 </w:t>
      </w:r>
    </w:p>
    <w:p w14:paraId="4C190E10" w14:textId="77777777" w:rsidR="00542993" w:rsidRPr="004941AC" w:rsidRDefault="00542993" w:rsidP="00542993">
      <w:pPr>
        <w:rPr>
          <w:rFonts w:ascii="Aptos" w:hAnsi="Aptos"/>
        </w:rPr>
      </w:pPr>
      <w:r w:rsidRPr="004941AC">
        <w:rPr>
          <w:rFonts w:ascii="Aptos" w:hAnsi="Aptos"/>
        </w:rPr>
        <w:t xml:space="preserve">percent of the wage rate of an OJT participant for the extraordinary costs of providing the </w:t>
      </w:r>
    </w:p>
    <w:p w14:paraId="01897085" w14:textId="475E97FA" w:rsidR="00542993" w:rsidRPr="004941AC" w:rsidRDefault="00542993" w:rsidP="00542993">
      <w:pPr>
        <w:rPr>
          <w:rFonts w:ascii="Aptos" w:hAnsi="Aptos"/>
        </w:rPr>
      </w:pPr>
      <w:r w:rsidRPr="004941AC">
        <w:rPr>
          <w:rFonts w:ascii="Aptos" w:hAnsi="Aptos"/>
        </w:rPr>
        <w:t>training and additional supervision related to the training. This waiver would allow Local Boards to reimburse up to 90 percent of the wage rate of an OJT participant for the extraordinary costs of providing training and additional supervision related to the training if the business has 50 or fewer employees.</w:t>
      </w:r>
    </w:p>
    <w:p w14:paraId="10AE59BD" w14:textId="77777777" w:rsidR="00542993" w:rsidRPr="00542993" w:rsidRDefault="00542993" w:rsidP="00542993"/>
    <w:p w14:paraId="0BB55CB7" w14:textId="77777777" w:rsidR="00542993" w:rsidRPr="004941AC" w:rsidRDefault="00542993" w:rsidP="00542993">
      <w:pPr>
        <w:rPr>
          <w:rFonts w:ascii="Aptos" w:hAnsi="Aptos"/>
        </w:rPr>
      </w:pPr>
      <w:r w:rsidRPr="004941AC">
        <w:rPr>
          <w:rFonts w:ascii="Aptos" w:hAnsi="Aptos"/>
        </w:rPr>
        <w:lastRenderedPageBreak/>
        <w:t xml:space="preserve">Most businesses in California are small businesses that have drastically modified their service delivery methods and procedures </w:t>
      </w:r>
      <w:proofErr w:type="gramStart"/>
      <w:r w:rsidRPr="004941AC">
        <w:rPr>
          <w:rFonts w:ascii="Aptos" w:hAnsi="Aptos"/>
        </w:rPr>
        <w:t>as a result of</w:t>
      </w:r>
      <w:proofErr w:type="gramEnd"/>
      <w:r w:rsidRPr="004941AC">
        <w:rPr>
          <w:rFonts w:ascii="Aptos" w:hAnsi="Aptos"/>
        </w:rPr>
        <w:t xml:space="preserve"> the COVID-19 pandemic. In addition to changing business practices, small businesses have adjusted to a decrease in supply and access to goods, services, employees, and patrons, while simultaneously </w:t>
      </w:r>
      <w:proofErr w:type="gramStart"/>
      <w:r w:rsidRPr="004941AC">
        <w:rPr>
          <w:rFonts w:ascii="Aptos" w:hAnsi="Aptos"/>
        </w:rPr>
        <w:t>acclimating to</w:t>
      </w:r>
      <w:proofErr w:type="gramEnd"/>
      <w:r w:rsidRPr="004941AC">
        <w:rPr>
          <w:rFonts w:ascii="Aptos" w:hAnsi="Aptos"/>
        </w:rPr>
        <w:t xml:space="preserve"> changes in demand and increasing the production of essential goods and services. This waiver would enable Local Boards to provide additional relief to small businesses that may be more risk-averse when it comes to hiring and training new employees during this time of economic instability.</w:t>
      </w:r>
    </w:p>
    <w:p w14:paraId="47B2882C" w14:textId="77777777" w:rsidR="00542993" w:rsidRPr="00542993" w:rsidRDefault="00542993" w:rsidP="00542993"/>
    <w:p w14:paraId="271EDE35" w14:textId="77777777" w:rsidR="00542993" w:rsidRPr="00DE2745" w:rsidRDefault="00542993" w:rsidP="00A30852">
      <w:pPr>
        <w:pStyle w:val="Heading5"/>
        <w:rPr>
          <w:rFonts w:ascii="Calibri" w:hAnsi="Calibri" w:cs="Calibri"/>
        </w:rPr>
      </w:pPr>
      <w:r w:rsidRPr="00DE2745">
        <w:rPr>
          <w:rFonts w:ascii="Calibri" w:hAnsi="Calibri" w:cs="Calibri"/>
        </w:rPr>
        <w:t>Projected Programmatic Outcome</w:t>
      </w:r>
    </w:p>
    <w:p w14:paraId="282317F2" w14:textId="7D0B0248" w:rsidR="00542993" w:rsidRPr="004941AC" w:rsidRDefault="00542993" w:rsidP="00542993">
      <w:pPr>
        <w:rPr>
          <w:rFonts w:ascii="Aptos" w:hAnsi="Aptos"/>
        </w:rPr>
      </w:pPr>
      <w:r w:rsidRPr="004941AC">
        <w:rPr>
          <w:rFonts w:ascii="Aptos" w:hAnsi="Aptos"/>
        </w:rPr>
        <w:t>As part of the waiver request, California projected that increasing the OJT reimbursement rate for businesses with 50 or fewer employees would lead to a 20 percent increase in the number of adults and dislocated workers placed in OJT with small businesses for each full PY waiver that is in effect.</w:t>
      </w:r>
    </w:p>
    <w:p w14:paraId="655A6FAF" w14:textId="77777777" w:rsidR="00542993" w:rsidRPr="004941AC" w:rsidRDefault="00542993" w:rsidP="00542993">
      <w:pPr>
        <w:rPr>
          <w:rFonts w:ascii="Aptos" w:hAnsi="Aptos"/>
        </w:rPr>
      </w:pPr>
    </w:p>
    <w:p w14:paraId="597B856F" w14:textId="77777777" w:rsidR="00542993" w:rsidRPr="004941AC" w:rsidRDefault="00542993" w:rsidP="00542993">
      <w:pPr>
        <w:rPr>
          <w:rFonts w:ascii="Aptos" w:hAnsi="Aptos"/>
        </w:rPr>
      </w:pPr>
      <w:r w:rsidRPr="004941AC">
        <w:rPr>
          <w:rFonts w:ascii="Aptos" w:hAnsi="Aptos"/>
        </w:rPr>
        <w:t>While Local Boards will not be sanctioned if they do not meet or exceed the 25 percent increase, not meeting this goal could impact the state’s ability to renew this waiver in the future.</w:t>
      </w:r>
    </w:p>
    <w:p w14:paraId="72BACCA3" w14:textId="77777777" w:rsidR="00542993" w:rsidRPr="004941AC" w:rsidRDefault="00542993" w:rsidP="00542993">
      <w:pPr>
        <w:rPr>
          <w:rFonts w:ascii="Aptos" w:hAnsi="Aptos"/>
        </w:rPr>
      </w:pPr>
    </w:p>
    <w:p w14:paraId="5D82514C" w14:textId="6A3C9D6A" w:rsidR="00542993" w:rsidRPr="004941AC" w:rsidRDefault="00542993" w:rsidP="00542993">
      <w:pPr>
        <w:rPr>
          <w:rFonts w:ascii="Aptos" w:hAnsi="Aptos"/>
        </w:rPr>
      </w:pPr>
      <w:r w:rsidRPr="004941AC">
        <w:rPr>
          <w:rFonts w:ascii="Aptos" w:hAnsi="Aptos"/>
        </w:rPr>
        <w:t>Local Boards approved to use this waiver will be required to ensure the waiver is only applied to businesses with 50 or fewer employees. While the state will not dictate how this verification occurs, Local Boards must retain records that show adherence to this requirement (e.g., validate employer account number, verify with Dun &amp; Bradstreet Corp, etc.).</w:t>
      </w:r>
    </w:p>
    <w:p w14:paraId="6B75B10A" w14:textId="77777777" w:rsidR="00542993" w:rsidRPr="00542993" w:rsidRDefault="00542993" w:rsidP="00542993"/>
    <w:p w14:paraId="1D15C412" w14:textId="77777777" w:rsidR="00542993" w:rsidRPr="00542993" w:rsidRDefault="00542993" w:rsidP="00A30852">
      <w:pPr>
        <w:pStyle w:val="Heading4"/>
      </w:pPr>
      <w:r w:rsidRPr="00542993">
        <w:t>Waiver Application Process</w:t>
      </w:r>
    </w:p>
    <w:p w14:paraId="5FADB96E" w14:textId="326FDA7A" w:rsidR="00542993" w:rsidRPr="004941AC" w:rsidRDefault="00542993" w:rsidP="00542993">
      <w:pPr>
        <w:rPr>
          <w:rFonts w:ascii="Aptos" w:hAnsi="Aptos"/>
        </w:rPr>
      </w:pPr>
      <w:proofErr w:type="gramStart"/>
      <w:r w:rsidRPr="004941AC">
        <w:rPr>
          <w:rFonts w:ascii="Aptos" w:hAnsi="Aptos"/>
        </w:rPr>
        <w:t>The DOL</w:t>
      </w:r>
      <w:proofErr w:type="gramEnd"/>
      <w:r w:rsidRPr="004941AC">
        <w:rPr>
          <w:rFonts w:ascii="Aptos" w:hAnsi="Aptos"/>
        </w:rPr>
        <w:t xml:space="preserve"> requires the state to evaluate the effectiveness of waivers as part of the WIOA Annual Report. Therefore, the state must track which Local Boards are using the waivers.</w:t>
      </w:r>
    </w:p>
    <w:p w14:paraId="3960D5A4" w14:textId="77777777" w:rsidR="00542993" w:rsidRPr="004941AC" w:rsidRDefault="00542993" w:rsidP="00542993">
      <w:pPr>
        <w:rPr>
          <w:rFonts w:ascii="Aptos" w:hAnsi="Aptos"/>
        </w:rPr>
      </w:pPr>
      <w:r w:rsidRPr="004941AC">
        <w:rPr>
          <w:rFonts w:ascii="Aptos" w:hAnsi="Aptos"/>
        </w:rPr>
        <w:t>To use any of the two approved waivers, Local Boards must apply. Electronic signatures on the applications will be accepted. Additionally, to comply with the DOL requirements, applications must be completed and approved every year the waiver is in effect. To establish consistency and afford Local Boards ample time to meet competing Directive deadlines, the CWDB anticipates very minimal changes to the content of the waiver applications each year.</w:t>
      </w:r>
    </w:p>
    <w:p w14:paraId="52F0D9CE" w14:textId="77777777" w:rsidR="00542993" w:rsidRPr="004941AC" w:rsidRDefault="00542993" w:rsidP="00542993">
      <w:pPr>
        <w:rPr>
          <w:rFonts w:ascii="Aptos" w:hAnsi="Aptos"/>
        </w:rPr>
      </w:pPr>
    </w:p>
    <w:p w14:paraId="5F894A49" w14:textId="7CE09CE2" w:rsidR="00BA060D" w:rsidRPr="004941AC" w:rsidRDefault="00542993" w:rsidP="00542993">
      <w:pPr>
        <w:outlineLvl w:val="9"/>
        <w:rPr>
          <w:rFonts w:ascii="Aptos" w:hAnsi="Aptos"/>
          <w:sz w:val="32"/>
          <w:szCs w:val="32"/>
        </w:rPr>
      </w:pPr>
      <w:r w:rsidRPr="004941AC">
        <w:rPr>
          <w:rFonts w:ascii="Aptos" w:hAnsi="Aptos"/>
        </w:rPr>
        <w:t xml:space="preserve">Applications for PY 26-27 are </w:t>
      </w:r>
      <w:r w:rsidRPr="004941AC">
        <w:rPr>
          <w:rFonts w:ascii="Aptos" w:hAnsi="Aptos"/>
          <w:b/>
          <w:bCs/>
        </w:rPr>
        <w:t>due by May 15, 2026</w:t>
      </w:r>
      <w:bookmarkStart w:id="5" w:name="_Hlk214435608"/>
      <w:r w:rsidRPr="004941AC">
        <w:rPr>
          <w:rFonts w:ascii="Aptos" w:hAnsi="Aptos"/>
        </w:rPr>
        <w:t>, to ensure Local Boards receive the full program year of usage for any approved waiver. If the deadline is missed, applications may still be submitted at any time during the program year and will be processed by the CWDB</w:t>
      </w:r>
      <w:bookmarkEnd w:id="5"/>
      <w:r w:rsidRPr="004941AC">
        <w:rPr>
          <w:rFonts w:ascii="Aptos" w:hAnsi="Aptos"/>
        </w:rPr>
        <w:t xml:space="preserve">. </w:t>
      </w:r>
      <w:bookmarkStart w:id="6" w:name="_Hlk214435770"/>
      <w:r w:rsidRPr="004941AC">
        <w:rPr>
          <w:rFonts w:ascii="Aptos" w:hAnsi="Aptos"/>
        </w:rPr>
        <w:t>Applications must be</w:t>
      </w:r>
      <w:bookmarkEnd w:id="6"/>
      <w:r w:rsidRPr="004941AC">
        <w:rPr>
          <w:rFonts w:ascii="Aptos" w:hAnsi="Aptos"/>
        </w:rPr>
        <w:t xml:space="preserve"> electronically signed by the Local Board Executive Director and submitted electronically to </w:t>
      </w:r>
      <w:hyperlink r:id="rId20" w:history="1">
        <w:r w:rsidRPr="004941AC">
          <w:rPr>
            <w:rFonts w:ascii="Aptos" w:hAnsi="Aptos"/>
            <w:color w:val="0563C1"/>
            <w:u w:val="single"/>
          </w:rPr>
          <w:t>PolicyUnit@cwdb.ca.gov</w:t>
        </w:r>
      </w:hyperlink>
      <w:r w:rsidRPr="004941AC">
        <w:rPr>
          <w:rFonts w:ascii="Aptos" w:hAnsi="Aptos"/>
        </w:rPr>
        <w:t>. Please include “WIOA Waiver Request Application” in the subject line. The CWDB will review the applications and notify Local Boards of their approval or denial via email by June 5, 2026</w:t>
      </w:r>
      <w:r w:rsidR="00896BE5" w:rsidRPr="004941AC">
        <w:rPr>
          <w:rFonts w:ascii="Aptos" w:hAnsi="Aptos"/>
        </w:rPr>
        <w:br/>
      </w:r>
    </w:p>
    <w:p w14:paraId="30F3C144" w14:textId="166A57A0" w:rsidR="00BA060D" w:rsidRPr="005C0EFE" w:rsidRDefault="00BA060D" w:rsidP="00821F43">
      <w:pPr>
        <w:pStyle w:val="Heading3"/>
      </w:pPr>
      <w:r w:rsidRPr="005C0EFE">
        <w:lastRenderedPageBreak/>
        <w:t>A</w:t>
      </w:r>
      <w:r w:rsidR="00821F43">
        <w:t>ction</w:t>
      </w:r>
    </w:p>
    <w:p w14:paraId="124A1304" w14:textId="77777777" w:rsidR="00BA060D" w:rsidRDefault="00BA060D" w:rsidP="00BA060D">
      <w:pPr>
        <w:pBdr>
          <w:bottom w:val="double" w:sz="12" w:space="1" w:color="E58E1A"/>
        </w:pBdr>
        <w:outlineLvl w:val="9"/>
      </w:pPr>
    </w:p>
    <w:p w14:paraId="4D1EEB32" w14:textId="77777777" w:rsidR="0049797D" w:rsidRPr="004941AC" w:rsidRDefault="0049797D" w:rsidP="0049797D">
      <w:pPr>
        <w:rPr>
          <w:rFonts w:ascii="Aptos" w:hAnsi="Aptos"/>
        </w:rPr>
      </w:pPr>
      <w:r w:rsidRPr="004941AC">
        <w:rPr>
          <w:rFonts w:ascii="Aptos" w:hAnsi="Aptos"/>
        </w:rPr>
        <w:t xml:space="preserve">Bring this Directive to the attention of the local Chief Elected Official, Local Board, and </w:t>
      </w:r>
    </w:p>
    <w:p w14:paraId="2196E1F9" w14:textId="3631C1A5" w:rsidR="00BA060D" w:rsidRPr="004941AC" w:rsidRDefault="0049797D" w:rsidP="0049797D">
      <w:pPr>
        <w:outlineLvl w:val="9"/>
        <w:rPr>
          <w:rFonts w:ascii="Aptos" w:hAnsi="Aptos"/>
          <w:sz w:val="32"/>
          <w:szCs w:val="32"/>
        </w:rPr>
      </w:pPr>
      <w:r w:rsidRPr="004941AC">
        <w:rPr>
          <w:rFonts w:ascii="Aptos" w:hAnsi="Aptos"/>
        </w:rPr>
        <w:t>appropriate staff.</w:t>
      </w:r>
      <w:r w:rsidR="00896BE5" w:rsidRPr="004941AC">
        <w:rPr>
          <w:rFonts w:ascii="Aptos" w:hAnsi="Aptos"/>
        </w:rPr>
        <w:br/>
      </w:r>
    </w:p>
    <w:p w14:paraId="3467C1C2" w14:textId="0C4E6B39" w:rsidR="00BA060D" w:rsidRPr="005C0EFE" w:rsidRDefault="00BA060D" w:rsidP="00821F43">
      <w:pPr>
        <w:pStyle w:val="Heading3"/>
      </w:pPr>
      <w:r w:rsidRPr="005C0EFE">
        <w:t>I</w:t>
      </w:r>
      <w:r w:rsidR="00821F43">
        <w:t>nquir</w:t>
      </w:r>
      <w:r w:rsidR="000D41F2">
        <w:t>i</w:t>
      </w:r>
      <w:r w:rsidR="00821F43">
        <w:t>es</w:t>
      </w:r>
    </w:p>
    <w:p w14:paraId="0B810114" w14:textId="7DC21316" w:rsidR="00BA060D" w:rsidRDefault="00BA060D" w:rsidP="00BA060D">
      <w:pPr>
        <w:pBdr>
          <w:bottom w:val="double" w:sz="12" w:space="1" w:color="E58E1A"/>
        </w:pBdr>
        <w:outlineLvl w:val="9"/>
      </w:pPr>
    </w:p>
    <w:p w14:paraId="34EFF978" w14:textId="65C6268E" w:rsidR="00D735DF" w:rsidRPr="004941AC" w:rsidRDefault="00D735DF" w:rsidP="00D735DF">
      <w:pPr>
        <w:rPr>
          <w:rFonts w:ascii="Aptos" w:hAnsi="Aptos"/>
          <w:sz w:val="96"/>
          <w:szCs w:val="96"/>
        </w:rPr>
      </w:pPr>
      <w:bookmarkStart w:id="7" w:name="_Hlk213412095"/>
      <w:r w:rsidRPr="004941AC">
        <w:rPr>
          <w:rFonts w:ascii="Aptos" w:hAnsi="Aptos"/>
        </w:rPr>
        <w:t xml:space="preserve">If you have any questions, contact the CWDB at </w:t>
      </w:r>
      <w:hyperlink r:id="rId21" w:history="1">
        <w:r w:rsidRPr="004941AC">
          <w:rPr>
            <w:rFonts w:ascii="Aptos" w:hAnsi="Aptos"/>
            <w:color w:val="0563C1" w:themeColor="hyperlink"/>
            <w:u w:val="single"/>
          </w:rPr>
          <w:t>PolicyUnit@cwdb.ca.gov.</w:t>
        </w:r>
      </w:hyperlink>
      <w:bookmarkEnd w:id="7"/>
      <w:r w:rsidRPr="004941AC">
        <w:rPr>
          <w:rFonts w:ascii="Aptos" w:hAnsi="Aptos"/>
        </w:rPr>
        <w:br/>
      </w:r>
    </w:p>
    <w:p w14:paraId="7542525F" w14:textId="781C7BE7" w:rsidR="00D735DF" w:rsidRPr="00B6262A" w:rsidRDefault="007831B6" w:rsidP="00D735DF">
      <w:r>
        <w:t xml:space="preserve">/s/ </w:t>
      </w:r>
      <w:r w:rsidR="00D735DF" w:rsidRPr="00B6262A">
        <w:t>JAVIER ROMERO, Deputy Director</w:t>
      </w:r>
      <w:r w:rsidR="00D735DF" w:rsidRPr="00B6262A">
        <w:br/>
        <w:t>Workforce Services Branch</w:t>
      </w:r>
      <w:r w:rsidR="00D735DF" w:rsidRPr="00B6262A">
        <w:br/>
      </w:r>
    </w:p>
    <w:p w14:paraId="0C5F084A" w14:textId="77777777" w:rsidR="00D735DF" w:rsidRPr="00B6262A" w:rsidRDefault="00D735DF" w:rsidP="00D735DF">
      <w:r w:rsidRPr="0005501E">
        <w:t>Attachment</w:t>
      </w:r>
      <w:r>
        <w:t>:</w:t>
      </w:r>
    </w:p>
    <w:p w14:paraId="34CDC970" w14:textId="6CE6093D" w:rsidR="00D735DF" w:rsidRPr="00B6262A" w:rsidRDefault="00D735DF" w:rsidP="00D735DF">
      <w:pPr>
        <w:numPr>
          <w:ilvl w:val="0"/>
          <w:numId w:val="4"/>
        </w:numPr>
        <w:contextualSpacing/>
      </w:pPr>
      <w:hyperlink r:id="rId22" w:history="1">
        <w:r w:rsidRPr="007831B6">
          <w:rPr>
            <w:rStyle w:val="Hyperlink"/>
          </w:rPr>
          <w:t>Application for Transitional Jobs Waiver (DOCX)</w:t>
        </w:r>
      </w:hyperlink>
    </w:p>
    <w:p w14:paraId="55B59D43" w14:textId="120C2F73" w:rsidR="00D735DF" w:rsidRDefault="00D735DF" w:rsidP="00D735DF">
      <w:pPr>
        <w:numPr>
          <w:ilvl w:val="0"/>
          <w:numId w:val="4"/>
        </w:numPr>
        <w:contextualSpacing/>
      </w:pPr>
      <w:hyperlink r:id="rId23" w:history="1">
        <w:r w:rsidRPr="007831B6">
          <w:rPr>
            <w:rStyle w:val="Hyperlink"/>
          </w:rPr>
          <w:t>Application for On-the-Job Training Waiver (DOCX)</w:t>
        </w:r>
      </w:hyperlink>
    </w:p>
    <w:p w14:paraId="3596CA5A" w14:textId="13B82565" w:rsidR="00CB6A8E" w:rsidRPr="0005501E" w:rsidRDefault="00CB6A8E" w:rsidP="00D735DF">
      <w:pPr>
        <w:numPr>
          <w:ilvl w:val="0"/>
          <w:numId w:val="4"/>
        </w:numPr>
        <w:contextualSpacing/>
      </w:pPr>
      <w:hyperlink r:id="rId24" w:history="1">
        <w:r w:rsidRPr="007831B6">
          <w:rPr>
            <w:rStyle w:val="Hyperlink"/>
          </w:rPr>
          <w:t>Summary of Comments (DOCX)</w:t>
        </w:r>
      </w:hyperlink>
    </w:p>
    <w:p w14:paraId="61575932" w14:textId="567A0318" w:rsidR="00BA060D" w:rsidRDefault="00BA060D" w:rsidP="00BA060D"/>
    <w:p w14:paraId="3436D258" w14:textId="437752CB" w:rsidR="00C30BD7" w:rsidRDefault="00C30BD7" w:rsidP="00C30BD7">
      <w:pPr>
        <w:pBdr>
          <w:bottom w:val="single" w:sz="4" w:space="1" w:color="auto"/>
        </w:pBdr>
      </w:pPr>
      <w:bookmarkStart w:id="8" w:name="_Hlk146796638"/>
      <w:bookmarkEnd w:id="1"/>
    </w:p>
    <w:p w14:paraId="029C3623" w14:textId="1EF33336" w:rsidR="00C30BD7" w:rsidRDefault="00C30BD7" w:rsidP="00C30BD7">
      <w:pPr>
        <w:spacing w:before="240"/>
        <w:jc w:val="center"/>
        <w:rPr>
          <w:i/>
          <w:iCs/>
        </w:rPr>
      </w:pPr>
      <w:proofErr w:type="gramStart"/>
      <w:r w:rsidRPr="00C30BD7">
        <w:rPr>
          <w:i/>
          <w:iCs/>
        </w:rPr>
        <w:t>The EDD</w:t>
      </w:r>
      <w:proofErr w:type="gramEnd"/>
      <w:r w:rsidRPr="00C30BD7">
        <w:rPr>
          <w:i/>
          <w:iCs/>
        </w:rPr>
        <w:t xml:space="preserve"> is an equal opportunity employer/program. Auxiliary aids and services </w:t>
      </w:r>
      <w:r>
        <w:rPr>
          <w:i/>
          <w:iCs/>
        </w:rPr>
        <w:br/>
      </w:r>
      <w:r w:rsidRPr="00C30BD7">
        <w:rPr>
          <w:i/>
          <w:iCs/>
        </w:rPr>
        <w:t>are available upon request to individuals with disabilities.</w:t>
      </w:r>
    </w:p>
    <w:bookmarkEnd w:id="8"/>
    <w:p w14:paraId="73006C8A" w14:textId="77777777" w:rsidR="00C30BD7" w:rsidRPr="00C30BD7" w:rsidRDefault="00C30BD7" w:rsidP="00C30BD7">
      <w:pPr>
        <w:pBdr>
          <w:top w:val="single" w:sz="4" w:space="1" w:color="auto"/>
        </w:pBdr>
        <w:spacing w:before="240"/>
        <w:jc w:val="center"/>
      </w:pPr>
    </w:p>
    <w:sectPr w:rsidR="00C30BD7" w:rsidRPr="00C30BD7" w:rsidSect="003351EA">
      <w:footerReference w:type="defaul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91381" w14:textId="77777777" w:rsidR="00250F8E" w:rsidRDefault="00250F8E" w:rsidP="00BA060D">
      <w:r>
        <w:separator/>
      </w:r>
    </w:p>
  </w:endnote>
  <w:endnote w:type="continuationSeparator" w:id="0">
    <w:p w14:paraId="7493A820" w14:textId="77777777" w:rsidR="00250F8E" w:rsidRDefault="00250F8E" w:rsidP="00BA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9FEE" w14:textId="437C380E" w:rsidR="00BA060D" w:rsidRPr="00BA060D" w:rsidRDefault="00CF57F4">
    <w:pPr>
      <w:pStyle w:val="Footer"/>
      <w:jc w:val="center"/>
    </w:pPr>
    <w:r>
      <w:tab/>
    </w:r>
    <w:r w:rsidR="00BA060D" w:rsidRPr="00BA060D">
      <w:t xml:space="preserve">Page </w:t>
    </w:r>
    <w:r w:rsidR="00BA060D" w:rsidRPr="00BA060D">
      <w:fldChar w:fldCharType="begin"/>
    </w:r>
    <w:r w:rsidR="00BA060D" w:rsidRPr="00BA060D">
      <w:instrText xml:space="preserve"> PAGE  \* Arabic  \* MERGEFORMAT </w:instrText>
    </w:r>
    <w:r w:rsidR="00BA060D" w:rsidRPr="00BA060D">
      <w:fldChar w:fldCharType="separate"/>
    </w:r>
    <w:r w:rsidR="00BA060D" w:rsidRPr="00BA060D">
      <w:rPr>
        <w:noProof/>
      </w:rPr>
      <w:t>2</w:t>
    </w:r>
    <w:r w:rsidR="00BA060D" w:rsidRPr="00BA060D">
      <w:fldChar w:fldCharType="end"/>
    </w:r>
    <w:r w:rsidR="00BA060D" w:rsidRPr="00BA060D">
      <w:t xml:space="preserve"> of </w:t>
    </w:r>
    <w:fldSimple w:instr=" NUMPAGES  \* Arabic  \* MERGEFORMAT ">
      <w:r w:rsidR="00BA060D" w:rsidRPr="00BA060D">
        <w:rPr>
          <w:noProof/>
        </w:rPr>
        <w:t>2</w:t>
      </w:r>
    </w:fldSimple>
    <w:r>
      <w:rPr>
        <w:noProof/>
      </w:rPr>
      <w:tab/>
      <w:t xml:space="preserve">DIC: </w:t>
    </w:r>
    <w:r w:rsidR="00045B28">
      <w:rPr>
        <w:noProof/>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D509" w14:textId="77777777" w:rsidR="001A2E43" w:rsidRPr="00BA060D" w:rsidRDefault="001A2E43" w:rsidP="001A2E43">
    <w:pPr>
      <w:pStyle w:val="Footer"/>
      <w:jc w:val="center"/>
    </w:pPr>
    <w:r w:rsidRPr="00BA060D">
      <w:t xml:space="preserve">Page </w:t>
    </w:r>
    <w:r w:rsidRPr="00BA060D">
      <w:fldChar w:fldCharType="begin"/>
    </w:r>
    <w:r w:rsidRPr="00BA060D">
      <w:instrText xml:space="preserve"> PAGE  \* Arabic  \* MERGEFORMAT </w:instrText>
    </w:r>
    <w:r w:rsidRPr="00BA060D">
      <w:fldChar w:fldCharType="separate"/>
    </w:r>
    <w:r>
      <w:t>1</w:t>
    </w:r>
    <w:r w:rsidRPr="00BA060D">
      <w:fldChar w:fldCharType="end"/>
    </w:r>
    <w:r w:rsidRPr="00BA060D">
      <w:t xml:space="preserve"> of </w:t>
    </w:r>
    <w:fldSimple w:instr=" NUMPAGES  \* Arabic  \* MERGEFORMAT ">
      <w:r>
        <w:t>2</w:t>
      </w:r>
    </w:fldSimple>
  </w:p>
  <w:p w14:paraId="2DE189EB" w14:textId="77777777" w:rsidR="001A2E43" w:rsidRDefault="001A2E43" w:rsidP="001A2E43">
    <w:pPr>
      <w:pStyle w:val="Footer"/>
      <w:jc w:val="right"/>
    </w:pPr>
    <w:r>
      <w:t>DIC: XX</w:t>
    </w:r>
  </w:p>
  <w:p w14:paraId="530F7F8B" w14:textId="77777777" w:rsidR="001A2E43" w:rsidRDefault="001A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B36B" w14:textId="77777777" w:rsidR="00250F8E" w:rsidRDefault="00250F8E" w:rsidP="00BA060D">
      <w:r>
        <w:separator/>
      </w:r>
    </w:p>
  </w:footnote>
  <w:footnote w:type="continuationSeparator" w:id="0">
    <w:p w14:paraId="665DCB76" w14:textId="77777777" w:rsidR="00250F8E" w:rsidRDefault="00250F8E" w:rsidP="00BA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AA3"/>
    <w:multiLevelType w:val="hybridMultilevel"/>
    <w:tmpl w:val="22C691BA"/>
    <w:lvl w:ilvl="0" w:tplc="FCB8E3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8D7D4C"/>
    <w:multiLevelType w:val="hybridMultilevel"/>
    <w:tmpl w:val="0AFA5BB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E4A386E"/>
    <w:multiLevelType w:val="hybridMultilevel"/>
    <w:tmpl w:val="5B2A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B6E01"/>
    <w:multiLevelType w:val="hybridMultilevel"/>
    <w:tmpl w:val="E716C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648335">
    <w:abstractNumId w:val="0"/>
  </w:num>
  <w:num w:numId="2" w16cid:durableId="548416937">
    <w:abstractNumId w:val="2"/>
  </w:num>
  <w:num w:numId="3" w16cid:durableId="1346245970">
    <w:abstractNumId w:val="3"/>
  </w:num>
  <w:num w:numId="4" w16cid:durableId="1996178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NTExtQSyjEzMjJV0lIJTi4sz8/NACgxrAZn85H0sAAAA"/>
  </w:docVars>
  <w:rsids>
    <w:rsidRoot w:val="00747D07"/>
    <w:rsid w:val="00007614"/>
    <w:rsid w:val="000164DD"/>
    <w:rsid w:val="0002429E"/>
    <w:rsid w:val="00025DB4"/>
    <w:rsid w:val="0003749E"/>
    <w:rsid w:val="000429D1"/>
    <w:rsid w:val="000454FC"/>
    <w:rsid w:val="00045B28"/>
    <w:rsid w:val="000D41F2"/>
    <w:rsid w:val="00131397"/>
    <w:rsid w:val="00141D8C"/>
    <w:rsid w:val="001569C1"/>
    <w:rsid w:val="0017280F"/>
    <w:rsid w:val="00181181"/>
    <w:rsid w:val="001A2E43"/>
    <w:rsid w:val="001C3114"/>
    <w:rsid w:val="00231DCF"/>
    <w:rsid w:val="00236818"/>
    <w:rsid w:val="0023700F"/>
    <w:rsid w:val="00245072"/>
    <w:rsid w:val="00250F8E"/>
    <w:rsid w:val="002A1A6B"/>
    <w:rsid w:val="002D0079"/>
    <w:rsid w:val="002D71F6"/>
    <w:rsid w:val="003041DB"/>
    <w:rsid w:val="003351EA"/>
    <w:rsid w:val="0033705D"/>
    <w:rsid w:val="003442A1"/>
    <w:rsid w:val="00354FE2"/>
    <w:rsid w:val="00365259"/>
    <w:rsid w:val="00377C81"/>
    <w:rsid w:val="00386A58"/>
    <w:rsid w:val="00397C41"/>
    <w:rsid w:val="003C0620"/>
    <w:rsid w:val="003C2C85"/>
    <w:rsid w:val="003D0585"/>
    <w:rsid w:val="003D1057"/>
    <w:rsid w:val="003D58E4"/>
    <w:rsid w:val="003D754F"/>
    <w:rsid w:val="003F1F74"/>
    <w:rsid w:val="0040713C"/>
    <w:rsid w:val="00412935"/>
    <w:rsid w:val="00461035"/>
    <w:rsid w:val="00493BF7"/>
    <w:rsid w:val="004941AC"/>
    <w:rsid w:val="00494817"/>
    <w:rsid w:val="0049797D"/>
    <w:rsid w:val="004A7266"/>
    <w:rsid w:val="004D06D9"/>
    <w:rsid w:val="004E3265"/>
    <w:rsid w:val="00501822"/>
    <w:rsid w:val="0053245B"/>
    <w:rsid w:val="00542993"/>
    <w:rsid w:val="00550292"/>
    <w:rsid w:val="00575797"/>
    <w:rsid w:val="00586445"/>
    <w:rsid w:val="005A2E84"/>
    <w:rsid w:val="005A3094"/>
    <w:rsid w:val="005B48AB"/>
    <w:rsid w:val="0060631A"/>
    <w:rsid w:val="00620567"/>
    <w:rsid w:val="006404BC"/>
    <w:rsid w:val="006800C3"/>
    <w:rsid w:val="006C1039"/>
    <w:rsid w:val="006C31FE"/>
    <w:rsid w:val="006C4F32"/>
    <w:rsid w:val="006F3679"/>
    <w:rsid w:val="006F7708"/>
    <w:rsid w:val="00712DE2"/>
    <w:rsid w:val="00747D07"/>
    <w:rsid w:val="00761A33"/>
    <w:rsid w:val="00771429"/>
    <w:rsid w:val="007831B6"/>
    <w:rsid w:val="00786EBF"/>
    <w:rsid w:val="007A1E88"/>
    <w:rsid w:val="007B1150"/>
    <w:rsid w:val="007C2A40"/>
    <w:rsid w:val="007D7025"/>
    <w:rsid w:val="007F00FA"/>
    <w:rsid w:val="00810B17"/>
    <w:rsid w:val="008214B6"/>
    <w:rsid w:val="00821F43"/>
    <w:rsid w:val="00865013"/>
    <w:rsid w:val="00896BE5"/>
    <w:rsid w:val="008B3341"/>
    <w:rsid w:val="008C2AE7"/>
    <w:rsid w:val="008D301E"/>
    <w:rsid w:val="00924B9E"/>
    <w:rsid w:val="009459F5"/>
    <w:rsid w:val="00953835"/>
    <w:rsid w:val="00976958"/>
    <w:rsid w:val="009D0622"/>
    <w:rsid w:val="009D6CDC"/>
    <w:rsid w:val="00A30852"/>
    <w:rsid w:val="00A54BF6"/>
    <w:rsid w:val="00A6661D"/>
    <w:rsid w:val="00A76DB3"/>
    <w:rsid w:val="00AB1A55"/>
    <w:rsid w:val="00AC67C5"/>
    <w:rsid w:val="00AE674B"/>
    <w:rsid w:val="00B17D68"/>
    <w:rsid w:val="00B803FD"/>
    <w:rsid w:val="00B814D8"/>
    <w:rsid w:val="00B85919"/>
    <w:rsid w:val="00BA060D"/>
    <w:rsid w:val="00BA35A0"/>
    <w:rsid w:val="00BC2DEB"/>
    <w:rsid w:val="00C30BD7"/>
    <w:rsid w:val="00C5576A"/>
    <w:rsid w:val="00C75D9B"/>
    <w:rsid w:val="00C869D5"/>
    <w:rsid w:val="00CA0CA5"/>
    <w:rsid w:val="00CB6A8E"/>
    <w:rsid w:val="00CF1862"/>
    <w:rsid w:val="00CF57F4"/>
    <w:rsid w:val="00D52A72"/>
    <w:rsid w:val="00D55FC5"/>
    <w:rsid w:val="00D735DF"/>
    <w:rsid w:val="00D761DC"/>
    <w:rsid w:val="00DE069E"/>
    <w:rsid w:val="00DE2745"/>
    <w:rsid w:val="00E229BD"/>
    <w:rsid w:val="00E23A2C"/>
    <w:rsid w:val="00E3779F"/>
    <w:rsid w:val="00E4196A"/>
    <w:rsid w:val="00E60D95"/>
    <w:rsid w:val="00E76B05"/>
    <w:rsid w:val="00EA691E"/>
    <w:rsid w:val="00ED066F"/>
    <w:rsid w:val="00EE6F6C"/>
    <w:rsid w:val="00EF2FB1"/>
    <w:rsid w:val="00F24B5B"/>
    <w:rsid w:val="00F31B85"/>
    <w:rsid w:val="00F44A18"/>
    <w:rsid w:val="00F45600"/>
    <w:rsid w:val="00F47FDD"/>
    <w:rsid w:val="00F510A9"/>
    <w:rsid w:val="00F57302"/>
    <w:rsid w:val="00FC7194"/>
    <w:rsid w:val="00FF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7DC5"/>
  <w15:chartTrackingRefBased/>
  <w15:docId w15:val="{02E457A7-F8D3-4CDA-9D39-D2E5ECC7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BF7"/>
    <w:pPr>
      <w:spacing w:after="0" w:line="240" w:lineRule="auto"/>
      <w:outlineLvl w:val="5"/>
    </w:pPr>
    <w:rPr>
      <w:rFonts w:eastAsia="Times New Roman" w:cs="Times New Roman"/>
      <w:sz w:val="24"/>
      <w:szCs w:val="24"/>
    </w:rPr>
  </w:style>
  <w:style w:type="paragraph" w:styleId="Heading1">
    <w:name w:val="heading 1"/>
    <w:basedOn w:val="Normal"/>
    <w:next w:val="Normal"/>
    <w:link w:val="Heading1Char"/>
    <w:qFormat/>
    <w:rsid w:val="00821F43"/>
    <w:pPr>
      <w:jc w:val="center"/>
      <w:outlineLvl w:val="0"/>
    </w:pPr>
    <w:rPr>
      <w:noProof/>
      <w:color w:val="007DA5"/>
      <w:sz w:val="48"/>
      <w:szCs w:val="48"/>
    </w:rPr>
  </w:style>
  <w:style w:type="paragraph" w:styleId="Heading2">
    <w:name w:val="heading 2"/>
    <w:basedOn w:val="Heading1"/>
    <w:next w:val="Normal"/>
    <w:link w:val="Heading2Char"/>
    <w:qFormat/>
    <w:rsid w:val="00821F43"/>
    <w:pPr>
      <w:outlineLvl w:val="1"/>
    </w:pPr>
    <w:rPr>
      <w:b/>
      <w:color w:val="auto"/>
      <w:sz w:val="32"/>
    </w:rPr>
  </w:style>
  <w:style w:type="paragraph" w:styleId="Heading3">
    <w:name w:val="heading 3"/>
    <w:basedOn w:val="Heading2"/>
    <w:next w:val="Normal"/>
    <w:link w:val="Heading3Char"/>
    <w:qFormat/>
    <w:rsid w:val="00821F43"/>
    <w:pPr>
      <w:jc w:val="left"/>
      <w:outlineLvl w:val="2"/>
    </w:pPr>
    <w:rPr>
      <w:b w:val="0"/>
      <w:bCs/>
      <w:color w:val="007DA5"/>
      <w:szCs w:val="36"/>
    </w:rPr>
  </w:style>
  <w:style w:type="paragraph" w:styleId="Heading4">
    <w:name w:val="heading 4"/>
    <w:basedOn w:val="Normal"/>
    <w:next w:val="Normal"/>
    <w:link w:val="Heading4Char"/>
    <w:uiPriority w:val="9"/>
    <w:unhideWhenUsed/>
    <w:qFormat/>
    <w:rsid w:val="003C0620"/>
    <w:pPr>
      <w:keepNext/>
      <w:keepLines/>
      <w:spacing w:before="40"/>
      <w:outlineLvl w:val="3"/>
    </w:pPr>
    <w:rPr>
      <w:rFonts w:ascii="Calibri" w:eastAsiaTheme="majorEastAsia" w:hAnsi="Calibri" w:cstheme="majorBidi"/>
      <w:b/>
      <w:iCs/>
      <w:sz w:val="28"/>
    </w:rPr>
  </w:style>
  <w:style w:type="paragraph" w:styleId="Heading5">
    <w:name w:val="heading 5"/>
    <w:basedOn w:val="Normal"/>
    <w:next w:val="Normal"/>
    <w:link w:val="Heading5Char"/>
    <w:uiPriority w:val="9"/>
    <w:unhideWhenUsed/>
    <w:qFormat/>
    <w:rsid w:val="00F57302"/>
    <w:pPr>
      <w:keepNext/>
      <w:keepLines/>
      <w:spacing w:before="40"/>
      <w:outlineLvl w:val="4"/>
    </w:pPr>
    <w:rPr>
      <w:rFonts w:asciiTheme="majorHAnsi" w:eastAsiaTheme="majorEastAsia" w:hAnsiTheme="majorHAnsi" w:cstheme="majorBidi"/>
      <w:i/>
      <w:sz w:val="28"/>
    </w:rPr>
  </w:style>
  <w:style w:type="paragraph" w:styleId="Heading6">
    <w:name w:val="heading 6"/>
    <w:basedOn w:val="Heading5"/>
    <w:next w:val="Normal"/>
    <w:link w:val="Heading6Char"/>
    <w:qFormat/>
    <w:rsid w:val="00BA060D"/>
    <w:pPr>
      <w:keepNext w:val="0"/>
      <w:keepLines w:val="0"/>
      <w:spacing w:before="0"/>
      <w:outlineLvl w:val="5"/>
    </w:pPr>
    <w:rPr>
      <w:rFonts w:asciiTheme="minorHAnsi" w:eastAsia="Times New Roman" w:hAnsiTheme="minorHAns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43"/>
    <w:rPr>
      <w:rFonts w:eastAsia="Times New Roman" w:cs="Times New Roman"/>
      <w:noProof/>
      <w:color w:val="007DA5"/>
      <w:sz w:val="48"/>
      <w:szCs w:val="48"/>
    </w:rPr>
  </w:style>
  <w:style w:type="character" w:customStyle="1" w:styleId="Heading2Char">
    <w:name w:val="Heading 2 Char"/>
    <w:basedOn w:val="DefaultParagraphFont"/>
    <w:link w:val="Heading2"/>
    <w:rsid w:val="00821F43"/>
    <w:rPr>
      <w:rFonts w:eastAsia="Times New Roman" w:cs="Times New Roman"/>
      <w:b/>
      <w:noProof/>
      <w:sz w:val="32"/>
      <w:szCs w:val="48"/>
    </w:rPr>
  </w:style>
  <w:style w:type="character" w:customStyle="1" w:styleId="Heading3Char">
    <w:name w:val="Heading 3 Char"/>
    <w:basedOn w:val="DefaultParagraphFont"/>
    <w:link w:val="Heading3"/>
    <w:rsid w:val="00821F43"/>
    <w:rPr>
      <w:rFonts w:eastAsia="Times New Roman" w:cs="Times New Roman"/>
      <w:color w:val="007DA5"/>
      <w:sz w:val="32"/>
      <w:szCs w:val="36"/>
    </w:rPr>
  </w:style>
  <w:style w:type="character" w:customStyle="1" w:styleId="Heading6Char">
    <w:name w:val="Heading 6 Char"/>
    <w:basedOn w:val="DefaultParagraphFont"/>
    <w:link w:val="Heading6"/>
    <w:rsid w:val="00BA060D"/>
    <w:rPr>
      <w:rFonts w:eastAsia="Times New Roman" w:cs="Times New Roman"/>
      <w:sz w:val="24"/>
      <w:szCs w:val="24"/>
    </w:rPr>
  </w:style>
  <w:style w:type="character" w:customStyle="1" w:styleId="Heading5Char">
    <w:name w:val="Heading 5 Char"/>
    <w:basedOn w:val="DefaultParagraphFont"/>
    <w:link w:val="Heading5"/>
    <w:uiPriority w:val="9"/>
    <w:rsid w:val="00F57302"/>
    <w:rPr>
      <w:rFonts w:asciiTheme="majorHAnsi" w:eastAsiaTheme="majorEastAsia" w:hAnsiTheme="majorHAnsi" w:cstheme="majorBidi"/>
      <w:i/>
      <w:sz w:val="28"/>
      <w:szCs w:val="24"/>
    </w:rPr>
  </w:style>
  <w:style w:type="paragraph" w:styleId="Header">
    <w:name w:val="header"/>
    <w:basedOn w:val="Normal"/>
    <w:link w:val="HeaderChar"/>
    <w:uiPriority w:val="99"/>
    <w:unhideWhenUsed/>
    <w:rsid w:val="00BA060D"/>
    <w:pPr>
      <w:tabs>
        <w:tab w:val="center" w:pos="4680"/>
        <w:tab w:val="right" w:pos="9360"/>
      </w:tabs>
    </w:pPr>
  </w:style>
  <w:style w:type="character" w:customStyle="1" w:styleId="HeaderChar">
    <w:name w:val="Header Char"/>
    <w:basedOn w:val="DefaultParagraphFont"/>
    <w:link w:val="Header"/>
    <w:uiPriority w:val="99"/>
    <w:rsid w:val="00BA060D"/>
    <w:rPr>
      <w:rFonts w:eastAsia="Times New Roman" w:cs="Times New Roman"/>
      <w:sz w:val="24"/>
      <w:szCs w:val="24"/>
    </w:rPr>
  </w:style>
  <w:style w:type="paragraph" w:styleId="Footer">
    <w:name w:val="footer"/>
    <w:basedOn w:val="Normal"/>
    <w:link w:val="FooterChar"/>
    <w:uiPriority w:val="99"/>
    <w:unhideWhenUsed/>
    <w:rsid w:val="00BA060D"/>
    <w:pPr>
      <w:tabs>
        <w:tab w:val="center" w:pos="4680"/>
        <w:tab w:val="right" w:pos="9360"/>
      </w:tabs>
    </w:pPr>
  </w:style>
  <w:style w:type="character" w:customStyle="1" w:styleId="FooterChar">
    <w:name w:val="Footer Char"/>
    <w:basedOn w:val="DefaultParagraphFont"/>
    <w:link w:val="Footer"/>
    <w:uiPriority w:val="99"/>
    <w:rsid w:val="00BA060D"/>
    <w:rPr>
      <w:rFonts w:eastAsia="Times New Roman" w:cs="Times New Roman"/>
      <w:sz w:val="24"/>
      <w:szCs w:val="24"/>
    </w:rPr>
  </w:style>
  <w:style w:type="character" w:styleId="Hyperlink">
    <w:name w:val="Hyperlink"/>
    <w:basedOn w:val="DefaultParagraphFont"/>
    <w:uiPriority w:val="99"/>
    <w:unhideWhenUsed/>
    <w:rsid w:val="0002429E"/>
    <w:rPr>
      <w:color w:val="0563C1"/>
      <w:u w:val="single"/>
    </w:rPr>
  </w:style>
  <w:style w:type="character" w:styleId="UnresolvedMention">
    <w:name w:val="Unresolved Mention"/>
    <w:basedOn w:val="DefaultParagraphFont"/>
    <w:uiPriority w:val="99"/>
    <w:semiHidden/>
    <w:unhideWhenUsed/>
    <w:rsid w:val="003442A1"/>
    <w:rPr>
      <w:color w:val="605E5C"/>
      <w:shd w:val="clear" w:color="auto" w:fill="E1DFDD"/>
    </w:rPr>
  </w:style>
  <w:style w:type="table" w:styleId="TableGrid">
    <w:name w:val="Table Grid"/>
    <w:basedOn w:val="TableNormal"/>
    <w:uiPriority w:val="39"/>
    <w:rsid w:val="003351EA"/>
    <w:pPr>
      <w:spacing w:after="0" w:line="240" w:lineRule="auto"/>
    </w:pPr>
    <w:rPr>
      <w:rFonts w:ascii="Calibri" w:hAnsi="Calibri" w:cs="Calibri"/>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41DB"/>
    <w:pPr>
      <w:ind w:left="720"/>
      <w:contextualSpacing/>
    </w:pPr>
  </w:style>
  <w:style w:type="character" w:customStyle="1" w:styleId="Heading4Char">
    <w:name w:val="Heading 4 Char"/>
    <w:basedOn w:val="DefaultParagraphFont"/>
    <w:link w:val="Heading4"/>
    <w:uiPriority w:val="9"/>
    <w:rsid w:val="003C0620"/>
    <w:rPr>
      <w:rFonts w:ascii="Calibri" w:eastAsiaTheme="majorEastAsia" w:hAnsi="Calibri" w:cstheme="majorBidi"/>
      <w:b/>
      <w:iCs/>
      <w:sz w:val="28"/>
      <w:szCs w:val="24"/>
    </w:rPr>
  </w:style>
  <w:style w:type="character" w:styleId="FollowedHyperlink">
    <w:name w:val="FollowedHyperlink"/>
    <w:basedOn w:val="DefaultParagraphFont"/>
    <w:uiPriority w:val="99"/>
    <w:semiHidden/>
    <w:unhideWhenUsed/>
    <w:rsid w:val="007B1150"/>
    <w:rPr>
      <w:color w:val="954F72" w:themeColor="followedHyperlink"/>
      <w:u w:val="single"/>
    </w:rPr>
  </w:style>
  <w:style w:type="character" w:styleId="CommentReference">
    <w:name w:val="annotation reference"/>
    <w:basedOn w:val="DefaultParagraphFont"/>
    <w:uiPriority w:val="99"/>
    <w:semiHidden/>
    <w:unhideWhenUsed/>
    <w:rsid w:val="007B1150"/>
    <w:rPr>
      <w:sz w:val="16"/>
      <w:szCs w:val="16"/>
    </w:rPr>
  </w:style>
  <w:style w:type="paragraph" w:styleId="CommentText">
    <w:name w:val="annotation text"/>
    <w:basedOn w:val="Normal"/>
    <w:link w:val="CommentTextChar"/>
    <w:uiPriority w:val="99"/>
    <w:unhideWhenUsed/>
    <w:rsid w:val="007B1150"/>
    <w:rPr>
      <w:sz w:val="20"/>
      <w:szCs w:val="20"/>
    </w:rPr>
  </w:style>
  <w:style w:type="character" w:customStyle="1" w:styleId="CommentTextChar">
    <w:name w:val="Comment Text Char"/>
    <w:basedOn w:val="DefaultParagraphFont"/>
    <w:link w:val="CommentText"/>
    <w:uiPriority w:val="99"/>
    <w:rsid w:val="007B115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1150"/>
    <w:rPr>
      <w:b/>
      <w:bCs/>
    </w:rPr>
  </w:style>
  <w:style w:type="character" w:customStyle="1" w:styleId="CommentSubjectChar">
    <w:name w:val="Comment Subject Char"/>
    <w:basedOn w:val="CommentTextChar"/>
    <w:link w:val="CommentSubject"/>
    <w:uiPriority w:val="99"/>
    <w:semiHidden/>
    <w:rsid w:val="007B1150"/>
    <w:rPr>
      <w:rFonts w:eastAsia="Times New Roman" w:cs="Times New Roman"/>
      <w:b/>
      <w:bCs/>
      <w:sz w:val="20"/>
      <w:szCs w:val="20"/>
    </w:rPr>
  </w:style>
  <w:style w:type="paragraph" w:styleId="Revision">
    <w:name w:val="Revision"/>
    <w:hidden/>
    <w:uiPriority w:val="99"/>
    <w:semiHidden/>
    <w:rsid w:val="00494817"/>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3/plaws/publ128/PLAW-113publ128.pdf" TargetMode="External"/><Relationship Id="rId18" Type="http://schemas.openxmlformats.org/officeDocument/2006/relationships/hyperlink" Target="https://cwdb.ca.gov/wp-content/uploads/sites/43/2026/02/2024-WIOA-Annual-Report.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lsteelma\AppData\Local\Microsoft\Windows\INetCache\Content.Outlook\AZQU75AZ\PolicyUnit@cwdb.ca.gov"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dol.gov/agencies/eta/advisories/tegl-05-18-change-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wdb.ca.gov/cwdb-home/reports/ca-unified-strategic-workforce-development-plan/" TargetMode="External"/><Relationship Id="rId20" Type="http://schemas.openxmlformats.org/officeDocument/2006/relationships/hyperlink" Target="mailto:PolicyUnit@cwdb.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edd.ca.gov/siteassets/files/jobs_and_training/pubs/wsd25-03att3.docx" TargetMode="External"/><Relationship Id="rId5" Type="http://schemas.openxmlformats.org/officeDocument/2006/relationships/numbering" Target="numbering.xml"/><Relationship Id="rId15" Type="http://schemas.openxmlformats.org/officeDocument/2006/relationships/hyperlink" Target="https://www.dol.gov/agencies/eta/advisories/tegl-05-18-change-1" TargetMode="External"/><Relationship Id="rId23" Type="http://schemas.openxmlformats.org/officeDocument/2006/relationships/hyperlink" Target="https://edd.ca.gov/siteassets/files/jobs_and_training/pubs/wsd25-03att2.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wdb.ca.gov/cwdb-home/reports/ca-unified-strategic-workforce-development-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l.gov/agencies/eta/advisories/training-and-employment-guidance-letter-no-08-18" TargetMode="External"/><Relationship Id="rId22" Type="http://schemas.openxmlformats.org/officeDocument/2006/relationships/hyperlink" Target="https://edd.ca.gov/siteassets/files/jobs_and_training/pubs/wsd25-03att1.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irective" ma:contentTypeID="0x01010012F9BFEE42FF354E95F3B449CB393972009A2F73B02CA79544B53E581EFA37E632" ma:contentTypeVersion="10" ma:contentTypeDescription="" ma:contentTypeScope="" ma:versionID="9e6feabc5b9d0cdd09a85fe8b83e3d76">
  <xsd:schema xmlns:xsd="http://www.w3.org/2001/XMLSchema" xmlns:xs="http://www.w3.org/2001/XMLSchema" xmlns:p="http://schemas.microsoft.com/office/2006/metadata/properties" targetNamespace="http://schemas.microsoft.com/office/2006/metadata/properties" ma:root="true" ma:fieldsID="92a620696f3a486d1c15ca9c73122f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39C14E-7521-48DE-B0BD-9149F566B65D}">
  <ds:schemaRefs>
    <ds:schemaRef ds:uri="http://schemas.openxmlformats.org/officeDocument/2006/bibliography"/>
  </ds:schemaRefs>
</ds:datastoreItem>
</file>

<file path=customXml/itemProps2.xml><?xml version="1.0" encoding="utf-8"?>
<ds:datastoreItem xmlns:ds="http://schemas.openxmlformats.org/officeDocument/2006/customXml" ds:itemID="{DFC44123-8EBE-4382-A1EB-B46EC37CE1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E610F6-B4B3-4EE7-A5A4-386854AE5FFD}">
  <ds:schemaRefs>
    <ds:schemaRef ds:uri="http://schemas.microsoft.com/sharepoint/v3/contenttype/forms"/>
  </ds:schemaRefs>
</ds:datastoreItem>
</file>

<file path=customXml/itemProps4.xml><?xml version="1.0" encoding="utf-8"?>
<ds:datastoreItem xmlns:ds="http://schemas.openxmlformats.org/officeDocument/2006/customXml" ds:itemID="{3F880BA2-52B4-4D56-BA11-267689AC7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List>
</file>

<file path=docProps/app.xml><?xml version="1.0" encoding="utf-8"?>
<Properties xmlns="http://schemas.openxmlformats.org/officeDocument/2006/extended-properties" xmlns:vt="http://schemas.openxmlformats.org/officeDocument/2006/docPropsVTypes">
  <Template>Normal</Template>
  <TotalTime>23</TotalTime>
  <Pages>5</Pages>
  <Words>1703</Words>
  <Characters>9352</Characters>
  <Application>Microsoft Office Word</Application>
  <DocSecurity>0</DocSecurity>
  <Lines>212</Lines>
  <Paragraphs>86</Paragraphs>
  <ScaleCrop>false</ScaleCrop>
  <HeadingPairs>
    <vt:vector size="2" baseType="variant">
      <vt:variant>
        <vt:lpstr>Title</vt:lpstr>
      </vt:variant>
      <vt:variant>
        <vt:i4>1</vt:i4>
      </vt:variant>
    </vt:vector>
  </HeadingPairs>
  <TitlesOfParts>
    <vt:vector size="1" baseType="lpstr">
      <vt:lpstr>WIOA Waiver Guidance - Transitional Jobs and On-the-Job Training</vt:lpstr>
    </vt:vector>
  </TitlesOfParts>
  <Company>Employment Development Department</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WIOA Waiver Guidance - Transitional Jobs and On-the-Job Training</dc:title>
  <dc:subject/>
  <dc:creator>Workforce Services</dc:creator>
  <cp:keywords/>
  <dc:description/>
  <cp:lastModifiedBy>Richardson, Jeffrey@EDD</cp:lastModifiedBy>
  <cp:revision>7</cp:revision>
  <dcterms:created xsi:type="dcterms:W3CDTF">2026-04-03T19:42:00Z</dcterms:created>
  <dcterms:modified xsi:type="dcterms:W3CDTF">2026-04-09T17:46:00Z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0x01010012F9BFEE42FF354E95F3B449CB393972009A2F73B02CA79544B53E581EFA37E632</vt:lpwstr>
  </property>
  <property fmtid="{D5CDD505-2E9C-101B-9397-08002B2CF9AE}" pid="3" name="GrammarlyDocumentId">
    <vt:lpwstr>b7fc5602-4abe-4d5c-af40-f5bc3fc6ef06</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