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2167" w14:textId="77777777" w:rsidR="00423EEA" w:rsidRDefault="00423EEA" w:rsidP="00786D5F">
      <w:pPr>
        <w:pStyle w:val="Heading2"/>
        <w:jc w:val="left"/>
        <w:sectPr w:rsidR="00423EEA" w:rsidSect="00B10C2B">
          <w:footerReference w:type="default" r:id="rId10"/>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1973"/>
        <w:gridCol w:w="5311"/>
        <w:gridCol w:w="2076"/>
      </w:tblGrid>
      <w:tr w:rsidR="00C62B97" w:rsidRPr="00C62B97" w14:paraId="74566520" w14:textId="77777777" w:rsidTr="00C62B97">
        <w:tc>
          <w:tcPr>
            <w:tcW w:w="1973" w:type="dxa"/>
          </w:tcPr>
          <w:p w14:paraId="2C8357CB" w14:textId="77777777" w:rsidR="00C62B97" w:rsidRPr="00C62B97" w:rsidRDefault="00C62B97" w:rsidP="00C62B97">
            <w:pPr>
              <w:outlineLvl w:val="9"/>
              <w:rPr>
                <w:rFonts w:ascii="Calibri" w:eastAsia="Aptos" w:hAnsi="Calibri" w:cs="Calibri"/>
                <w:kern w:val="2"/>
                <w:szCs w:val="22"/>
                <w14:ligatures w14:val="standardContextual"/>
              </w:rPr>
            </w:pPr>
            <w:bookmarkStart w:id="0" w:name="_Hlk185339338"/>
            <w:r w:rsidRPr="00C62B97">
              <w:rPr>
                <w:rFonts w:ascii="Calibri" w:hAnsi="Calibri"/>
                <w:noProof/>
              </w:rPr>
              <w:drawing>
                <wp:inline distT="0" distB="0" distL="0" distR="0" wp14:anchorId="6C7E1BCB" wp14:editId="3CFD2F1C">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45CBC576" w14:textId="77777777" w:rsidR="00C62B97" w:rsidRPr="00C62B97" w:rsidRDefault="00C62B97" w:rsidP="00C62B97">
            <w:pPr>
              <w:jc w:val="center"/>
              <w:outlineLvl w:val="0"/>
              <w:rPr>
                <w:rFonts w:ascii="Calibri" w:hAnsi="Calibri"/>
                <w:noProof/>
                <w:color w:val="007DA5"/>
                <w:sz w:val="48"/>
                <w:szCs w:val="48"/>
              </w:rPr>
            </w:pPr>
            <w:r w:rsidRPr="00C62B97">
              <w:rPr>
                <w:rFonts w:ascii="Calibri" w:hAnsi="Calibri"/>
                <w:noProof/>
                <w:color w:val="007DA5"/>
                <w:sz w:val="48"/>
                <w:szCs w:val="48"/>
              </w:rPr>
              <w:t>Directive</w:t>
            </w:r>
          </w:p>
          <w:p w14:paraId="35631AFB" w14:textId="63FCDC02" w:rsidR="00C62B97" w:rsidRPr="00C62B97" w:rsidRDefault="00C62B97" w:rsidP="00C62B97">
            <w:pPr>
              <w:jc w:val="center"/>
              <w:outlineLvl w:val="9"/>
              <w:rPr>
                <w:rFonts w:ascii="Calibri" w:eastAsia="Aptos" w:hAnsi="Calibri" w:cs="Calibri"/>
                <w:kern w:val="2"/>
                <w:szCs w:val="22"/>
                <w14:ligatures w14:val="standardContextual"/>
              </w:rPr>
            </w:pPr>
            <w:r w:rsidRPr="00C62B97">
              <w:rPr>
                <w:rFonts w:ascii="Calibri" w:hAnsi="Calibri"/>
                <w:b/>
              </w:rPr>
              <w:t xml:space="preserve">Date: </w:t>
            </w:r>
            <w:r w:rsidR="00C63C8D">
              <w:rPr>
                <w:rFonts w:ascii="Calibri" w:hAnsi="Calibri"/>
                <w:bCs/>
              </w:rPr>
              <w:t xml:space="preserve">January 23, </w:t>
            </w:r>
            <w:proofErr w:type="gramStart"/>
            <w:r w:rsidR="00C63C8D">
              <w:rPr>
                <w:rFonts w:ascii="Calibri" w:hAnsi="Calibri"/>
                <w:bCs/>
              </w:rPr>
              <w:t>2026</w:t>
            </w:r>
            <w:proofErr w:type="gramEnd"/>
            <w:r w:rsidRPr="00C62B97">
              <w:rPr>
                <w:rFonts w:ascii="Calibri" w:hAnsi="Calibri"/>
                <w:b/>
              </w:rPr>
              <w:t xml:space="preserve"> </w:t>
            </w:r>
            <w:r w:rsidR="00947BD1">
              <w:rPr>
                <w:rFonts w:ascii="Calibri" w:hAnsi="Calibri"/>
                <w:b/>
              </w:rPr>
              <w:t xml:space="preserve">           </w:t>
            </w:r>
            <w:r w:rsidRPr="00C62B97">
              <w:rPr>
                <w:rFonts w:ascii="Calibri" w:hAnsi="Calibri"/>
                <w:b/>
              </w:rPr>
              <w:t xml:space="preserve">Number: </w:t>
            </w:r>
            <w:r w:rsidRPr="00C62B97">
              <w:rPr>
                <w:rFonts w:ascii="Calibri" w:hAnsi="Calibri"/>
              </w:rPr>
              <w:t>WS</w:t>
            </w:r>
            <w:r w:rsidR="006572E1">
              <w:rPr>
                <w:rFonts w:ascii="Calibri" w:hAnsi="Calibri"/>
              </w:rPr>
              <w:t>D</w:t>
            </w:r>
            <w:r w:rsidR="00C63C8D">
              <w:rPr>
                <w:rFonts w:ascii="Calibri" w:hAnsi="Calibri"/>
              </w:rPr>
              <w:t>25</w:t>
            </w:r>
            <w:r w:rsidRPr="00C62B97">
              <w:rPr>
                <w:rFonts w:ascii="Calibri" w:hAnsi="Calibri"/>
              </w:rPr>
              <w:t>-</w:t>
            </w:r>
            <w:r w:rsidR="00C63C8D">
              <w:rPr>
                <w:rFonts w:ascii="Calibri" w:hAnsi="Calibri"/>
              </w:rPr>
              <w:t>01</w:t>
            </w:r>
          </w:p>
        </w:tc>
        <w:tc>
          <w:tcPr>
            <w:tcW w:w="2076" w:type="dxa"/>
          </w:tcPr>
          <w:p w14:paraId="360EE43A" w14:textId="77777777"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58052275" wp14:editId="56FBAF7A">
                  <wp:extent cx="1180800" cy="419100"/>
                  <wp:effectExtent l="0" t="0" r="635"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5123" cy="424184"/>
                          </a:xfrm>
                          <a:prstGeom prst="rect">
                            <a:avLst/>
                          </a:prstGeom>
                          <a:noFill/>
                          <a:ln>
                            <a:noFill/>
                          </a:ln>
                        </pic:spPr>
                      </pic:pic>
                    </a:graphicData>
                  </a:graphic>
                </wp:inline>
              </w:drawing>
            </w:r>
          </w:p>
        </w:tc>
      </w:tr>
    </w:tbl>
    <w:p w14:paraId="31727795"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0"/>
    <w:p w14:paraId="0F626BD2" w14:textId="77777777" w:rsidR="00423EEA" w:rsidRDefault="00423EEA" w:rsidP="00C62B97"/>
    <w:p w14:paraId="4DCEFEDA" w14:textId="77777777" w:rsidR="00F42516" w:rsidRPr="00F42516" w:rsidRDefault="00234CA0" w:rsidP="00F42516">
      <w:pPr>
        <w:pStyle w:val="Heading2"/>
      </w:pPr>
      <w:r>
        <w:t>H</w:t>
      </w:r>
      <w:r w:rsidR="00B125B2">
        <w:t>igh Performing Boards</w:t>
      </w:r>
      <w:r w:rsidR="00F42516" w:rsidRPr="00F42516">
        <w:br/>
      </w:r>
    </w:p>
    <w:p w14:paraId="1913C771" w14:textId="77777777" w:rsidR="00F42516" w:rsidRPr="00F42516" w:rsidRDefault="00F42516" w:rsidP="00F42516">
      <w:pPr>
        <w:pStyle w:val="Heading3"/>
      </w:pPr>
      <w:bookmarkStart w:id="1" w:name="_Hlk146794571"/>
      <w:r w:rsidRPr="00F42516">
        <w:t>Executive Summary</w:t>
      </w:r>
      <w:bookmarkEnd w:id="1"/>
    </w:p>
    <w:p w14:paraId="26D6F027" w14:textId="77777777" w:rsidR="00F42516" w:rsidRDefault="00F42516" w:rsidP="00F42516">
      <w:pPr>
        <w:pBdr>
          <w:bottom w:val="double" w:sz="12" w:space="1" w:color="E58E1A"/>
        </w:pBdr>
        <w:outlineLvl w:val="9"/>
      </w:pPr>
    </w:p>
    <w:p w14:paraId="1EC7C131" w14:textId="0977EA98" w:rsidR="00C731D9" w:rsidRDefault="00C63C8D" w:rsidP="00234CA0">
      <w:r w:rsidRPr="00C63C8D">
        <w:t>This policy provides the guidance and establishes the procedures</w:t>
      </w:r>
      <w:r w:rsidR="00234CA0">
        <w:t xml:space="preserve"> regarding the criteria Local Workforce Development Boards (Local Board) must meet to be certified as a High Performing Board and the procedures for certification/recertification. This policy applies to all Local Boards and is effective immediately.</w:t>
      </w:r>
      <w:r w:rsidR="00234CA0">
        <w:br/>
      </w:r>
      <w:r w:rsidR="00234CA0">
        <w:br/>
        <w:t>This policy restates applicable legal requirements</w:t>
      </w:r>
      <w:r w:rsidR="00234CA0" w:rsidRPr="00F6197C">
        <w:t>.</w:t>
      </w:r>
    </w:p>
    <w:p w14:paraId="704B310A" w14:textId="77777777" w:rsidR="00C731D9" w:rsidRDefault="00C731D9" w:rsidP="00234CA0"/>
    <w:p w14:paraId="0FA54E56" w14:textId="77777777" w:rsidR="00234CA0" w:rsidRPr="00F42516" w:rsidRDefault="00C731D9" w:rsidP="00234CA0">
      <w:r w:rsidRPr="00C731D9">
        <w:t xml:space="preserve">This Directive finalizes Workforce Services Draft Directive </w:t>
      </w:r>
      <w:r w:rsidRPr="00E84D2C">
        <w:rPr>
          <w:i/>
          <w:iCs/>
        </w:rPr>
        <w:t>High Performing Boards</w:t>
      </w:r>
      <w:r>
        <w:t xml:space="preserve"> </w:t>
      </w:r>
      <w:r w:rsidRPr="00C731D9">
        <w:t>WSDD-26</w:t>
      </w:r>
      <w:r>
        <w:t>9</w:t>
      </w:r>
      <w:r w:rsidRPr="00C731D9">
        <w:t xml:space="preserve">, issued for comment on </w:t>
      </w:r>
      <w:r w:rsidR="00077AAB">
        <w:t>November 3, 2025</w:t>
      </w:r>
      <w:r w:rsidRPr="00C731D9">
        <w:t>. The Workforce Development Community submitted no comments during the draft comment period.</w:t>
      </w:r>
      <w:r w:rsidR="00234CA0">
        <w:br/>
      </w:r>
      <w:r w:rsidR="00234CA0">
        <w:br/>
        <w:t xml:space="preserve">This policy supersedes Workforce Services Directive </w:t>
      </w:r>
      <w:r w:rsidR="00234CA0" w:rsidRPr="00C63C8D">
        <w:rPr>
          <w:i/>
          <w:iCs/>
        </w:rPr>
        <w:t>High Performing Boards</w:t>
      </w:r>
      <w:r w:rsidR="00234CA0">
        <w:t xml:space="preserve"> (WSD22-11), dated April 27, 2023. Retain this Directive until further notice.</w:t>
      </w:r>
      <w:r w:rsidR="00234CA0" w:rsidRPr="00F42516">
        <w:br/>
      </w:r>
    </w:p>
    <w:p w14:paraId="53BAFCE7" w14:textId="77777777" w:rsidR="00F42516" w:rsidRPr="00F42516" w:rsidRDefault="00F42516" w:rsidP="00F42516">
      <w:pPr>
        <w:pStyle w:val="Heading3"/>
      </w:pPr>
      <w:r w:rsidRPr="00F42516">
        <w:t>References</w:t>
      </w:r>
    </w:p>
    <w:p w14:paraId="47850495" w14:textId="77777777" w:rsidR="00F42516" w:rsidRDefault="00F42516" w:rsidP="00F42516">
      <w:pPr>
        <w:pBdr>
          <w:bottom w:val="double" w:sz="12" w:space="1" w:color="E58E1A"/>
        </w:pBdr>
        <w:outlineLvl w:val="9"/>
      </w:pPr>
    </w:p>
    <w:p w14:paraId="550D99BA" w14:textId="77777777" w:rsidR="00234CA0" w:rsidRDefault="00234CA0" w:rsidP="005E5F1F">
      <w:pPr>
        <w:pStyle w:val="ListParagraph"/>
        <w:numPr>
          <w:ilvl w:val="0"/>
          <w:numId w:val="1"/>
        </w:numPr>
      </w:pPr>
      <w:r w:rsidRPr="00C823FC">
        <w:rPr>
          <w:i/>
          <w:iCs/>
        </w:rPr>
        <w:t>Workforce Innovation and Opportunity Act</w:t>
      </w:r>
      <w:r>
        <w:t xml:space="preserve"> (WIOA) (Public Law 113-128), Section 107, Section 108, and Section 129</w:t>
      </w:r>
    </w:p>
    <w:p w14:paraId="05CF46FF" w14:textId="77777777" w:rsidR="00234CA0" w:rsidRDefault="00234CA0" w:rsidP="00234CA0">
      <w:pPr>
        <w:pStyle w:val="ListParagraph"/>
        <w:numPr>
          <w:ilvl w:val="0"/>
          <w:numId w:val="1"/>
        </w:numPr>
        <w:spacing w:before="240"/>
      </w:pPr>
      <w:r w:rsidRPr="00C823FC">
        <w:rPr>
          <w:i/>
          <w:iCs/>
        </w:rPr>
        <w:t>California Unemployment Insurance Code</w:t>
      </w:r>
      <w:r>
        <w:t xml:space="preserve"> (CUIC) Section 14200 </w:t>
      </w:r>
      <w:r w:rsidRPr="00A61734">
        <w:t xml:space="preserve">and </w:t>
      </w:r>
      <w:r w:rsidRPr="00074DAF">
        <w:t>Section 14211</w:t>
      </w:r>
    </w:p>
    <w:p w14:paraId="7BE3509E" w14:textId="54B8E159" w:rsidR="00234CA0" w:rsidRPr="00A61734" w:rsidRDefault="00234CA0" w:rsidP="00234CA0">
      <w:pPr>
        <w:pStyle w:val="ListParagraph"/>
        <w:numPr>
          <w:ilvl w:val="0"/>
          <w:numId w:val="1"/>
        </w:numPr>
        <w:spacing w:before="240"/>
      </w:pPr>
      <w:hyperlink r:id="rId13" w:history="1">
        <w:r w:rsidRPr="008B44D0">
          <w:rPr>
            <w:rStyle w:val="Hyperlink"/>
          </w:rPr>
          <w:t>Workforce Services Directive</w:t>
        </w:r>
      </w:hyperlink>
      <w:r w:rsidRPr="00A61734">
        <w:t xml:space="preserve"> WSD2</w:t>
      </w:r>
      <w:r>
        <w:t>4</w:t>
      </w:r>
      <w:r w:rsidRPr="00A61734">
        <w:t>-</w:t>
      </w:r>
      <w:r>
        <w:t>09</w:t>
      </w:r>
      <w:r w:rsidRPr="00A61734">
        <w:t xml:space="preserve">, </w:t>
      </w:r>
      <w:r w:rsidRPr="00A61734">
        <w:rPr>
          <w:i/>
          <w:iCs/>
        </w:rPr>
        <w:t xml:space="preserve">Regional and Local Plans </w:t>
      </w:r>
      <w:r>
        <w:rPr>
          <w:i/>
          <w:iCs/>
        </w:rPr>
        <w:t>Guidance for PY 2025-28</w:t>
      </w:r>
      <w:r w:rsidRPr="00A61734">
        <w:rPr>
          <w:i/>
          <w:iCs/>
        </w:rPr>
        <w:t xml:space="preserve"> </w:t>
      </w:r>
      <w:r w:rsidRPr="00A61734">
        <w:t>(</w:t>
      </w:r>
      <w:r>
        <w:t>December 20</w:t>
      </w:r>
      <w:r w:rsidRPr="00A61734">
        <w:t>, 202</w:t>
      </w:r>
      <w:r>
        <w:t>4</w:t>
      </w:r>
      <w:r w:rsidRPr="00A61734">
        <w:t xml:space="preserve">) </w:t>
      </w:r>
    </w:p>
    <w:p w14:paraId="5A98AF23" w14:textId="77777777" w:rsidR="00234CA0" w:rsidRPr="00A61734" w:rsidRDefault="00234CA0" w:rsidP="00234CA0">
      <w:pPr>
        <w:pStyle w:val="ListParagraph"/>
        <w:numPr>
          <w:ilvl w:val="0"/>
          <w:numId w:val="1"/>
        </w:numPr>
        <w:spacing w:before="240"/>
      </w:pPr>
      <w:r w:rsidRPr="00A61734">
        <w:t xml:space="preserve">WSD20-02, </w:t>
      </w:r>
      <w:r w:rsidRPr="00645609">
        <w:rPr>
          <w:i/>
          <w:iCs/>
        </w:rPr>
        <w:t>Calculating Local Area Performance and Nonperformance</w:t>
      </w:r>
      <w:r w:rsidRPr="00A61734">
        <w:t xml:space="preserve"> (September 18</w:t>
      </w:r>
      <w:r>
        <w:t xml:space="preserve">, </w:t>
      </w:r>
      <w:r w:rsidRPr="00A61734">
        <w:t xml:space="preserve">2020) </w:t>
      </w:r>
    </w:p>
    <w:p w14:paraId="2E83C7BA" w14:textId="77777777" w:rsidR="00234CA0" w:rsidRDefault="00234CA0" w:rsidP="00234CA0">
      <w:pPr>
        <w:pStyle w:val="ListParagraph"/>
        <w:numPr>
          <w:ilvl w:val="0"/>
          <w:numId w:val="1"/>
        </w:numPr>
        <w:spacing w:before="240"/>
      </w:pPr>
      <w:r w:rsidRPr="00A61734">
        <w:t xml:space="preserve">WSD18-10, </w:t>
      </w:r>
      <w:r w:rsidRPr="00645609">
        <w:rPr>
          <w:i/>
          <w:iCs/>
        </w:rPr>
        <w:t>WIOA Training Expenditure Requirement</w:t>
      </w:r>
      <w:r w:rsidRPr="00A61734">
        <w:t xml:space="preserve"> (January 31, 2019) </w:t>
      </w:r>
    </w:p>
    <w:p w14:paraId="109207A2" w14:textId="77777777" w:rsidR="00F42516" w:rsidRPr="00F42516" w:rsidRDefault="00234CA0" w:rsidP="00234CA0">
      <w:pPr>
        <w:pStyle w:val="ListParagraph"/>
        <w:numPr>
          <w:ilvl w:val="0"/>
          <w:numId w:val="1"/>
        </w:numPr>
        <w:spacing w:before="240"/>
      </w:pPr>
      <w:r w:rsidRPr="00A61734">
        <w:t xml:space="preserve">WSD17-07, </w:t>
      </w:r>
      <w:r w:rsidRPr="00645609">
        <w:rPr>
          <w:i/>
          <w:iCs/>
        </w:rPr>
        <w:t>WIOA Youth Program Requirements</w:t>
      </w:r>
      <w:r w:rsidRPr="00A61734">
        <w:t xml:space="preserve"> (January 16, 2018)</w:t>
      </w:r>
      <w:r w:rsidRPr="00F42516">
        <w:br/>
      </w:r>
    </w:p>
    <w:p w14:paraId="3966E956" w14:textId="77777777" w:rsidR="008B44D0" w:rsidRDefault="008B44D0">
      <w:pPr>
        <w:spacing w:after="160" w:line="259" w:lineRule="auto"/>
        <w:outlineLvl w:val="9"/>
        <w:rPr>
          <w:rFonts w:ascii="Calibri" w:eastAsiaTheme="majorEastAsia" w:hAnsi="Calibri" w:cstheme="majorBidi"/>
          <w:color w:val="007DA5"/>
          <w:sz w:val="32"/>
        </w:rPr>
      </w:pPr>
      <w:r>
        <w:br w:type="page"/>
      </w:r>
    </w:p>
    <w:p w14:paraId="4D3B9C41" w14:textId="53A9EFF2" w:rsidR="00F42516" w:rsidRPr="00F42516" w:rsidRDefault="00F42516" w:rsidP="00F42516">
      <w:pPr>
        <w:pStyle w:val="Heading3"/>
      </w:pPr>
      <w:r w:rsidRPr="00F42516">
        <w:lastRenderedPageBreak/>
        <w:t>Background</w:t>
      </w:r>
    </w:p>
    <w:p w14:paraId="02E6519E" w14:textId="77777777" w:rsidR="00F42516" w:rsidRDefault="00F42516" w:rsidP="00F42516">
      <w:pPr>
        <w:pBdr>
          <w:bottom w:val="double" w:sz="12" w:space="1" w:color="E58E1A"/>
        </w:pBdr>
        <w:outlineLvl w:val="9"/>
      </w:pPr>
    </w:p>
    <w:p w14:paraId="58D5D25E" w14:textId="272A1E3C" w:rsidR="00234CA0" w:rsidRDefault="00234CA0" w:rsidP="005E5F1F">
      <w:r>
        <w:t>As set forth in WIOA</w:t>
      </w:r>
      <w:r w:rsidRPr="00242F48">
        <w:t xml:space="preserve"> Section 107,</w:t>
      </w:r>
      <w:r>
        <w:t xml:space="preserve"> Local Boards are established by the Governor in each Local Workforce Development Area (Local Area) of the state to carry out specific functions. These functions include developing a Local Workforce Development Plan, carrying out analyses of the economic conditions in the region and other workforce and regional labor market research and analysis, convening local workforce system stakeholders, engaging regional employers, and leading efforts to develop and implement career pathways within the Local Area.</w:t>
      </w:r>
    </w:p>
    <w:p w14:paraId="1DF4544B" w14:textId="3C125A97" w:rsidR="00234CA0" w:rsidRDefault="00234CA0" w:rsidP="00234CA0">
      <w:pPr>
        <w:spacing w:before="240"/>
      </w:pPr>
      <w:r>
        <w:t>This Directive outlines the statutory criteria and associated deliverables that Local Boards must provide to be considered a High Performing Board.</w:t>
      </w:r>
    </w:p>
    <w:p w14:paraId="41527A31" w14:textId="77777777" w:rsidR="00F42516" w:rsidRPr="00F42516" w:rsidRDefault="00F42516" w:rsidP="00F42516"/>
    <w:p w14:paraId="14268571" w14:textId="77777777" w:rsidR="00F42516" w:rsidRPr="00F42516" w:rsidRDefault="00F42516" w:rsidP="00F42516">
      <w:pPr>
        <w:pStyle w:val="Heading3"/>
      </w:pPr>
      <w:r w:rsidRPr="00F42516">
        <w:t>Policy and Procedures</w:t>
      </w:r>
    </w:p>
    <w:p w14:paraId="24D9F926" w14:textId="77777777" w:rsidR="00F42516" w:rsidRDefault="00F42516" w:rsidP="00F42516">
      <w:pPr>
        <w:pBdr>
          <w:bottom w:val="double" w:sz="12" w:space="1" w:color="E58E1A"/>
        </w:pBdr>
        <w:outlineLvl w:val="9"/>
      </w:pPr>
    </w:p>
    <w:p w14:paraId="5937EA04" w14:textId="77777777" w:rsidR="00234CA0" w:rsidRDefault="00234CA0" w:rsidP="005E5F1F">
      <w:pPr>
        <w:rPr>
          <w:rFonts w:eastAsiaTheme="majorEastAsia" w:cstheme="minorHAnsi"/>
        </w:rPr>
      </w:pPr>
      <w:r>
        <w:rPr>
          <w:rFonts w:eastAsiaTheme="majorEastAsia" w:cstheme="minorHAnsi"/>
        </w:rPr>
        <w:t xml:space="preserve">CUIC Section 14200 states the minimum criteria a Local Board must meet to be certified as a High Performing Board: </w:t>
      </w:r>
    </w:p>
    <w:p w14:paraId="511972AB"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Meeting or exceeding negotiated performance goals for all measures in the three federal WIOA customer groups: adults, dislocated workers, and youth. </w:t>
      </w:r>
    </w:p>
    <w:p w14:paraId="5850F471" w14:textId="77777777" w:rsidR="00234CA0" w:rsidRPr="001A207F"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Developing and implementing local policies and local strategic plans that meet the criteria outlined by both WIOA and California’s Unified Strategic Workforce Development Plan. </w:t>
      </w:r>
    </w:p>
    <w:p w14:paraId="34BE8997"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Demonstrating a Local Board’s strategic plan involves the following: </w:t>
      </w:r>
    </w:p>
    <w:p w14:paraId="0CB126F9"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Key stakeholders, including major employers and industry groups in the relevant regional economy, and organized labor. </w:t>
      </w:r>
    </w:p>
    <w:p w14:paraId="0330CC04"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The entire workforce training pipeline for the relevant regional economy, including K-12 education, career technical education, the community college system, and other postsecondary institutions. </w:t>
      </w:r>
    </w:p>
    <w:p w14:paraId="020F79B8" w14:textId="77777777" w:rsidR="00234CA0" w:rsidRDefault="00234CA0" w:rsidP="00234CA0">
      <w:pPr>
        <w:pStyle w:val="ListParagraph"/>
        <w:numPr>
          <w:ilvl w:val="1"/>
          <w:numId w:val="2"/>
        </w:numPr>
        <w:spacing w:before="240"/>
        <w:rPr>
          <w:rFonts w:eastAsiaTheme="majorEastAsia" w:cstheme="minorHAnsi"/>
        </w:rPr>
      </w:pPr>
      <w:r>
        <w:rPr>
          <w:rFonts w:eastAsiaTheme="majorEastAsia" w:cstheme="minorHAnsi"/>
        </w:rPr>
        <w:t xml:space="preserve">Data-driven policies and processes; policy decisions at the local level should be evidence-based and use labor market data to develop and implement the Local Plan.  </w:t>
      </w:r>
    </w:p>
    <w:p w14:paraId="26BD272B"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Demonstrating investment in workforce initiatives, including training programs that promote skills development and career ladders relevant to the needs of each Local Area’s regional labor market and high-wage industry sectors. </w:t>
      </w:r>
    </w:p>
    <w:p w14:paraId="41946440" w14:textId="77777777" w:rsidR="00234CA0"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Establishing a youth strategy aligned with the needs of each workforce investment area’s regional labor market and high-wage industry sectors. </w:t>
      </w:r>
    </w:p>
    <w:p w14:paraId="74D6AFF5" w14:textId="77777777" w:rsidR="00234CA0" w:rsidRPr="00083A2B" w:rsidRDefault="00234CA0" w:rsidP="00234CA0">
      <w:pPr>
        <w:pStyle w:val="ListParagraph"/>
        <w:numPr>
          <w:ilvl w:val="0"/>
          <w:numId w:val="2"/>
        </w:numPr>
        <w:spacing w:before="240"/>
        <w:rPr>
          <w:rFonts w:eastAsiaTheme="majorEastAsia" w:cstheme="minorHAnsi"/>
        </w:rPr>
      </w:pPr>
      <w:r>
        <w:rPr>
          <w:rFonts w:eastAsiaTheme="majorEastAsia" w:cstheme="minorHAnsi"/>
        </w:rPr>
        <w:t xml:space="preserve">Establishing a business service plan that integrates local business involvement with workforce initiatives. </w:t>
      </w:r>
      <w:r w:rsidRPr="00083A2B">
        <w:rPr>
          <w:rFonts w:eastAsiaTheme="majorEastAsia" w:cstheme="minorHAnsi"/>
        </w:rPr>
        <w:t xml:space="preserve"> </w:t>
      </w:r>
    </w:p>
    <w:p w14:paraId="6B29397F" w14:textId="77777777" w:rsidR="00234CA0" w:rsidRDefault="00234CA0" w:rsidP="00234CA0">
      <w:pPr>
        <w:spacing w:before="240"/>
        <w:rPr>
          <w:rFonts w:eastAsiaTheme="majorEastAsia" w:cstheme="minorHAnsi"/>
        </w:rPr>
      </w:pPr>
      <w:r>
        <w:rPr>
          <w:rFonts w:eastAsiaTheme="majorEastAsia" w:cstheme="minorHAnsi"/>
        </w:rPr>
        <w:t xml:space="preserve">According to CUIC Section 14200(c), recertification of High Performing Boards must occur midway through implementing the local and regional plans. CUIC Section 14200(h) directs the Governor and the Legislature, as part of the annual budget process and in consultation with the </w:t>
      </w:r>
      <w:r>
        <w:rPr>
          <w:rFonts w:eastAsiaTheme="majorEastAsia" w:cstheme="minorHAnsi"/>
        </w:rPr>
        <w:lastRenderedPageBreak/>
        <w:t xml:space="preserve">CWDB, to annually reserve a portion of the WIOA 15 percent discretionary funds for the purpose of providing incentive funds to Local Boards certified as High Performing Boards. For program year </w:t>
      </w:r>
      <w:r w:rsidRPr="00DD68BD">
        <w:rPr>
          <w:rFonts w:eastAsiaTheme="majorEastAsia" w:cstheme="minorHAnsi"/>
        </w:rPr>
        <w:t>(PY) 2024-25, $100,000</w:t>
      </w:r>
      <w:r>
        <w:rPr>
          <w:rFonts w:eastAsiaTheme="majorEastAsia" w:cstheme="minorHAnsi"/>
        </w:rPr>
        <w:t xml:space="preserve"> was reserved to be divided equally among all those Local Boards identified as a High Performing Board. </w:t>
      </w:r>
    </w:p>
    <w:p w14:paraId="278FA1C4" w14:textId="77777777" w:rsidR="00234CA0" w:rsidRPr="00234CA0" w:rsidRDefault="00234CA0" w:rsidP="00234CA0">
      <w:pPr>
        <w:spacing w:before="240"/>
        <w:rPr>
          <w:rFonts w:eastAsiaTheme="majorEastAsia" w:cstheme="minorHAnsi"/>
        </w:rPr>
      </w:pPr>
      <w:r w:rsidRPr="00234CA0">
        <w:rPr>
          <w:rFonts w:eastAsiaTheme="majorEastAsia" w:cstheme="minorHAnsi"/>
          <w:b/>
          <w:bCs/>
        </w:rPr>
        <w:t>N</w:t>
      </w:r>
      <w:r w:rsidR="0015590E">
        <w:rPr>
          <w:rFonts w:eastAsiaTheme="majorEastAsia" w:cstheme="minorHAnsi"/>
          <w:b/>
          <w:bCs/>
        </w:rPr>
        <w:t>ote</w:t>
      </w:r>
      <w:r w:rsidRPr="00234CA0">
        <w:rPr>
          <w:rFonts w:eastAsiaTheme="majorEastAsia" w:cstheme="minorHAnsi"/>
        </w:rPr>
        <w:t xml:space="preserve"> – The annual reserve amount may fluctuate in future years depending on the Governor’s and the Legislature’s priorities. </w:t>
      </w:r>
    </w:p>
    <w:p w14:paraId="4C3DB3F2" w14:textId="77777777" w:rsidR="00234CA0" w:rsidRPr="00B125B2" w:rsidRDefault="00234CA0" w:rsidP="00B125B2">
      <w:pPr>
        <w:pStyle w:val="Heading4"/>
      </w:pPr>
      <w:r w:rsidRPr="00B125B2">
        <w:t xml:space="preserve">High Performing Board Criteria </w:t>
      </w:r>
    </w:p>
    <w:p w14:paraId="762D1949" w14:textId="77777777" w:rsidR="00234CA0" w:rsidRPr="00234CA0" w:rsidRDefault="00234CA0" w:rsidP="00DD54EA">
      <w:pPr>
        <w:rPr>
          <w:rFonts w:eastAsiaTheme="majorEastAsia" w:cstheme="minorHAnsi"/>
        </w:rPr>
      </w:pPr>
      <w:r w:rsidRPr="00234CA0">
        <w:rPr>
          <w:rFonts w:eastAsiaTheme="majorEastAsia" w:cstheme="minorHAnsi"/>
        </w:rPr>
        <w:t xml:space="preserve">The following statutory criteria will be used to determine the certification of a Local Board as a High Performing Board: </w:t>
      </w:r>
    </w:p>
    <w:p w14:paraId="3B300593"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Performed Successfully</w:t>
      </w:r>
    </w:p>
    <w:p w14:paraId="3C529C37" w14:textId="77777777" w:rsidR="00234CA0" w:rsidRPr="00234CA0" w:rsidRDefault="00234CA0" w:rsidP="00234CA0">
      <w:pPr>
        <w:spacing w:before="240"/>
        <w:ind w:left="720"/>
        <w:contextualSpacing/>
        <w:rPr>
          <w:rFonts w:eastAsiaTheme="majorEastAsia" w:cstheme="minorHAnsi"/>
        </w:rPr>
      </w:pPr>
    </w:p>
    <w:p w14:paraId="483FAC38"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The Local Area has an Individual Indicator Score of 50 percent or higher in PY 23-24, as described in WSD 20-02, for the following primary indicators of performance:</w:t>
      </w:r>
    </w:p>
    <w:p w14:paraId="4DBEA9B3"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2</w:t>
      </w:r>
      <w:r w:rsidRPr="00234CA0">
        <w:rPr>
          <w:rFonts w:eastAsiaTheme="majorEastAsia" w:cstheme="minorHAnsi"/>
          <w:vertAlign w:val="superscript"/>
        </w:rPr>
        <w:t>nd</w:t>
      </w:r>
      <w:r w:rsidRPr="00234CA0">
        <w:rPr>
          <w:rFonts w:eastAsiaTheme="majorEastAsia" w:cstheme="minorHAnsi"/>
        </w:rPr>
        <w:t xml:space="preserve"> Quarter After Exit</w:t>
      </w:r>
    </w:p>
    <w:p w14:paraId="26810B33"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4</w:t>
      </w:r>
      <w:r w:rsidRPr="00234CA0">
        <w:rPr>
          <w:rFonts w:eastAsiaTheme="majorEastAsia" w:cstheme="minorHAnsi"/>
          <w:vertAlign w:val="superscript"/>
        </w:rPr>
        <w:t>th</w:t>
      </w:r>
      <w:r w:rsidRPr="00234CA0">
        <w:rPr>
          <w:rFonts w:eastAsiaTheme="majorEastAsia" w:cstheme="minorHAnsi"/>
        </w:rPr>
        <w:t xml:space="preserve"> Quarter After Exit</w:t>
      </w:r>
    </w:p>
    <w:p w14:paraId="3F976ED5"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Median Earnings</w:t>
      </w:r>
    </w:p>
    <w:p w14:paraId="2F83A9E9" w14:textId="77777777" w:rsidR="00234CA0" w:rsidRPr="00234CA0" w:rsidRDefault="00234CA0" w:rsidP="00234CA0">
      <w:pPr>
        <w:numPr>
          <w:ilvl w:val="0"/>
          <w:numId w:val="4"/>
        </w:numPr>
        <w:spacing w:before="240"/>
        <w:contextualSpacing/>
        <w:rPr>
          <w:rFonts w:eastAsiaTheme="majorEastAsia" w:cstheme="minorHAnsi"/>
        </w:rPr>
      </w:pPr>
      <w:r w:rsidRPr="00234CA0">
        <w:rPr>
          <w:rFonts w:eastAsiaTheme="majorEastAsia" w:cstheme="minorHAnsi"/>
        </w:rPr>
        <w:t>Credential Attainment Rate</w:t>
      </w:r>
      <w:r w:rsidRPr="00234CA0">
        <w:rPr>
          <w:rFonts w:eastAsiaTheme="majorEastAsia" w:cstheme="minorHAnsi"/>
          <w:vertAlign w:val="superscript"/>
        </w:rPr>
        <w:footnoteReference w:id="1"/>
      </w:r>
    </w:p>
    <w:p w14:paraId="691A22E3" w14:textId="77777777" w:rsidR="00234CA0" w:rsidRPr="00234CA0" w:rsidRDefault="00234CA0" w:rsidP="00234CA0">
      <w:pPr>
        <w:spacing w:before="240"/>
        <w:ind w:left="720"/>
        <w:contextualSpacing/>
        <w:rPr>
          <w:rFonts w:eastAsiaTheme="majorEastAsia" w:cstheme="minorHAnsi"/>
        </w:rPr>
      </w:pPr>
    </w:p>
    <w:p w14:paraId="2AB9571A"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above definition of Performed Successfully, also outlined in WSD20-02, for PY 23-24. </w:t>
      </w:r>
    </w:p>
    <w:p w14:paraId="234F44DB" w14:textId="77777777" w:rsidR="00234CA0" w:rsidRPr="00234CA0" w:rsidRDefault="00234CA0" w:rsidP="00234CA0">
      <w:pPr>
        <w:spacing w:before="240"/>
        <w:ind w:left="720"/>
        <w:contextualSpacing/>
        <w:rPr>
          <w:rFonts w:eastAsiaTheme="majorEastAsia" w:cstheme="minorHAnsi"/>
        </w:rPr>
      </w:pPr>
    </w:p>
    <w:p w14:paraId="3311592E"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 xml:space="preserve">Approved Regional and Local Plan </w:t>
      </w:r>
    </w:p>
    <w:p w14:paraId="3B970876" w14:textId="77777777" w:rsidR="00234CA0" w:rsidRPr="00234CA0" w:rsidRDefault="00234CA0" w:rsidP="00234CA0">
      <w:pPr>
        <w:spacing w:before="240"/>
        <w:ind w:left="720"/>
        <w:contextualSpacing/>
        <w:rPr>
          <w:rFonts w:eastAsiaTheme="majorEastAsia" w:cstheme="minorHAnsi"/>
        </w:rPr>
      </w:pPr>
    </w:p>
    <w:p w14:paraId="2C2C6D09"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WIOA Section 108 and outlined in WSD24-09, a biennial update of Regional and Local Plans is required to ensure plans remain current and account for changes in the labor market and economic conditions or in other factors affecting implementation. </w:t>
      </w:r>
    </w:p>
    <w:p w14:paraId="3F5FC7C3" w14:textId="77777777" w:rsidR="00234CA0" w:rsidRPr="00234CA0" w:rsidRDefault="00234CA0" w:rsidP="00234CA0">
      <w:pPr>
        <w:spacing w:before="240"/>
        <w:ind w:left="720"/>
        <w:contextualSpacing/>
        <w:rPr>
          <w:rFonts w:eastAsiaTheme="majorEastAsia" w:cstheme="minorHAnsi"/>
        </w:rPr>
      </w:pPr>
    </w:p>
    <w:p w14:paraId="587F6758"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requirements in WIOA Section 108, outlined in WSD24-09, and received approval letters for their Regional and Local Plan modifications. </w:t>
      </w:r>
    </w:p>
    <w:p w14:paraId="2AAC7D34" w14:textId="77777777" w:rsidR="00234CA0" w:rsidRPr="00234CA0" w:rsidRDefault="00234CA0" w:rsidP="00234CA0">
      <w:pPr>
        <w:spacing w:before="240"/>
        <w:ind w:left="720"/>
        <w:contextualSpacing/>
        <w:rPr>
          <w:rFonts w:eastAsiaTheme="majorEastAsia" w:cstheme="minorHAnsi"/>
        </w:rPr>
      </w:pPr>
    </w:p>
    <w:p w14:paraId="364BEC63"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WIOA Training Expenditure Requirement</w:t>
      </w:r>
    </w:p>
    <w:p w14:paraId="19B86A28" w14:textId="77777777" w:rsidR="00234CA0" w:rsidRPr="00234CA0" w:rsidRDefault="00234CA0" w:rsidP="00234CA0">
      <w:pPr>
        <w:spacing w:before="240"/>
        <w:ind w:left="720"/>
        <w:contextualSpacing/>
        <w:rPr>
          <w:rFonts w:eastAsiaTheme="majorEastAsia" w:cstheme="minorHAnsi"/>
        </w:rPr>
      </w:pPr>
    </w:p>
    <w:p w14:paraId="52CD525A"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CUIC Section 14211(a)(2), and outlined in WSD18-10, Local Boards must spend at least 30 percent of the combined total of their adult and dislocated workers’ WIOA formula fund allocation on training services each prior year. CUIC Section 14211(b)(1) allows Local Boards to use twelve categories of leveraged funds to receive a credit of up to 10 percent toward meeting their training expenditure requirement. </w:t>
      </w:r>
    </w:p>
    <w:p w14:paraId="29DD2E06" w14:textId="77777777" w:rsidR="00234CA0" w:rsidRPr="00234CA0" w:rsidRDefault="00234CA0" w:rsidP="00234CA0">
      <w:pPr>
        <w:spacing w:before="240"/>
        <w:ind w:left="720"/>
        <w:contextualSpacing/>
        <w:rPr>
          <w:rFonts w:eastAsiaTheme="majorEastAsia" w:cstheme="minorHAnsi"/>
        </w:rPr>
      </w:pPr>
    </w:p>
    <w:p w14:paraId="253B622A"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lastRenderedPageBreak/>
        <w:t>Deliverable</w:t>
      </w:r>
      <w:r w:rsidRPr="00234CA0">
        <w:rPr>
          <w:rFonts w:eastAsiaTheme="majorEastAsia" w:cstheme="minorHAnsi"/>
        </w:rPr>
        <w:t xml:space="preserve"> – The Local Board met the WIOA training expenditure requirements in CUIC Section 14211, and outlined in WSD18-10, for PY 23-24. </w:t>
      </w:r>
    </w:p>
    <w:p w14:paraId="7231B1C2" w14:textId="77777777" w:rsidR="00234CA0" w:rsidRPr="00234CA0" w:rsidRDefault="00234CA0" w:rsidP="00234CA0">
      <w:pPr>
        <w:spacing w:before="240"/>
        <w:ind w:left="720"/>
        <w:contextualSpacing/>
        <w:rPr>
          <w:rFonts w:eastAsiaTheme="majorEastAsia" w:cstheme="minorHAnsi"/>
        </w:rPr>
      </w:pPr>
    </w:p>
    <w:p w14:paraId="777D4AC5" w14:textId="77777777" w:rsidR="00234CA0" w:rsidRPr="00234CA0" w:rsidRDefault="00234CA0" w:rsidP="00234CA0">
      <w:pPr>
        <w:numPr>
          <w:ilvl w:val="0"/>
          <w:numId w:val="3"/>
        </w:numPr>
        <w:spacing w:before="240"/>
        <w:contextualSpacing/>
        <w:rPr>
          <w:rFonts w:eastAsiaTheme="majorEastAsia" w:cstheme="minorHAnsi"/>
        </w:rPr>
      </w:pPr>
      <w:r w:rsidRPr="00234CA0">
        <w:rPr>
          <w:rFonts w:eastAsiaTheme="majorEastAsia" w:cstheme="minorHAnsi"/>
        </w:rPr>
        <w:t xml:space="preserve">WIOA Youth Funding Requirement </w:t>
      </w:r>
    </w:p>
    <w:p w14:paraId="1CAA6BF8" w14:textId="77777777" w:rsidR="00234CA0" w:rsidRPr="00234CA0" w:rsidRDefault="00234CA0" w:rsidP="00234CA0">
      <w:pPr>
        <w:spacing w:before="240"/>
        <w:ind w:left="720"/>
        <w:contextualSpacing/>
        <w:rPr>
          <w:rFonts w:eastAsiaTheme="majorEastAsia" w:cstheme="minorHAnsi"/>
        </w:rPr>
      </w:pPr>
    </w:p>
    <w:p w14:paraId="50FCBB12"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As required by WIOA Section 129, and outlined in WSD17-07, Local Area must spend at least 75 percent of their WIOA youth formula allocation on youth workforce investment activities for out-of-school youth (OSY). Local Areas must also spend at least 20 percent of their WIOA youth formula allocation on work experience. </w:t>
      </w:r>
    </w:p>
    <w:p w14:paraId="0AA1814D" w14:textId="77777777" w:rsidR="00234CA0" w:rsidRPr="00234CA0" w:rsidRDefault="00234CA0" w:rsidP="00234CA0">
      <w:pPr>
        <w:spacing w:before="240"/>
        <w:ind w:left="720"/>
        <w:contextualSpacing/>
        <w:rPr>
          <w:rFonts w:eastAsiaTheme="majorEastAsia" w:cstheme="minorHAnsi"/>
        </w:rPr>
      </w:pPr>
    </w:p>
    <w:p w14:paraId="70EA1FB1"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Note</w:t>
      </w:r>
      <w:r w:rsidRPr="00234CA0">
        <w:rPr>
          <w:rFonts w:eastAsiaTheme="majorEastAsia" w:cstheme="minorHAnsi"/>
        </w:rPr>
        <w:t xml:space="preserve"> – Local Boards approved for the 50 percent WIOA OSY Expenditure waiver and that served systems- involved In School Youth (ISY) populations targeted by the waiver (e.g., foster care, homeless, and justice involved) during PY 23-24 will still be considered for High Performing Boards certification. </w:t>
      </w:r>
    </w:p>
    <w:p w14:paraId="60CEB665" w14:textId="77777777" w:rsidR="00234CA0" w:rsidRPr="00234CA0" w:rsidRDefault="00234CA0" w:rsidP="00234CA0">
      <w:pPr>
        <w:spacing w:before="240"/>
        <w:ind w:left="720"/>
        <w:contextualSpacing/>
        <w:rPr>
          <w:rFonts w:eastAsiaTheme="majorEastAsia" w:cstheme="minorHAnsi"/>
        </w:rPr>
      </w:pPr>
    </w:p>
    <w:p w14:paraId="75382C83"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b/>
          <w:bCs/>
        </w:rPr>
        <w:t>Deliverable</w:t>
      </w:r>
      <w:r w:rsidRPr="00234CA0">
        <w:rPr>
          <w:rFonts w:eastAsiaTheme="majorEastAsia" w:cstheme="minorHAnsi"/>
        </w:rPr>
        <w:t xml:space="preserve"> – The Local Board met the OSY and work experience expenditure requirements in WIOA Section 129, also outlined in WSD17-07, for PY 23-24 or utilized the WIOA OSY Expenditure waiver to serve systems-involved youth (as defined) during PY 23-24. </w:t>
      </w:r>
    </w:p>
    <w:p w14:paraId="0710860B" w14:textId="77777777" w:rsidR="00234CA0" w:rsidRPr="00234CA0" w:rsidRDefault="00234CA0" w:rsidP="00234CA0">
      <w:pPr>
        <w:spacing w:before="240"/>
        <w:ind w:left="720"/>
        <w:contextualSpacing/>
        <w:rPr>
          <w:rFonts w:eastAsiaTheme="majorEastAsia" w:cstheme="minorHAnsi"/>
        </w:rPr>
      </w:pPr>
      <w:r w:rsidRPr="00234CA0">
        <w:rPr>
          <w:rFonts w:eastAsiaTheme="majorEastAsia" w:cstheme="minorHAnsi"/>
        </w:rPr>
        <w:t xml:space="preserve"> </w:t>
      </w:r>
    </w:p>
    <w:p w14:paraId="1FF30F91" w14:textId="77777777" w:rsidR="00234CA0" w:rsidRPr="00234CA0" w:rsidRDefault="00234CA0" w:rsidP="00234CA0">
      <w:pPr>
        <w:numPr>
          <w:ilvl w:val="0"/>
          <w:numId w:val="3"/>
        </w:numPr>
        <w:spacing w:before="240"/>
        <w:contextualSpacing/>
        <w:rPr>
          <w:rFonts w:eastAsiaTheme="majorEastAsia" w:cstheme="minorHAnsi"/>
          <w:i/>
        </w:rPr>
      </w:pPr>
      <w:r w:rsidRPr="00234CA0">
        <w:rPr>
          <w:rFonts w:eastAsiaTheme="majorEastAsia" w:cstheme="minorHAnsi"/>
          <w:iCs/>
        </w:rPr>
        <w:t xml:space="preserve">Business Services Plan </w:t>
      </w:r>
    </w:p>
    <w:p w14:paraId="4AA8F0A9" w14:textId="77777777" w:rsidR="00234CA0" w:rsidRPr="00234CA0" w:rsidRDefault="00234CA0" w:rsidP="00234CA0">
      <w:pPr>
        <w:spacing w:before="240"/>
        <w:ind w:left="720"/>
        <w:contextualSpacing/>
        <w:rPr>
          <w:rFonts w:eastAsiaTheme="majorEastAsia" w:cstheme="minorHAnsi"/>
          <w:iCs/>
        </w:rPr>
      </w:pPr>
    </w:p>
    <w:p w14:paraId="4E256C12" w14:textId="77777777" w:rsidR="00234CA0" w:rsidRPr="00234CA0" w:rsidRDefault="00234CA0" w:rsidP="00234CA0">
      <w:pPr>
        <w:spacing w:before="240"/>
        <w:ind w:left="720"/>
        <w:contextualSpacing/>
        <w:rPr>
          <w:rFonts w:eastAsiaTheme="majorEastAsia"/>
          <w:i/>
        </w:rPr>
      </w:pPr>
      <w:r w:rsidRPr="00234CA0">
        <w:rPr>
          <w:rFonts w:eastAsiaTheme="majorEastAsia" w:cstheme="minorHAnsi"/>
          <w:iCs/>
        </w:rPr>
        <w:t xml:space="preserve">CUIC 14200(c)(9) specifies that each Local Board must establish a business service plan that integrates local business involvement with workforce initiatives. At a minimum, the plan must address the Local Board’s efforts to partner with businesses and labor locally and </w:t>
      </w:r>
      <w:r w:rsidRPr="00234CA0">
        <w:rPr>
          <w:rFonts w:eastAsiaTheme="majorEastAsia"/>
        </w:rPr>
        <w:t xml:space="preserve">regionally, the utilization of an electronic system for business and job seekers to communicate about job opportunities, and the establishment of a subcommittee or workgroup comprised of business representatives. </w:t>
      </w:r>
    </w:p>
    <w:p w14:paraId="0CAFBEDE" w14:textId="77777777" w:rsidR="00234CA0" w:rsidRPr="00234CA0" w:rsidRDefault="00234CA0" w:rsidP="00234CA0">
      <w:pPr>
        <w:spacing w:before="240"/>
        <w:ind w:left="720"/>
        <w:contextualSpacing/>
        <w:rPr>
          <w:rFonts w:eastAsiaTheme="majorEastAsia" w:cstheme="minorHAnsi"/>
          <w:iCs/>
        </w:rPr>
      </w:pPr>
    </w:p>
    <w:p w14:paraId="4D39F356" w14:textId="77777777" w:rsidR="00234CA0" w:rsidRPr="00234CA0" w:rsidRDefault="00234CA0" w:rsidP="00234CA0">
      <w:pPr>
        <w:spacing w:before="240"/>
        <w:ind w:left="720"/>
        <w:contextualSpacing/>
        <w:rPr>
          <w:rFonts w:eastAsiaTheme="majorEastAsia" w:cstheme="minorHAnsi"/>
          <w:i/>
        </w:rPr>
      </w:pPr>
      <w:r w:rsidRPr="00234CA0">
        <w:rPr>
          <w:rFonts w:eastAsiaTheme="majorEastAsia" w:cstheme="minorHAnsi"/>
          <w:b/>
          <w:bCs/>
          <w:iCs/>
        </w:rPr>
        <w:t xml:space="preserve">Deliverable </w:t>
      </w:r>
      <w:r w:rsidRPr="00234CA0">
        <w:rPr>
          <w:rFonts w:eastAsiaTheme="majorEastAsia" w:cstheme="minorHAnsi"/>
          <w:iCs/>
        </w:rPr>
        <w:t xml:space="preserve">– A narrative that describes how the Local Board meets the business service plan criteria in CUIC Section 14200. </w:t>
      </w:r>
    </w:p>
    <w:p w14:paraId="4338F5EB" w14:textId="77777777" w:rsidR="00234CA0" w:rsidRPr="00234CA0" w:rsidRDefault="00234CA0" w:rsidP="00B125B2">
      <w:pPr>
        <w:pStyle w:val="Heading4"/>
      </w:pPr>
      <w:r w:rsidRPr="00234CA0">
        <w:t xml:space="preserve">High Performing Board Application Process </w:t>
      </w:r>
    </w:p>
    <w:p w14:paraId="7B3F23BD" w14:textId="77777777" w:rsidR="00234CA0" w:rsidRPr="00234CA0" w:rsidRDefault="00234CA0" w:rsidP="00DD54EA">
      <w:pPr>
        <w:rPr>
          <w:rFonts w:eastAsiaTheme="majorEastAsia" w:cstheme="minorHAnsi"/>
        </w:rPr>
      </w:pPr>
      <w:r w:rsidRPr="00234CA0">
        <w:rPr>
          <w:rFonts w:eastAsiaTheme="majorEastAsia" w:cstheme="minorHAnsi"/>
        </w:rPr>
        <w:t xml:space="preserve">Pursuant to CUIC Section 14200, Local Boards that submit a completed High Performing Board Application (Attachment 1) and meet all associated deliverables will receive certification as a High Performing Board. </w:t>
      </w:r>
    </w:p>
    <w:p w14:paraId="404B1507" w14:textId="77777777" w:rsidR="00234CA0" w:rsidRPr="00234CA0" w:rsidRDefault="00234CA0" w:rsidP="00234CA0">
      <w:pPr>
        <w:spacing w:before="240"/>
        <w:rPr>
          <w:rFonts w:eastAsiaTheme="majorEastAsia" w:cstheme="minorHAnsi"/>
        </w:rPr>
      </w:pPr>
      <w:r w:rsidRPr="00234CA0">
        <w:rPr>
          <w:rFonts w:eastAsiaTheme="majorEastAsia" w:cstheme="minorHAnsi"/>
        </w:rPr>
        <w:t xml:space="preserve">The completed application and all necessary attachments must be submitted electronically to </w:t>
      </w:r>
      <w:hyperlink r:id="rId14" w:history="1">
        <w:r w:rsidRPr="00234CA0">
          <w:rPr>
            <w:rFonts w:eastAsiaTheme="majorEastAsia" w:cstheme="minorHAnsi"/>
            <w:color w:val="0563C1" w:themeColor="hyperlink"/>
            <w:u w:val="single"/>
          </w:rPr>
          <w:t>PolicyUnit@</w:t>
        </w:r>
        <w:r w:rsidRPr="00C40950">
          <w:rPr>
            <w:rStyle w:val="Hyperlink"/>
            <w:rFonts w:eastAsiaTheme="majorEastAsia"/>
          </w:rPr>
          <w:t>cwdb</w:t>
        </w:r>
        <w:r w:rsidRPr="00234CA0">
          <w:rPr>
            <w:rFonts w:eastAsiaTheme="majorEastAsia" w:cstheme="minorHAnsi"/>
            <w:color w:val="0563C1" w:themeColor="hyperlink"/>
            <w:u w:val="single"/>
          </w:rPr>
          <w:t>.ca.gov</w:t>
        </w:r>
      </w:hyperlink>
      <w:r w:rsidRPr="00234CA0">
        <w:rPr>
          <w:rFonts w:eastAsiaTheme="majorEastAsia" w:cstheme="minorHAnsi"/>
        </w:rPr>
        <w:t xml:space="preserve"> no later than </w:t>
      </w:r>
      <w:r w:rsidRPr="00234CA0">
        <w:rPr>
          <w:rFonts w:eastAsiaTheme="majorEastAsia" w:cstheme="minorHAnsi"/>
          <w:b/>
          <w:bCs/>
        </w:rPr>
        <w:t xml:space="preserve">5 p.m. (PST) </w:t>
      </w:r>
      <w:r w:rsidRPr="00234CA0">
        <w:rPr>
          <w:rFonts w:eastAsiaTheme="majorEastAsia" w:cstheme="minorHAnsi"/>
        </w:rPr>
        <w:t>on</w:t>
      </w:r>
      <w:r w:rsidRPr="00234CA0">
        <w:rPr>
          <w:rFonts w:eastAsiaTheme="majorEastAsia" w:cstheme="minorHAnsi"/>
          <w:b/>
          <w:bCs/>
        </w:rPr>
        <w:t xml:space="preserve"> Monday, March 2, 2026.</w:t>
      </w:r>
      <w:r w:rsidRPr="00234CA0">
        <w:rPr>
          <w:rFonts w:eastAsiaTheme="majorEastAsia" w:cstheme="minorHAnsi"/>
        </w:rPr>
        <w:t xml:space="preserve"> </w:t>
      </w:r>
    </w:p>
    <w:p w14:paraId="1E8224C3" w14:textId="77777777" w:rsidR="00DD54EA" w:rsidRDefault="00DD54EA">
      <w:pPr>
        <w:spacing w:after="160" w:line="259" w:lineRule="auto"/>
        <w:outlineLvl w:val="9"/>
        <w:rPr>
          <w:rFonts w:eastAsiaTheme="majorEastAsia" w:cstheme="minorHAnsi"/>
          <w:b/>
          <w:bCs/>
        </w:rPr>
      </w:pPr>
      <w:r>
        <w:br w:type="page"/>
      </w:r>
    </w:p>
    <w:p w14:paraId="1B7281B1" w14:textId="336AAD2B" w:rsidR="00234CA0" w:rsidRPr="00234CA0" w:rsidRDefault="00234CA0" w:rsidP="00B125B2">
      <w:pPr>
        <w:pStyle w:val="Heading4"/>
      </w:pPr>
      <w:r w:rsidRPr="00234CA0">
        <w:lastRenderedPageBreak/>
        <w:t xml:space="preserve">Assessment of the Application </w:t>
      </w:r>
    </w:p>
    <w:p w14:paraId="12E6161B" w14:textId="77777777" w:rsidR="00234CA0" w:rsidRPr="00234CA0" w:rsidRDefault="00234CA0" w:rsidP="00234CA0">
      <w:r w:rsidRPr="00234CA0">
        <w:rPr>
          <w:rFonts w:eastAsiaTheme="majorEastAsia" w:cstheme="minorHAnsi"/>
        </w:rPr>
        <w:t>Pursuant to CUIC 14200(b), the CWDB, in coordination with the Employment Development Department (EDD), will verify the information provided in the High Performing Board application and notify the local Chief Elected Official regarding their approval or denial.</w:t>
      </w:r>
    </w:p>
    <w:p w14:paraId="1FEAC322" w14:textId="77777777" w:rsidR="00B125B2" w:rsidRPr="00F42516" w:rsidRDefault="00B125B2" w:rsidP="00F42516"/>
    <w:p w14:paraId="0C4CA11C" w14:textId="77777777" w:rsidR="00F42516" w:rsidRPr="00F42516" w:rsidRDefault="00F42516" w:rsidP="00F42516">
      <w:pPr>
        <w:pStyle w:val="Heading3"/>
      </w:pPr>
      <w:r w:rsidRPr="00F42516">
        <w:t>Action</w:t>
      </w:r>
    </w:p>
    <w:p w14:paraId="72CD53A9" w14:textId="77777777" w:rsidR="00F42516" w:rsidRDefault="00F42516" w:rsidP="00F42516">
      <w:pPr>
        <w:pBdr>
          <w:bottom w:val="double" w:sz="12" w:space="1" w:color="E58E1A"/>
        </w:pBdr>
        <w:outlineLvl w:val="9"/>
      </w:pPr>
    </w:p>
    <w:p w14:paraId="4A0F65D7" w14:textId="3F2058CE" w:rsidR="00234CA0" w:rsidRPr="005E6B07" w:rsidRDefault="00234CA0" w:rsidP="005E5F1F">
      <w:pPr>
        <w:rPr>
          <w:rFonts w:eastAsiaTheme="majorEastAsia" w:cstheme="minorHAnsi"/>
        </w:rPr>
      </w:pPr>
      <w:r>
        <w:rPr>
          <w:rFonts w:eastAsiaTheme="majorEastAsia" w:cstheme="minorHAnsi"/>
        </w:rPr>
        <w:t>Bring this Directive to the attention of the local Chief Elected Official, Local Board, and appropriate staff.</w:t>
      </w:r>
      <w:r w:rsidR="00947BD1">
        <w:rPr>
          <w:rFonts w:eastAsiaTheme="majorEastAsia" w:cstheme="minorHAnsi"/>
        </w:rPr>
        <w:br/>
      </w:r>
    </w:p>
    <w:p w14:paraId="4BC2D53A" w14:textId="77777777" w:rsidR="00F42516" w:rsidRPr="00F42516" w:rsidRDefault="00F42516" w:rsidP="00F42516">
      <w:pPr>
        <w:pStyle w:val="Heading3"/>
      </w:pPr>
      <w:r w:rsidRPr="00F42516">
        <w:t>Inquir</w:t>
      </w:r>
      <w:r w:rsidR="00BE63C6">
        <w:t>i</w:t>
      </w:r>
      <w:r w:rsidRPr="00F42516">
        <w:t>es</w:t>
      </w:r>
    </w:p>
    <w:p w14:paraId="0C7AF009" w14:textId="77777777" w:rsidR="00F42516" w:rsidRDefault="00F42516" w:rsidP="00F42516">
      <w:pPr>
        <w:pBdr>
          <w:bottom w:val="double" w:sz="12" w:space="1" w:color="E58E1A"/>
        </w:pBdr>
        <w:outlineLvl w:val="9"/>
      </w:pPr>
    </w:p>
    <w:p w14:paraId="63573434" w14:textId="77777777" w:rsidR="00234CA0" w:rsidRPr="00234CA0" w:rsidRDefault="00234CA0" w:rsidP="005E5F1F">
      <w:r w:rsidRPr="00234CA0">
        <w:t xml:space="preserve">If you have any questions, contact the CWDB Policy Unit at </w:t>
      </w:r>
      <w:hyperlink r:id="rId15" w:history="1">
        <w:r w:rsidRPr="00C40950">
          <w:rPr>
            <w:rStyle w:val="Hyperlink"/>
          </w:rPr>
          <w:t>PolicyUnit@cwdb.ca.gov</w:t>
        </w:r>
      </w:hyperlink>
      <w:r w:rsidRPr="00234CA0">
        <w:t>.</w:t>
      </w:r>
    </w:p>
    <w:p w14:paraId="237A8BCE" w14:textId="77777777" w:rsidR="00F42516" w:rsidRPr="00F42516" w:rsidRDefault="00F42516" w:rsidP="00F42516">
      <w:pPr>
        <w:rPr>
          <w:sz w:val="96"/>
          <w:szCs w:val="96"/>
        </w:rPr>
      </w:pPr>
    </w:p>
    <w:p w14:paraId="2F521A4E" w14:textId="02DB6788" w:rsidR="00F42516" w:rsidRPr="00F42516" w:rsidRDefault="00C40950" w:rsidP="00F42516">
      <w:r>
        <w:t xml:space="preserve">/s/ </w:t>
      </w:r>
      <w:r w:rsidR="00F42516" w:rsidRPr="00F42516">
        <w:t>JAVIER ROMERO, Deputy Director</w:t>
      </w:r>
      <w:r w:rsidR="00F42516" w:rsidRPr="00F42516">
        <w:br/>
        <w:t>Workforce Services Branch</w:t>
      </w:r>
      <w:r w:rsidR="00F42516" w:rsidRPr="00F42516">
        <w:br/>
      </w:r>
      <w:r w:rsidR="00F42516" w:rsidRPr="00F42516">
        <w:br/>
        <w:t>Attachment:</w:t>
      </w:r>
      <w:r w:rsidR="00F42516" w:rsidRPr="00F42516">
        <w:br/>
      </w:r>
    </w:p>
    <w:p w14:paraId="7BC7EC36" w14:textId="29C879C8" w:rsidR="00F42516" w:rsidRPr="00F42516" w:rsidRDefault="00234CA0" w:rsidP="00234CA0">
      <w:pPr>
        <w:pStyle w:val="ListParagraph"/>
        <w:numPr>
          <w:ilvl w:val="0"/>
          <w:numId w:val="5"/>
        </w:numPr>
      </w:pPr>
      <w:hyperlink r:id="rId16" w:history="1">
        <w:r w:rsidRPr="006572E1">
          <w:rPr>
            <w:rStyle w:val="Hyperlink"/>
          </w:rPr>
          <w:t xml:space="preserve">High Performing Boards Application </w:t>
        </w:r>
        <w:r w:rsidR="0015590E" w:rsidRPr="006572E1">
          <w:rPr>
            <w:rStyle w:val="Hyperlink"/>
          </w:rPr>
          <w:t>(DOCX)</w:t>
        </w:r>
      </w:hyperlink>
    </w:p>
    <w:p w14:paraId="3FBDD791" w14:textId="77777777" w:rsidR="004001D8" w:rsidRDefault="004001D8" w:rsidP="004001D8">
      <w:pPr>
        <w:pBdr>
          <w:bottom w:val="single" w:sz="4" w:space="1" w:color="auto"/>
        </w:pBdr>
      </w:pPr>
    </w:p>
    <w:p w14:paraId="7103AA91" w14:textId="77777777" w:rsidR="004001D8" w:rsidRDefault="004001D8" w:rsidP="004001D8">
      <w:pPr>
        <w:spacing w:before="240"/>
        <w:jc w:val="center"/>
        <w:rPr>
          <w:i/>
          <w:iCs/>
        </w:rPr>
      </w:pPr>
      <w:r w:rsidRPr="00C30BD7">
        <w:rPr>
          <w:i/>
          <w:iCs/>
        </w:rPr>
        <w:t xml:space="preserve">The EDD is an equal opportunity employer/program. Auxiliary aids and services </w:t>
      </w:r>
      <w:r>
        <w:rPr>
          <w:i/>
          <w:iCs/>
        </w:rPr>
        <w:br/>
      </w:r>
      <w:r w:rsidRPr="00C30BD7">
        <w:rPr>
          <w:i/>
          <w:iCs/>
        </w:rPr>
        <w:t>are available upon request to individuals with disabilities.</w:t>
      </w:r>
    </w:p>
    <w:p w14:paraId="34B37529" w14:textId="77777777" w:rsidR="004001D8" w:rsidRPr="00C30BD7" w:rsidRDefault="004001D8" w:rsidP="004001D8">
      <w:pPr>
        <w:pBdr>
          <w:top w:val="single" w:sz="4" w:space="1" w:color="auto"/>
        </w:pBdr>
        <w:spacing w:before="240"/>
        <w:jc w:val="center"/>
      </w:pPr>
    </w:p>
    <w:p w14:paraId="63A282BB" w14:textId="77777777" w:rsidR="001C741C" w:rsidRDefault="001C741C" w:rsidP="001C741C"/>
    <w:sectPr w:rsidR="001C741C" w:rsidSect="00B10C2B">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553E" w14:textId="77777777" w:rsidR="001C0AF7" w:rsidRDefault="001C0AF7" w:rsidP="001C741C">
      <w:r>
        <w:separator/>
      </w:r>
    </w:p>
  </w:endnote>
  <w:endnote w:type="continuationSeparator" w:id="0">
    <w:p w14:paraId="72DC171C" w14:textId="77777777" w:rsidR="001C0AF7" w:rsidRDefault="001C0AF7"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4BBF"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fldSimple w:instr=" NUMPAGES  \* Arabic  \* MERGEFORMAT ">
      <w:r w:rsidRPr="00BA060D">
        <w:rPr>
          <w:noProof/>
        </w:rPr>
        <w:t>2</w:t>
      </w:r>
    </w:fldSimple>
  </w:p>
  <w:p w14:paraId="1892C737" w14:textId="77777777" w:rsidR="00F42516" w:rsidRDefault="00F4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BE8C" w14:textId="77777777" w:rsidR="00423EEA" w:rsidRDefault="006A4D40">
    <w:pPr>
      <w:pStyle w:val="Footer"/>
    </w:pP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423EEA" w:rsidRPr="00BA060D">
      <w:rPr>
        <w:noProof/>
      </w:rPr>
      <w:t>2</w:t>
    </w:r>
    <w:r w:rsidR="00423EEA" w:rsidRPr="00BA060D">
      <w:fldChar w:fldCharType="end"/>
    </w:r>
    <w:r w:rsidR="00423EEA" w:rsidRPr="00BA060D">
      <w:t xml:space="preserve"> of </w:t>
    </w:r>
    <w:fldSimple w:instr=" NUMPAGES  \* Arabic  \* MERGEFORMAT ">
      <w:r w:rsidR="00423EEA" w:rsidRPr="00BA060D">
        <w:rPr>
          <w:noProof/>
        </w:rPr>
        <w:t>2</w:t>
      </w:r>
    </w:fldSimple>
    <w:r w:rsidR="0023716C">
      <w:rPr>
        <w:noProof/>
      </w:rPr>
      <w:tab/>
      <w:t xml:space="preserve">DIC: </w:t>
    </w:r>
    <w:r w:rsidR="00B06CC4">
      <w:rPr>
        <w:noProof/>
      </w:rPr>
      <w:t>3</w:t>
    </w:r>
    <w:r w:rsidR="008E566A">
      <w:rPr>
        <w:noProo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70BD" w14:textId="77777777" w:rsidR="001C0AF7" w:rsidRDefault="001C0AF7" w:rsidP="001C741C">
      <w:r>
        <w:separator/>
      </w:r>
    </w:p>
  </w:footnote>
  <w:footnote w:type="continuationSeparator" w:id="0">
    <w:p w14:paraId="149A0407" w14:textId="77777777" w:rsidR="001C0AF7" w:rsidRDefault="001C0AF7" w:rsidP="001C741C">
      <w:r>
        <w:continuationSeparator/>
      </w:r>
    </w:p>
  </w:footnote>
  <w:footnote w:id="1">
    <w:p w14:paraId="5DCB5FFD" w14:textId="77777777" w:rsidR="00234CA0" w:rsidRPr="0015590E" w:rsidRDefault="00234CA0" w:rsidP="00234CA0">
      <w:pPr>
        <w:pStyle w:val="FootnoteText"/>
        <w:rPr>
          <w:sz w:val="24"/>
          <w:szCs w:val="24"/>
        </w:rPr>
      </w:pPr>
      <w:r w:rsidRPr="0015590E">
        <w:rPr>
          <w:rStyle w:val="FootnoteReference"/>
          <w:sz w:val="24"/>
          <w:szCs w:val="24"/>
        </w:rPr>
        <w:footnoteRef/>
      </w:r>
      <w:r w:rsidRPr="0015590E">
        <w:rPr>
          <w:sz w:val="24"/>
          <w:szCs w:val="24"/>
        </w:rPr>
        <w:t xml:space="preserve"> </w:t>
      </w:r>
      <w:hyperlink r:id="rId1" w:history="1">
        <w:r w:rsidRPr="0015590E">
          <w:rPr>
            <w:rStyle w:val="Hyperlink"/>
            <w:sz w:val="24"/>
            <w:szCs w:val="24"/>
          </w:rPr>
          <w:t>Training and Employment Notice (TEN) 04-23</w:t>
        </w:r>
      </w:hyperlink>
      <w:r w:rsidRPr="0015590E">
        <w:rPr>
          <w:sz w:val="24"/>
          <w:szCs w:val="24"/>
        </w:rPr>
        <w:t xml:space="preserve"> and </w:t>
      </w:r>
      <w:hyperlink r:id="rId2" w:history="1">
        <w:r w:rsidRPr="0015590E">
          <w:rPr>
            <w:rStyle w:val="Hyperlink"/>
            <w:sz w:val="24"/>
            <w:szCs w:val="24"/>
          </w:rPr>
          <w:t>TEN 04-24</w:t>
        </w:r>
      </w:hyperlink>
      <w:r w:rsidRPr="0015590E">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042"/>
    <w:multiLevelType w:val="hybridMultilevel"/>
    <w:tmpl w:val="34A4D4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8BF614C"/>
    <w:multiLevelType w:val="hybridMultilevel"/>
    <w:tmpl w:val="01FA1E5A"/>
    <w:lvl w:ilvl="0" w:tplc="B79EA6B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3684B"/>
    <w:multiLevelType w:val="hybridMultilevel"/>
    <w:tmpl w:val="AA80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81FE3"/>
    <w:multiLevelType w:val="hybridMultilevel"/>
    <w:tmpl w:val="E4206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42061"/>
    <w:multiLevelType w:val="hybridMultilevel"/>
    <w:tmpl w:val="6D96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513976">
    <w:abstractNumId w:val="3"/>
  </w:num>
  <w:num w:numId="2" w16cid:durableId="639116612">
    <w:abstractNumId w:val="2"/>
  </w:num>
  <w:num w:numId="3" w16cid:durableId="471098934">
    <w:abstractNumId w:val="1"/>
  </w:num>
  <w:num w:numId="4" w16cid:durableId="1016463691">
    <w:abstractNumId w:val="0"/>
  </w:num>
  <w:num w:numId="5" w16cid:durableId="1435662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Te3tDA2MDMwNDBS0lEKTi0uzszPAykwqgUAPMmbliwAAAA="/>
  </w:docVars>
  <w:rsids>
    <w:rsidRoot w:val="008B3FB8"/>
    <w:rsid w:val="0005033B"/>
    <w:rsid w:val="00052F0A"/>
    <w:rsid w:val="00070F82"/>
    <w:rsid w:val="0007474A"/>
    <w:rsid w:val="00077AAB"/>
    <w:rsid w:val="000966B1"/>
    <w:rsid w:val="0012481F"/>
    <w:rsid w:val="00125797"/>
    <w:rsid w:val="001514DB"/>
    <w:rsid w:val="0015590E"/>
    <w:rsid w:val="001740DE"/>
    <w:rsid w:val="00175D98"/>
    <w:rsid w:val="001923AF"/>
    <w:rsid w:val="001A6A8E"/>
    <w:rsid w:val="001B0545"/>
    <w:rsid w:val="001B392F"/>
    <w:rsid w:val="001C0AF7"/>
    <w:rsid w:val="001C741C"/>
    <w:rsid w:val="00234CA0"/>
    <w:rsid w:val="0023716C"/>
    <w:rsid w:val="002E7A2D"/>
    <w:rsid w:val="003437A6"/>
    <w:rsid w:val="003471E9"/>
    <w:rsid w:val="00371C75"/>
    <w:rsid w:val="0038320A"/>
    <w:rsid w:val="004001D8"/>
    <w:rsid w:val="00415B7F"/>
    <w:rsid w:val="00423EEA"/>
    <w:rsid w:val="00443577"/>
    <w:rsid w:val="004D34A7"/>
    <w:rsid w:val="0056413C"/>
    <w:rsid w:val="005A7202"/>
    <w:rsid w:val="005E5F1F"/>
    <w:rsid w:val="006001D2"/>
    <w:rsid w:val="006572E1"/>
    <w:rsid w:val="00683720"/>
    <w:rsid w:val="006A4D40"/>
    <w:rsid w:val="006B0E65"/>
    <w:rsid w:val="006C1039"/>
    <w:rsid w:val="006F1AF2"/>
    <w:rsid w:val="006F5915"/>
    <w:rsid w:val="00701BAE"/>
    <w:rsid w:val="00733DFB"/>
    <w:rsid w:val="00786D5F"/>
    <w:rsid w:val="007A1879"/>
    <w:rsid w:val="007F514B"/>
    <w:rsid w:val="00834A1A"/>
    <w:rsid w:val="008461F0"/>
    <w:rsid w:val="008B3FB8"/>
    <w:rsid w:val="008B44D0"/>
    <w:rsid w:val="008C22D5"/>
    <w:rsid w:val="008E1DAB"/>
    <w:rsid w:val="008E566A"/>
    <w:rsid w:val="00916490"/>
    <w:rsid w:val="00947BD1"/>
    <w:rsid w:val="009828EA"/>
    <w:rsid w:val="009835FC"/>
    <w:rsid w:val="009B6BCF"/>
    <w:rsid w:val="009D21D5"/>
    <w:rsid w:val="00A36E87"/>
    <w:rsid w:val="00A4792A"/>
    <w:rsid w:val="00AB29EB"/>
    <w:rsid w:val="00AC0BD2"/>
    <w:rsid w:val="00AD5C44"/>
    <w:rsid w:val="00AE7182"/>
    <w:rsid w:val="00B06CC4"/>
    <w:rsid w:val="00B10C2B"/>
    <w:rsid w:val="00B125B2"/>
    <w:rsid w:val="00B17D68"/>
    <w:rsid w:val="00B202C6"/>
    <w:rsid w:val="00B25533"/>
    <w:rsid w:val="00B40C46"/>
    <w:rsid w:val="00B63321"/>
    <w:rsid w:val="00B814D8"/>
    <w:rsid w:val="00BA584F"/>
    <w:rsid w:val="00BA7D9E"/>
    <w:rsid w:val="00BC5784"/>
    <w:rsid w:val="00BE63C6"/>
    <w:rsid w:val="00C226DD"/>
    <w:rsid w:val="00C305F8"/>
    <w:rsid w:val="00C40950"/>
    <w:rsid w:val="00C46EEE"/>
    <w:rsid w:val="00C53927"/>
    <w:rsid w:val="00C62B97"/>
    <w:rsid w:val="00C63C8D"/>
    <w:rsid w:val="00C731AA"/>
    <w:rsid w:val="00C731D9"/>
    <w:rsid w:val="00D3528A"/>
    <w:rsid w:val="00D43F33"/>
    <w:rsid w:val="00D557BB"/>
    <w:rsid w:val="00D75038"/>
    <w:rsid w:val="00DD54EA"/>
    <w:rsid w:val="00DE35DB"/>
    <w:rsid w:val="00DF3A1E"/>
    <w:rsid w:val="00E52049"/>
    <w:rsid w:val="00E60397"/>
    <w:rsid w:val="00E60876"/>
    <w:rsid w:val="00E7369D"/>
    <w:rsid w:val="00E84D2C"/>
    <w:rsid w:val="00EC45DF"/>
    <w:rsid w:val="00EF2FB1"/>
    <w:rsid w:val="00F23F15"/>
    <w:rsid w:val="00F42516"/>
    <w:rsid w:val="00F510A9"/>
    <w:rsid w:val="00FC2299"/>
    <w:rsid w:val="00FD4F8D"/>
    <w:rsid w:val="00FE2869"/>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EC40"/>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B125B2"/>
    <w:pPr>
      <w:spacing w:before="240"/>
      <w:outlineLvl w:val="3"/>
    </w:pPr>
    <w:rPr>
      <w:rFonts w:eastAsiaTheme="majorEastAsia" w:cstheme="minorHAnsi"/>
      <w:b/>
      <w:bCs/>
    </w:rPr>
  </w:style>
  <w:style w:type="paragraph" w:styleId="Heading5">
    <w:name w:val="heading 5"/>
    <w:basedOn w:val="Normal"/>
    <w:next w:val="Normal"/>
    <w:link w:val="Heading5Char"/>
    <w:uiPriority w:val="9"/>
    <w:semiHidden/>
    <w:unhideWhenUsed/>
    <w:qFormat/>
    <w:rsid w:val="001C741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qFormat/>
    <w:rsid w:val="001C741C"/>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semiHidden/>
    <w:rsid w:val="001C741C"/>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CA0"/>
    <w:pPr>
      <w:ind w:left="720"/>
      <w:contextualSpacing/>
    </w:pPr>
  </w:style>
  <w:style w:type="paragraph" w:styleId="FootnoteText">
    <w:name w:val="footnote text"/>
    <w:basedOn w:val="Normal"/>
    <w:link w:val="FootnoteTextChar"/>
    <w:uiPriority w:val="99"/>
    <w:semiHidden/>
    <w:unhideWhenUsed/>
    <w:rsid w:val="00234CA0"/>
    <w:rPr>
      <w:sz w:val="20"/>
      <w:szCs w:val="20"/>
    </w:rPr>
  </w:style>
  <w:style w:type="character" w:customStyle="1" w:styleId="FootnoteTextChar">
    <w:name w:val="Footnote Text Char"/>
    <w:basedOn w:val="DefaultParagraphFont"/>
    <w:link w:val="FootnoteText"/>
    <w:uiPriority w:val="99"/>
    <w:semiHidden/>
    <w:rsid w:val="00234CA0"/>
    <w:rPr>
      <w:rFonts w:eastAsia="Times New Roman" w:cs="Times New Roman"/>
      <w:sz w:val="20"/>
      <w:szCs w:val="20"/>
    </w:rPr>
  </w:style>
  <w:style w:type="character" w:styleId="FootnoteReference">
    <w:name w:val="footnote reference"/>
    <w:basedOn w:val="DefaultParagraphFont"/>
    <w:uiPriority w:val="99"/>
    <w:semiHidden/>
    <w:unhideWhenUsed/>
    <w:rsid w:val="00234CA0"/>
    <w:rPr>
      <w:vertAlign w:val="superscript"/>
    </w:rPr>
  </w:style>
  <w:style w:type="character" w:styleId="CommentReference">
    <w:name w:val="annotation reference"/>
    <w:basedOn w:val="DefaultParagraphFont"/>
    <w:uiPriority w:val="99"/>
    <w:semiHidden/>
    <w:unhideWhenUsed/>
    <w:rsid w:val="008461F0"/>
    <w:rPr>
      <w:sz w:val="16"/>
      <w:szCs w:val="16"/>
    </w:rPr>
  </w:style>
  <w:style w:type="paragraph" w:styleId="CommentText">
    <w:name w:val="annotation text"/>
    <w:basedOn w:val="Normal"/>
    <w:link w:val="CommentTextChar"/>
    <w:uiPriority w:val="99"/>
    <w:unhideWhenUsed/>
    <w:rsid w:val="008461F0"/>
    <w:rPr>
      <w:sz w:val="20"/>
      <w:szCs w:val="20"/>
    </w:rPr>
  </w:style>
  <w:style w:type="character" w:customStyle="1" w:styleId="CommentTextChar">
    <w:name w:val="Comment Text Char"/>
    <w:basedOn w:val="DefaultParagraphFont"/>
    <w:link w:val="CommentText"/>
    <w:uiPriority w:val="99"/>
    <w:rsid w:val="008461F0"/>
    <w:rPr>
      <w:rFonts w:eastAsia="Times New Roman" w:cs="Times New Roman"/>
      <w:sz w:val="20"/>
      <w:szCs w:val="20"/>
    </w:rPr>
  </w:style>
  <w:style w:type="character" w:customStyle="1" w:styleId="Heading4Char">
    <w:name w:val="Heading 4 Char"/>
    <w:basedOn w:val="DefaultParagraphFont"/>
    <w:link w:val="Heading4"/>
    <w:uiPriority w:val="9"/>
    <w:rsid w:val="00B125B2"/>
    <w:rPr>
      <w:rFonts w:eastAsiaTheme="majorEastAsia" w:cstheme="minorHAnsi"/>
      <w:b/>
      <w:bCs/>
      <w:sz w:val="24"/>
      <w:szCs w:val="24"/>
    </w:rPr>
  </w:style>
  <w:style w:type="character" w:styleId="UnresolvedMention">
    <w:name w:val="Unresolved Mention"/>
    <w:basedOn w:val="DefaultParagraphFont"/>
    <w:uiPriority w:val="99"/>
    <w:semiHidden/>
    <w:unhideWhenUsed/>
    <w:rsid w:val="006572E1"/>
    <w:rPr>
      <w:color w:val="605E5C"/>
      <w:shd w:val="clear" w:color="auto" w:fill="E1DFDD"/>
    </w:rPr>
  </w:style>
  <w:style w:type="paragraph" w:styleId="Revision">
    <w:name w:val="Revision"/>
    <w:hidden/>
    <w:uiPriority w:val="99"/>
    <w:semiHidden/>
    <w:rsid w:val="007F514B"/>
    <w:pPr>
      <w:spacing w:after="0"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15B7F"/>
    <w:rPr>
      <w:b/>
      <w:bCs/>
    </w:rPr>
  </w:style>
  <w:style w:type="character" w:customStyle="1" w:styleId="CommentSubjectChar">
    <w:name w:val="Comment Subject Char"/>
    <w:basedOn w:val="CommentTextChar"/>
    <w:link w:val="CommentSubject"/>
    <w:uiPriority w:val="99"/>
    <w:semiHidden/>
    <w:rsid w:val="00415B7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d.ca.gov/en/jobs_and_training/Active_Directiv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d.ca.gov/siteassets/files/jobs_and_training/pubs/wsd25-01att1.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yperlink" Target="mailto:PolicyUnit@cwdb.ca.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licyUnit@cwdb.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TA/advisories/TEN/2024/TEN%2004-24/TEN%2004-24.pdf" TargetMode="External"/><Relationship Id="rId1" Type="http://schemas.openxmlformats.org/officeDocument/2006/relationships/hyperlink" Target="https://www.dol.gov/sites/dolgov/files/ETA/advisories/TEN/2023/TEN%2004-23/TEN%2004-23%20%28Complete%20PDF%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raft Directive" ma:contentTypeID="0x0101009CCA0FCD852C9F4698247C3EFE263C8B00317D270D879B7B4A8EE6E3B72423157E" ma:contentTypeVersion="9" ma:contentTypeDescription="" ma:contentTypeScope="" ma:versionID="31a148738b8f62342bda30c4967caccc">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F5F4B-9EEA-4F8C-8852-AD8FBD52E946}">
  <ds:schemaRef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3.xml><?xml version="1.0" encoding="utf-8"?>
<ds:datastoreItem xmlns:ds="http://schemas.openxmlformats.org/officeDocument/2006/customXml" ds:itemID="{A23C7FF8-211D-44ED-8635-801A8C69B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Performing Boards</dc:title>
  <dc:subject/>
  <dc:creator>Workforce Services</dc:creator>
  <cp:keywords/>
  <dc:description/>
  <cp:lastModifiedBy>Richardson, Jeffrey@EDD</cp:lastModifiedBy>
  <cp:revision>8</cp:revision>
  <dcterms:created xsi:type="dcterms:W3CDTF">2026-01-13T00:04:00Z</dcterms:created>
  <dcterms:modified xsi:type="dcterms:W3CDTF">2026-01-23T19:30:00Z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0x0101009CCA0FCD852C9F4698247C3EFE263C8B00317D270D879B7B4A8EE6E3B72423157E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GrammarlyDocumentId">
    <vt:lpwstr>123570a4-a0bc-40c9-bc8a-fea454b32c04</vt:lpwstr>
  </property>
</Properties>
</file>