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245"/>
        <w:gridCol w:w="5039"/>
        <w:gridCol w:w="2076"/>
      </w:tblGrid>
      <w:tr w:rsidR="003351EA" w:rsidRPr="003351EA" w14:paraId="42A1243A" w14:textId="77777777" w:rsidTr="00412935">
        <w:tc>
          <w:tcPr>
            <w:tcW w:w="2245" w:type="dxa"/>
          </w:tcPr>
          <w:p w14:paraId="2AD48541" w14:textId="77777777" w:rsidR="003351EA" w:rsidRPr="003351EA" w:rsidRDefault="003351EA" w:rsidP="003351EA">
            <w:pPr>
              <w:outlineLvl w:val="9"/>
              <w:rPr>
                <w:rFonts w:ascii="Calibri" w:eastAsia="Aptos" w:hAnsi="Calibri" w:cs="Calibri"/>
                <w:kern w:val="2"/>
                <w:szCs w:val="22"/>
                <w14:ligatures w14:val="standardContextual"/>
              </w:rPr>
            </w:pPr>
            <w:bookmarkStart w:id="0" w:name="_Hlk146795579"/>
            <w:bookmarkStart w:id="1" w:name="_Hlk146795097"/>
            <w:r w:rsidRPr="003351EA">
              <w:rPr>
                <w:rFonts w:ascii="Calibri" w:hAnsi="Calibri"/>
                <w:noProof/>
              </w:rPr>
              <w:drawing>
                <wp:inline distT="0" distB="0" distL="0" distR="0" wp14:anchorId="3AF7904D" wp14:editId="2887F9A9">
                  <wp:extent cx="1112520" cy="695325"/>
                  <wp:effectExtent l="0" t="0" r="0" b="9525"/>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606" cy="727254"/>
                          </a:xfrm>
                          <a:prstGeom prst="rect">
                            <a:avLst/>
                          </a:prstGeom>
                          <a:noFill/>
                          <a:ln>
                            <a:noFill/>
                          </a:ln>
                        </pic:spPr>
                      </pic:pic>
                    </a:graphicData>
                  </a:graphic>
                </wp:inline>
              </w:drawing>
            </w:r>
          </w:p>
        </w:tc>
        <w:tc>
          <w:tcPr>
            <w:tcW w:w="5045" w:type="dxa"/>
          </w:tcPr>
          <w:p w14:paraId="3608E1EF" w14:textId="77777777" w:rsidR="003351EA" w:rsidRPr="003351EA" w:rsidRDefault="003351EA" w:rsidP="00575797">
            <w:pPr>
              <w:pStyle w:val="Heading1"/>
            </w:pPr>
            <w:r w:rsidRPr="003351EA">
              <w:t>Directive</w:t>
            </w:r>
          </w:p>
          <w:p w14:paraId="0DD06711" w14:textId="45E0040D" w:rsidR="003351EA" w:rsidRPr="003351EA" w:rsidRDefault="003351EA" w:rsidP="002D71F6">
            <w:pPr>
              <w:jc w:val="center"/>
              <w:outlineLvl w:val="9"/>
              <w:rPr>
                <w:rFonts w:ascii="Calibri" w:eastAsia="Aptos" w:hAnsi="Calibri" w:cs="Calibri"/>
                <w:kern w:val="2"/>
                <w:szCs w:val="22"/>
                <w14:ligatures w14:val="standardContextual"/>
              </w:rPr>
            </w:pPr>
            <w:r w:rsidRPr="003351EA">
              <w:rPr>
                <w:rFonts w:ascii="Calibri" w:hAnsi="Calibri"/>
                <w:b/>
              </w:rPr>
              <w:t xml:space="preserve">Date: </w:t>
            </w:r>
            <w:r w:rsidR="00054967">
              <w:t xml:space="preserve">June 6, </w:t>
            </w:r>
            <w:proofErr w:type="gramStart"/>
            <w:r w:rsidR="00054967">
              <w:t>2025</w:t>
            </w:r>
            <w:proofErr w:type="gramEnd"/>
            <w:r w:rsidRPr="003351EA">
              <w:rPr>
                <w:rFonts w:ascii="Calibri" w:hAnsi="Calibri"/>
                <w:b/>
              </w:rPr>
              <w:t xml:space="preserve"> Number: </w:t>
            </w:r>
            <w:r w:rsidRPr="003351EA">
              <w:rPr>
                <w:rFonts w:ascii="Calibri" w:hAnsi="Calibri"/>
              </w:rPr>
              <w:t>WSD</w:t>
            </w:r>
            <w:r w:rsidR="00054967">
              <w:rPr>
                <w:rFonts w:ascii="Calibri" w:hAnsi="Calibri"/>
              </w:rPr>
              <w:t>24</w:t>
            </w:r>
            <w:r w:rsidRPr="003351EA">
              <w:rPr>
                <w:rFonts w:ascii="Calibri" w:hAnsi="Calibri"/>
              </w:rPr>
              <w:t>-</w:t>
            </w:r>
            <w:r w:rsidR="00054967">
              <w:rPr>
                <w:rFonts w:ascii="Calibri" w:hAnsi="Calibri"/>
              </w:rPr>
              <w:t>17</w:t>
            </w:r>
          </w:p>
        </w:tc>
        <w:tc>
          <w:tcPr>
            <w:tcW w:w="2060" w:type="dxa"/>
          </w:tcPr>
          <w:p w14:paraId="0F0EB778" w14:textId="2AEA3F1C" w:rsidR="003351EA" w:rsidRPr="003351EA" w:rsidRDefault="00412935" w:rsidP="003351EA">
            <w:pPr>
              <w:spacing w:before="120"/>
              <w:outlineLvl w:val="9"/>
              <w:rPr>
                <w:rFonts w:ascii="Calibri" w:eastAsia="Aptos" w:hAnsi="Calibri" w:cs="Calibri"/>
                <w:kern w:val="2"/>
                <w:szCs w:val="22"/>
                <w14:ligatures w14:val="standardContextual"/>
              </w:rPr>
            </w:pPr>
            <w:r w:rsidRPr="003351EA">
              <w:rPr>
                <w:rFonts w:ascii="Calibri" w:hAnsi="Calibri"/>
                <w:noProof/>
              </w:rPr>
              <w:drawing>
                <wp:inline distT="0" distB="0" distL="0" distR="0" wp14:anchorId="7783E68A" wp14:editId="202685D5">
                  <wp:extent cx="1181100" cy="499237"/>
                  <wp:effectExtent l="0" t="0" r="0" b="0"/>
                  <wp:docPr id="7" name="Picture 7" descr="Department Logo: California Workforce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partment Logo: California Workforce Development Bo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3767" cy="504591"/>
                          </a:xfrm>
                          <a:prstGeom prst="rect">
                            <a:avLst/>
                          </a:prstGeom>
                          <a:noFill/>
                          <a:ln>
                            <a:noFill/>
                          </a:ln>
                        </pic:spPr>
                      </pic:pic>
                    </a:graphicData>
                  </a:graphic>
                </wp:inline>
              </w:drawing>
            </w:r>
          </w:p>
        </w:tc>
      </w:tr>
    </w:tbl>
    <w:p w14:paraId="6FC0B1E2" w14:textId="5E26B8D0" w:rsidR="00B17D68" w:rsidRPr="00BA060D" w:rsidRDefault="00B17D68" w:rsidP="00BA060D">
      <w:pPr>
        <w:pBdr>
          <w:bottom w:val="single" w:sz="4" w:space="1" w:color="auto"/>
        </w:pBdr>
        <w:rPr>
          <w:sz w:val="20"/>
          <w:szCs w:val="20"/>
        </w:rPr>
      </w:pPr>
    </w:p>
    <w:bookmarkEnd w:id="0"/>
    <w:p w14:paraId="522B63CA" w14:textId="005A6DA9" w:rsidR="00BA060D" w:rsidRPr="00821F43" w:rsidRDefault="00BA060D" w:rsidP="00821F43">
      <w:pPr>
        <w:pStyle w:val="Heading2"/>
      </w:pPr>
      <w:r>
        <w:br/>
      </w:r>
      <w:r w:rsidR="0095773F">
        <w:t>Salary and Bonus Limitations</w:t>
      </w:r>
      <w:r w:rsidR="00896BE5" w:rsidRPr="00821F43">
        <w:br/>
      </w:r>
    </w:p>
    <w:p w14:paraId="4D586E26" w14:textId="2FA6E891" w:rsidR="00BA060D" w:rsidRPr="00821F43" w:rsidRDefault="00BA060D" w:rsidP="00821F43">
      <w:pPr>
        <w:pStyle w:val="Heading3"/>
      </w:pPr>
      <w:bookmarkStart w:id="2" w:name="_Hlk146794571"/>
      <w:r w:rsidRPr="00821F43">
        <w:t>E</w:t>
      </w:r>
      <w:r w:rsidR="00821F43" w:rsidRPr="00821F43">
        <w:t>xecutive</w:t>
      </w:r>
      <w:r w:rsidRPr="00821F43">
        <w:t xml:space="preserve"> S</w:t>
      </w:r>
      <w:r w:rsidR="00821F43" w:rsidRPr="00821F43">
        <w:t>ummary</w:t>
      </w:r>
      <w:bookmarkEnd w:id="2"/>
    </w:p>
    <w:p w14:paraId="54868B3C" w14:textId="77777777" w:rsidR="00BA060D" w:rsidRDefault="00BA060D" w:rsidP="00BA060D">
      <w:pPr>
        <w:pBdr>
          <w:bottom w:val="double" w:sz="12" w:space="1" w:color="E58E1A"/>
        </w:pBdr>
        <w:outlineLvl w:val="9"/>
      </w:pPr>
      <w:bookmarkStart w:id="3" w:name="_Hlk146795300"/>
    </w:p>
    <w:bookmarkEnd w:id="3"/>
    <w:p w14:paraId="4FD56B51" w14:textId="53359D2D" w:rsidR="00BA060D" w:rsidRPr="009459F5" w:rsidRDefault="0095773F" w:rsidP="00BA060D">
      <w:pPr>
        <w:rPr>
          <w:sz w:val="32"/>
          <w:szCs w:val="32"/>
        </w:rPr>
      </w:pPr>
      <w:r w:rsidRPr="00F42516">
        <w:t xml:space="preserve">This policy provides the guidance and establishes the procedures regarding </w:t>
      </w:r>
      <w:r>
        <w:t>salary and bonus limitations for individuals paid by funds appropriated to the Department of Labor (DOL) Employment and Training Administration (ETA)</w:t>
      </w:r>
      <w:r w:rsidRPr="00F42516">
        <w:t xml:space="preserve">. This policy applies to </w:t>
      </w:r>
      <w:r>
        <w:t xml:space="preserve">all recipients and subrecipients expending </w:t>
      </w:r>
      <w:r w:rsidRPr="004079FA">
        <w:rPr>
          <w:i/>
          <w:iCs/>
        </w:rPr>
        <w:t>Workforce Innovation and Opportunity Act</w:t>
      </w:r>
      <w:r>
        <w:t xml:space="preserve"> (WIOA) program funds.</w:t>
      </w:r>
      <w:r w:rsidRPr="00F42516">
        <w:br/>
      </w:r>
      <w:r w:rsidRPr="00F42516">
        <w:br/>
        <w:t xml:space="preserve">This policy contains </w:t>
      </w:r>
      <w:r>
        <w:t>no</w:t>
      </w:r>
      <w:r w:rsidRPr="00F42516">
        <w:t xml:space="preserve"> state-imposed requirements.</w:t>
      </w:r>
      <w:r w:rsidRPr="00F42516">
        <w:br/>
      </w:r>
      <w:r w:rsidRPr="00F42516">
        <w:br/>
        <w:t xml:space="preserve">This policy supersedes Workforce Services Directive </w:t>
      </w:r>
      <w:r>
        <w:rPr>
          <w:i/>
        </w:rPr>
        <w:t>Salary and Bonus Limitations for 2023</w:t>
      </w:r>
      <w:r w:rsidRPr="00F42516">
        <w:rPr>
          <w:i/>
        </w:rPr>
        <w:t xml:space="preserve"> </w:t>
      </w:r>
      <w:r>
        <w:t>(WSD22-10)</w:t>
      </w:r>
      <w:r w:rsidRPr="00F42516">
        <w:t xml:space="preserve">, dated </w:t>
      </w:r>
      <w:r>
        <w:t>March 21, 2023</w:t>
      </w:r>
      <w:r w:rsidRPr="00F42516">
        <w:t xml:space="preserve">. </w:t>
      </w:r>
      <w:r w:rsidRPr="00AB29EB">
        <w:t xml:space="preserve">This </w:t>
      </w:r>
      <w:r>
        <w:t xml:space="preserve">Directive is effective immediately and </w:t>
      </w:r>
      <w:r w:rsidRPr="00AB29EB">
        <w:t>remains active until further notice.</w:t>
      </w:r>
      <w:r w:rsidR="00BA060D">
        <w:br/>
      </w:r>
    </w:p>
    <w:p w14:paraId="4982D718" w14:textId="33D8A61F" w:rsidR="00BA060D" w:rsidRPr="00821F43" w:rsidRDefault="00BA060D" w:rsidP="00821F43">
      <w:pPr>
        <w:pStyle w:val="Heading3"/>
        <w:rPr>
          <w:color w:val="FF7DA5"/>
        </w:rPr>
      </w:pPr>
      <w:r w:rsidRPr="00821F43">
        <w:t>R</w:t>
      </w:r>
      <w:r w:rsidR="00821F43" w:rsidRPr="00821F43">
        <w:t>eferences</w:t>
      </w:r>
    </w:p>
    <w:p w14:paraId="3B82974D" w14:textId="77777777" w:rsidR="00BA060D" w:rsidRPr="005C0EFE" w:rsidRDefault="00BA060D" w:rsidP="00BA060D">
      <w:pPr>
        <w:pBdr>
          <w:bottom w:val="double" w:sz="12" w:space="1" w:color="E58E1A"/>
        </w:pBdr>
        <w:outlineLvl w:val="9"/>
      </w:pPr>
    </w:p>
    <w:p w14:paraId="685C60E5" w14:textId="77777777" w:rsidR="0095773F" w:rsidRDefault="0095773F" w:rsidP="0095773F">
      <w:pPr>
        <w:pStyle w:val="ListParagraph"/>
        <w:numPr>
          <w:ilvl w:val="0"/>
          <w:numId w:val="1"/>
        </w:numPr>
        <w:outlineLvl w:val="9"/>
      </w:pPr>
      <w:r w:rsidRPr="009E5AE7">
        <w:rPr>
          <w:i/>
        </w:rPr>
        <w:t>Emergency Supplemental Appropriations Act for Defense, the Global War on Terror, and Hurricane Recovery, 2006</w:t>
      </w:r>
      <w:r>
        <w:t xml:space="preserve"> (Public Law 109-234), Title VII, Section 7013</w:t>
      </w:r>
    </w:p>
    <w:p w14:paraId="3AFE1AD7" w14:textId="77777777" w:rsidR="0095773F" w:rsidRDefault="0095773F" w:rsidP="0095773F">
      <w:pPr>
        <w:pStyle w:val="ListParagraph"/>
        <w:numPr>
          <w:ilvl w:val="0"/>
          <w:numId w:val="1"/>
        </w:numPr>
        <w:outlineLvl w:val="9"/>
      </w:pPr>
      <w:r>
        <w:t>WIOA (Public Law 113-128)</w:t>
      </w:r>
    </w:p>
    <w:p w14:paraId="4158884A" w14:textId="77777777" w:rsidR="0095773F" w:rsidRDefault="0095773F" w:rsidP="0095773F">
      <w:pPr>
        <w:pStyle w:val="ListParagraph"/>
        <w:numPr>
          <w:ilvl w:val="0"/>
          <w:numId w:val="1"/>
        </w:numPr>
        <w:outlineLvl w:val="9"/>
      </w:pPr>
      <w:bookmarkStart w:id="4" w:name="_Hlk190264350"/>
      <w:r w:rsidRPr="000B483E">
        <w:t xml:space="preserve">Title 2 </w:t>
      </w:r>
      <w:r w:rsidRPr="009E5AE7">
        <w:rPr>
          <w:i/>
        </w:rPr>
        <w:t>Code of Federal Regulations</w:t>
      </w:r>
      <w:r>
        <w:t xml:space="preserve"> (CFR) Part 200: Uniform Administrative Requirements, Cost Principles, and Audit Requirements for Federal Awards (Uniform Guidance)</w:t>
      </w:r>
    </w:p>
    <w:p w14:paraId="7C716515" w14:textId="77777777" w:rsidR="0095773F" w:rsidRDefault="0095773F" w:rsidP="0095773F">
      <w:pPr>
        <w:pStyle w:val="ListParagraph"/>
        <w:numPr>
          <w:ilvl w:val="0"/>
          <w:numId w:val="1"/>
        </w:numPr>
        <w:outlineLvl w:val="9"/>
      </w:pPr>
      <w:bookmarkStart w:id="5" w:name="_Hlk190264389"/>
      <w:bookmarkEnd w:id="4"/>
      <w:r w:rsidRPr="002B0B8D">
        <w:t>Title 2 CFR Part 2900: Uniform Administrative Requirements, Cost Principles, and Audit Requirements for Federal Awards (DOL Exceptions)</w:t>
      </w:r>
    </w:p>
    <w:bookmarkEnd w:id="5"/>
    <w:p w14:paraId="253FCD8B" w14:textId="77777777" w:rsidR="0095773F" w:rsidRDefault="0095773F" w:rsidP="0095773F">
      <w:pPr>
        <w:pStyle w:val="ListParagraph"/>
        <w:numPr>
          <w:ilvl w:val="0"/>
          <w:numId w:val="1"/>
        </w:numPr>
        <w:outlineLvl w:val="9"/>
      </w:pPr>
      <w:r>
        <w:t xml:space="preserve">Title 20 CFR Part 683: </w:t>
      </w:r>
      <w:r w:rsidRPr="00E67977">
        <w:t>Administrative Provisions Under Title I of the WIOA</w:t>
      </w:r>
    </w:p>
    <w:p w14:paraId="1BBD0B2A" w14:textId="77777777" w:rsidR="0095773F" w:rsidRDefault="0095773F" w:rsidP="0095773F">
      <w:pPr>
        <w:pStyle w:val="ListParagraph"/>
        <w:numPr>
          <w:ilvl w:val="0"/>
          <w:numId w:val="1"/>
        </w:numPr>
        <w:outlineLvl w:val="9"/>
      </w:pPr>
      <w:r w:rsidRPr="00996BB2">
        <w:t xml:space="preserve">5 </w:t>
      </w:r>
      <w:r>
        <w:t>United States Code (</w:t>
      </w:r>
      <w:r w:rsidRPr="00996BB2">
        <w:t>U.S.C.</w:t>
      </w:r>
      <w:r>
        <w:t>)</w:t>
      </w:r>
      <w:r w:rsidRPr="00996BB2">
        <w:t xml:space="preserve"> </w:t>
      </w:r>
      <w:r>
        <w:t>Part 3: Employees, Sections</w:t>
      </w:r>
      <w:r w:rsidRPr="00996BB2">
        <w:t xml:space="preserve"> 53</w:t>
      </w:r>
      <w:r>
        <w:t>13 and 5</w:t>
      </w:r>
      <w:r w:rsidRPr="009968C3">
        <w:rPr>
          <w:rFonts w:cstheme="minorHAnsi"/>
        </w:rPr>
        <w:t>318[b]</w:t>
      </w:r>
    </w:p>
    <w:p w14:paraId="3E62108A" w14:textId="77777777" w:rsidR="0095773F" w:rsidRDefault="0095773F" w:rsidP="0095773F">
      <w:pPr>
        <w:pStyle w:val="ListParagraph"/>
        <w:numPr>
          <w:ilvl w:val="0"/>
          <w:numId w:val="1"/>
        </w:numPr>
        <w:outlineLvl w:val="9"/>
      </w:pPr>
      <w:r>
        <w:t>Office of Management and Budget (</w:t>
      </w:r>
      <w:r w:rsidRPr="00A662A9">
        <w:t>OMB</w:t>
      </w:r>
      <w:r>
        <w:t>)</w:t>
      </w:r>
      <w:r w:rsidRPr="00A662A9">
        <w:t xml:space="preserve"> Circular No. A-11</w:t>
      </w:r>
      <w:r>
        <w:t xml:space="preserve">, </w:t>
      </w:r>
      <w:r w:rsidRPr="00A662A9">
        <w:rPr>
          <w:i/>
          <w:iCs/>
        </w:rPr>
        <w:t>Preparing, Submitting, and Executing the Budget</w:t>
      </w:r>
      <w:r w:rsidRPr="00A662A9">
        <w:t xml:space="preserve"> </w:t>
      </w:r>
      <w:r>
        <w:t>(July 2024)</w:t>
      </w:r>
    </w:p>
    <w:p w14:paraId="53216682" w14:textId="77777777" w:rsidR="0095773F" w:rsidRPr="0095773F" w:rsidRDefault="0095773F" w:rsidP="0095773F">
      <w:pPr>
        <w:pStyle w:val="ListParagraph"/>
        <w:numPr>
          <w:ilvl w:val="0"/>
          <w:numId w:val="1"/>
        </w:numPr>
        <w:outlineLvl w:val="9"/>
        <w:rPr>
          <w:rStyle w:val="Hyperlink"/>
          <w:color w:val="auto"/>
          <w:u w:val="none"/>
        </w:rPr>
      </w:pPr>
      <w:r w:rsidRPr="0095773F">
        <w:rPr>
          <w:rStyle w:val="Hyperlink"/>
          <w:color w:val="auto"/>
          <w:u w:val="none"/>
        </w:rPr>
        <w:t xml:space="preserve">Training and Employment Guidance Letter (TEGL) 10-24, </w:t>
      </w:r>
      <w:r w:rsidRPr="0095773F">
        <w:rPr>
          <w:rStyle w:val="Hyperlink"/>
          <w:i/>
          <w:iCs/>
          <w:color w:val="auto"/>
          <w:u w:val="none"/>
        </w:rPr>
        <w:t>Salary and Bonus Limitation Imposed by Appropriations Language</w:t>
      </w:r>
    </w:p>
    <w:p w14:paraId="4366640A" w14:textId="77777777" w:rsidR="0095773F" w:rsidRDefault="0095773F" w:rsidP="0095773F">
      <w:pPr>
        <w:pStyle w:val="ListParagraph"/>
        <w:numPr>
          <w:ilvl w:val="0"/>
          <w:numId w:val="1"/>
        </w:numPr>
        <w:outlineLvl w:val="9"/>
        <w:rPr>
          <w:rStyle w:val="Hyperlink"/>
        </w:rPr>
      </w:pPr>
      <w:r>
        <w:t>United States Office of Personnel Management (OPM), Salaries &amp; Wages (</w:t>
      </w:r>
      <w:hyperlink r:id="rId13" w:history="1">
        <w:r w:rsidRPr="0095773F">
          <w:rPr>
            <w:rStyle w:val="Hyperlink"/>
            <w:u w:val="none"/>
          </w:rPr>
          <w:t>webpage</w:t>
        </w:r>
      </w:hyperlink>
      <w:r>
        <w:t>)</w:t>
      </w:r>
    </w:p>
    <w:p w14:paraId="5A4B0AF0" w14:textId="566E811F" w:rsidR="00BA060D" w:rsidRPr="009459F5" w:rsidRDefault="00896BE5" w:rsidP="00BA060D">
      <w:pPr>
        <w:outlineLvl w:val="9"/>
        <w:rPr>
          <w:sz w:val="32"/>
          <w:szCs w:val="32"/>
        </w:rPr>
      </w:pPr>
      <w:r>
        <w:br/>
      </w:r>
    </w:p>
    <w:p w14:paraId="0BEF71C2" w14:textId="552B8407" w:rsidR="00BA060D" w:rsidRPr="005C0EFE" w:rsidRDefault="00BA060D" w:rsidP="00821F43">
      <w:pPr>
        <w:pStyle w:val="Heading3"/>
      </w:pPr>
      <w:r w:rsidRPr="005C0EFE">
        <w:lastRenderedPageBreak/>
        <w:t>B</w:t>
      </w:r>
      <w:r w:rsidR="00821F43">
        <w:t>ackground</w:t>
      </w:r>
    </w:p>
    <w:p w14:paraId="7BEBC769" w14:textId="77777777" w:rsidR="00BA060D" w:rsidRDefault="00BA060D" w:rsidP="00BA060D">
      <w:pPr>
        <w:pBdr>
          <w:bottom w:val="double" w:sz="12" w:space="1" w:color="E58E1A"/>
        </w:pBdr>
        <w:outlineLvl w:val="9"/>
      </w:pPr>
    </w:p>
    <w:p w14:paraId="23FC1C58" w14:textId="77777777" w:rsidR="0095773F" w:rsidRDefault="0095773F" w:rsidP="0095773F">
      <w:bookmarkStart w:id="6" w:name="_Hlk178668951"/>
      <w:r>
        <w:t xml:space="preserve">In 2006, </w:t>
      </w:r>
      <w:r w:rsidRPr="00DC11A6">
        <w:t xml:space="preserve">Public Law 109-234 </w:t>
      </w:r>
      <w:bookmarkEnd w:id="6"/>
      <w:r w:rsidRPr="00DC11A6">
        <w:t xml:space="preserve">Section 7013 established limitations on salary and bonus compensation for individuals paid with funds appropriated to the DOL ETA and </w:t>
      </w:r>
      <w:r>
        <w:t>distributed</w:t>
      </w:r>
      <w:r w:rsidRPr="00DC11A6">
        <w:t xml:space="preserve"> to recipients and subrecipients. The law caps salaries and bonuses paid </w:t>
      </w:r>
      <w:r>
        <w:t xml:space="preserve">to an individual </w:t>
      </w:r>
      <w:r w:rsidRPr="00DC11A6">
        <w:t xml:space="preserve">with </w:t>
      </w:r>
      <w:r>
        <w:t xml:space="preserve">DOL ETA </w:t>
      </w:r>
      <w:r w:rsidRPr="00DC11A6">
        <w:t>funds</w:t>
      </w:r>
      <w:r>
        <w:t xml:space="preserve"> </w:t>
      </w:r>
      <w:r w:rsidRPr="00DC11A6">
        <w:t>at the</w:t>
      </w:r>
      <w:r>
        <w:t xml:space="preserve"> federal</w:t>
      </w:r>
      <w:r w:rsidRPr="00DC11A6">
        <w:t xml:space="preserve"> Executive Level II</w:t>
      </w:r>
      <w:r>
        <w:t xml:space="preserve"> rate</w:t>
      </w:r>
      <w:r w:rsidRPr="00DC11A6">
        <w:t>.</w:t>
      </w:r>
      <w:r>
        <w:t xml:space="preserve"> </w:t>
      </w:r>
      <w:r w:rsidRPr="00DC11A6">
        <w:t xml:space="preserve">Since its enactment, </w:t>
      </w:r>
      <w:r>
        <w:t>this</w:t>
      </w:r>
      <w:r w:rsidRPr="00DC11A6">
        <w:t xml:space="preserve"> provision has been included in all subsequent consolidated appropriations acts, ensuring the continued application of these limits.</w:t>
      </w:r>
    </w:p>
    <w:p w14:paraId="0E6B9F4B" w14:textId="0DF2DFDA" w:rsidR="00BA060D" w:rsidRPr="009459F5" w:rsidRDefault="00BA060D" w:rsidP="00BA060D">
      <w:pPr>
        <w:outlineLvl w:val="9"/>
        <w:rPr>
          <w:sz w:val="32"/>
          <w:szCs w:val="32"/>
        </w:rPr>
      </w:pPr>
    </w:p>
    <w:p w14:paraId="51CABB24" w14:textId="6C71C768" w:rsidR="00BA060D" w:rsidRPr="005C0EFE" w:rsidRDefault="00BA060D" w:rsidP="00821F43">
      <w:pPr>
        <w:pStyle w:val="Heading3"/>
      </w:pPr>
      <w:r w:rsidRPr="005C0EFE">
        <w:t>P</w:t>
      </w:r>
      <w:r w:rsidR="00821F43">
        <w:t>olicy and Procedures</w:t>
      </w:r>
    </w:p>
    <w:p w14:paraId="697A2513" w14:textId="77777777" w:rsidR="00BA060D" w:rsidRDefault="00BA060D" w:rsidP="00BA060D">
      <w:pPr>
        <w:pBdr>
          <w:bottom w:val="double" w:sz="12" w:space="1" w:color="E58E1A"/>
        </w:pBdr>
        <w:outlineLvl w:val="9"/>
      </w:pPr>
    </w:p>
    <w:p w14:paraId="38C95CB2" w14:textId="47EBD88B" w:rsidR="0095773F" w:rsidRDefault="0095773F" w:rsidP="002D296F">
      <w:pPr>
        <w:rPr>
          <w:i/>
          <w:iCs/>
        </w:rPr>
      </w:pPr>
      <w:r>
        <w:t>This Directive</w:t>
      </w:r>
      <w:r w:rsidRPr="006D2595">
        <w:t xml:space="preserve"> reflects key </w:t>
      </w:r>
      <w:r>
        <w:t>provisions</w:t>
      </w:r>
      <w:r w:rsidRPr="006D2595">
        <w:t xml:space="preserve"> of TEGL 10-24</w:t>
      </w:r>
      <w:r>
        <w:t xml:space="preserve">, </w:t>
      </w:r>
      <w:r w:rsidRPr="00972A92">
        <w:t>Salary and Bonus Limitation Imposed by Appropriations Language</w:t>
      </w:r>
      <w:r>
        <w:t xml:space="preserve">. </w:t>
      </w:r>
      <w:r w:rsidRPr="008B55C7">
        <w:t xml:space="preserve">The following information </w:t>
      </w:r>
      <w:r>
        <w:t>provides</w:t>
      </w:r>
      <w:r w:rsidRPr="008B55C7">
        <w:t xml:space="preserve"> guidance </w:t>
      </w:r>
      <w:r>
        <w:t xml:space="preserve">on </w:t>
      </w:r>
      <w:r w:rsidRPr="008B55C7">
        <w:t xml:space="preserve">understanding and applying the </w:t>
      </w:r>
      <w:r>
        <w:t xml:space="preserve">federal </w:t>
      </w:r>
      <w:r w:rsidRPr="008B55C7">
        <w:t>salary and bonus limitations</w:t>
      </w:r>
      <w:r>
        <w:t xml:space="preserve">. Recipients and subrecipients should refer to TEGL </w:t>
      </w:r>
      <w:r w:rsidR="008B0B6C">
        <w:t xml:space="preserve">10-24 </w:t>
      </w:r>
      <w:r>
        <w:t>for the most comprehensive and current guidance.</w:t>
      </w:r>
    </w:p>
    <w:p w14:paraId="4E0C404D" w14:textId="77777777" w:rsidR="0095773F" w:rsidRDefault="0095773F" w:rsidP="0095773F"/>
    <w:p w14:paraId="6FF348F5" w14:textId="77777777" w:rsidR="0095773F" w:rsidRPr="008B6CCD" w:rsidRDefault="0095773F" w:rsidP="0095773F">
      <w:r w:rsidRPr="008B6CCD">
        <w:t xml:space="preserve">For the </w:t>
      </w:r>
      <w:r>
        <w:t>p</w:t>
      </w:r>
      <w:r w:rsidRPr="008B6CCD">
        <w:t>urpose</w:t>
      </w:r>
      <w:r>
        <w:t>s</w:t>
      </w:r>
      <w:r w:rsidRPr="008B6CCD">
        <w:t xml:space="preserve"> of this Directive</w:t>
      </w:r>
      <w:r>
        <w:t>,</w:t>
      </w:r>
      <w:r w:rsidRPr="008B6CCD">
        <w:t xml:space="preserve"> the following </w:t>
      </w:r>
      <w:r>
        <w:t>d</w:t>
      </w:r>
      <w:r w:rsidRPr="008B6CCD">
        <w:t>efinitions apply:</w:t>
      </w:r>
    </w:p>
    <w:p w14:paraId="6342CCC6" w14:textId="77777777" w:rsidR="0095773F" w:rsidRPr="008B6CCD" w:rsidRDefault="0095773F" w:rsidP="0095773F">
      <w:pPr>
        <w:rPr>
          <w:b/>
          <w:bCs/>
        </w:rPr>
      </w:pPr>
    </w:p>
    <w:p w14:paraId="14B6A5D1" w14:textId="77777777" w:rsidR="0095773F" w:rsidRPr="00C07AA8" w:rsidRDefault="0095773F" w:rsidP="0095773F">
      <w:r w:rsidRPr="00272848">
        <w:t>Administrative Cost</w:t>
      </w:r>
      <w:r w:rsidRPr="00C07AA8">
        <w:t xml:space="preserve"> – activities like accounting, budgeting, financial and cash management, procurement, and personnel management. (WIOA Section 3[1])</w:t>
      </w:r>
    </w:p>
    <w:p w14:paraId="3E040D41" w14:textId="77777777" w:rsidR="0095773F" w:rsidRPr="00C07AA8" w:rsidRDefault="0095773F" w:rsidP="0095773F"/>
    <w:p w14:paraId="3C7D57A5" w14:textId="43DCCDB0" w:rsidR="0095773F" w:rsidRPr="00C07AA8" w:rsidRDefault="0095773F" w:rsidP="0095773F">
      <w:r w:rsidRPr="00272848">
        <w:t>Direct Cost</w:t>
      </w:r>
      <w:r w:rsidRPr="00C07AA8">
        <w:t xml:space="preserve"> </w:t>
      </w:r>
      <w:r w:rsidR="002D296F">
        <w:t>–</w:t>
      </w:r>
      <w:r w:rsidRPr="00C07AA8">
        <w:t xml:space="preserve"> costs that can be specifically attributed to a particular federal award or activity, including employee salaries and benefits directly tied to that project or program. Examples include wages for personnel directly working on a federal project and materials used exclusively for the project. (Uniform Guidance </w:t>
      </w:r>
      <w:r>
        <w:t xml:space="preserve">Section </w:t>
      </w:r>
      <w:r w:rsidRPr="00C07AA8">
        <w:t>200.413)</w:t>
      </w:r>
    </w:p>
    <w:p w14:paraId="2F983766" w14:textId="77777777" w:rsidR="0095773F" w:rsidRPr="00C07AA8" w:rsidRDefault="0095773F" w:rsidP="0095773F"/>
    <w:p w14:paraId="7D921174" w14:textId="77777777" w:rsidR="0095773F" w:rsidRPr="00C07AA8" w:rsidRDefault="0095773F" w:rsidP="0095773F">
      <w:r w:rsidRPr="00272848">
        <w:t>Disallowed Costs</w:t>
      </w:r>
      <w:r w:rsidRPr="00C07AA8">
        <w:t xml:space="preserve"> – charges to a federal award that the federal awarding agency or passthrough entity determines to be unallowable according to the applicable federal statutes, regulations, or the terms and conditions of the federal award. (Uniform Guidance Section 200.1)</w:t>
      </w:r>
      <w:r w:rsidRPr="00C07AA8" w:rsidDel="002B6FCA">
        <w:t xml:space="preserve"> </w:t>
      </w:r>
    </w:p>
    <w:p w14:paraId="67B48154" w14:textId="77777777" w:rsidR="0095773F" w:rsidRPr="00C07AA8" w:rsidRDefault="0095773F" w:rsidP="0095773F"/>
    <w:p w14:paraId="12D26CD4" w14:textId="77777777" w:rsidR="0095773F" w:rsidRPr="00C07AA8" w:rsidRDefault="0095773F" w:rsidP="0095773F">
      <w:r w:rsidRPr="00272848">
        <w:t>Executive Level II</w:t>
      </w:r>
      <w:r w:rsidRPr="00C07AA8">
        <w:t xml:space="preserve"> – refers to the salary cap set for individuals paid with federal funds. This cap is defined by the Executive Schedule, which governs the pay for top-level federal officials. (U.S.C. Section 5313)</w:t>
      </w:r>
      <w:r w:rsidRPr="00C07AA8" w:rsidDel="002B6FCA">
        <w:t xml:space="preserve"> </w:t>
      </w:r>
    </w:p>
    <w:p w14:paraId="2DA5B76A" w14:textId="77777777" w:rsidR="0095773F" w:rsidRPr="00C07AA8" w:rsidRDefault="0095773F" w:rsidP="0095773F"/>
    <w:p w14:paraId="497A3267" w14:textId="7E651945" w:rsidR="0095773F" w:rsidRPr="00C07AA8" w:rsidRDefault="0095773F" w:rsidP="0095773F">
      <w:r w:rsidRPr="00272848">
        <w:t>Fringe Benefits</w:t>
      </w:r>
      <w:r w:rsidRPr="00C07AA8">
        <w:t xml:space="preserve"> –</w:t>
      </w:r>
      <w:r w:rsidRPr="00C07AA8">
        <w:rPr>
          <w:b/>
          <w:bCs/>
        </w:rPr>
        <w:t xml:space="preserve"> </w:t>
      </w:r>
      <w:r w:rsidRPr="00C07AA8">
        <w:t xml:space="preserve">are additional compensation provided to employees beyond their regular wages or salary, including employer contributions for </w:t>
      </w:r>
      <w:r>
        <w:t>the cost of leave</w:t>
      </w:r>
      <w:r w:rsidRPr="00C07AA8">
        <w:t xml:space="preserve">, </w:t>
      </w:r>
      <w:r>
        <w:t xml:space="preserve">employee </w:t>
      </w:r>
      <w:r w:rsidRPr="00C07AA8">
        <w:t>insurance, pension plans, and other similar benefits, which must be allocated consistently across federal awards and other activities</w:t>
      </w:r>
      <w:r>
        <w:t xml:space="preserve"> for employees whose salaries and wages are chargeable to such </w:t>
      </w:r>
      <w:r w:rsidR="00D40B9B">
        <w:t>f</w:t>
      </w:r>
      <w:r>
        <w:t>ederal awards and other activities</w:t>
      </w:r>
      <w:r w:rsidRPr="00C07AA8">
        <w:t>. (Uniform Guidance Section 200.431)</w:t>
      </w:r>
      <w:r w:rsidRPr="00C07AA8" w:rsidDel="00D117A7">
        <w:t xml:space="preserve"> </w:t>
      </w:r>
    </w:p>
    <w:p w14:paraId="6FEC6B89" w14:textId="77777777" w:rsidR="0095773F" w:rsidRPr="00C07AA8" w:rsidRDefault="0095773F" w:rsidP="0095773F"/>
    <w:p w14:paraId="5BE669F8" w14:textId="347B26AA" w:rsidR="0095773F" w:rsidRPr="00C07AA8" w:rsidRDefault="0095773F" w:rsidP="0095773F">
      <w:r w:rsidRPr="00272848">
        <w:t>Full-time Equivalent (FTE)</w:t>
      </w:r>
      <w:r w:rsidRPr="00C07AA8">
        <w:t xml:space="preserve"> – represents the hours worked by one full-time employee, typically 40 hours per week or 2,080 hours annually. The salary and bonus limitation needs to be </w:t>
      </w:r>
      <w:r w:rsidRPr="00C07AA8">
        <w:lastRenderedPageBreak/>
        <w:t>adjusted if an employer’s full-time hours are not 2,080 hours, or if the employee or works on DOL ETA-funded project on a part time basis</w:t>
      </w:r>
      <w:r w:rsidR="008B0B6C">
        <w:t>.</w:t>
      </w:r>
      <w:r w:rsidRPr="00C07AA8">
        <w:t xml:space="preserve"> (TEGL 10-24) </w:t>
      </w:r>
    </w:p>
    <w:p w14:paraId="317C2B08" w14:textId="77777777" w:rsidR="0095773F" w:rsidRPr="00C07AA8" w:rsidRDefault="0095773F" w:rsidP="0095773F"/>
    <w:p w14:paraId="038BA6E1" w14:textId="77777777" w:rsidR="0095773F" w:rsidRPr="00C07AA8" w:rsidRDefault="0095773F" w:rsidP="0095773F">
      <w:r w:rsidRPr="00272848">
        <w:t>Indirect Costs</w:t>
      </w:r>
      <w:r w:rsidRPr="00C07AA8">
        <w:t xml:space="preserve"> – costs that support the general operations of an organization and cannot be easily attributed to a single federal award or activity. These typically include administrative expenses, facilities operations, and shared services that benefit multiple projects, such as executive salaries, office rent, and utilities. Regardless of whether the compensation is charged to the DOL ETA award as a direct or indirect cost, the totality of compensation must not exceed the limitation. (Uniform Guidance </w:t>
      </w:r>
      <w:r>
        <w:t xml:space="preserve">Section </w:t>
      </w:r>
      <w:r w:rsidRPr="00C07AA8">
        <w:t>200.414; TEGL 10-24)</w:t>
      </w:r>
    </w:p>
    <w:p w14:paraId="1F8DB878" w14:textId="77777777" w:rsidR="0095773F" w:rsidRPr="00C07AA8" w:rsidRDefault="0095773F" w:rsidP="0095773F"/>
    <w:p w14:paraId="1AEA85F3" w14:textId="77777777" w:rsidR="0095773F" w:rsidRPr="00C07AA8" w:rsidRDefault="0095773F" w:rsidP="0095773F">
      <w:r w:rsidRPr="00272848">
        <w:t>Subrecipient</w:t>
      </w:r>
      <w:r w:rsidRPr="00C07AA8">
        <w:t xml:space="preserve"> – a non-federal entity that receives a subaward from a pass-through entity to carry</w:t>
      </w:r>
    </w:p>
    <w:p w14:paraId="32217127" w14:textId="77777777" w:rsidR="0095773F" w:rsidRPr="00C07AA8" w:rsidRDefault="0095773F" w:rsidP="0095773F">
      <w:r w:rsidRPr="00C07AA8">
        <w:t>out part of a federal program, but does not include an individual that is a beneficiary of such</w:t>
      </w:r>
    </w:p>
    <w:p w14:paraId="47FEAFA6" w14:textId="77777777" w:rsidR="0095773F" w:rsidRPr="00C07AA8" w:rsidRDefault="0095773F" w:rsidP="0095773F">
      <w:r w:rsidRPr="00C07AA8">
        <w:t>program. A subrecipient may also be a recipient of other federal awards directly from a federal</w:t>
      </w:r>
    </w:p>
    <w:p w14:paraId="10A53BEA" w14:textId="77777777" w:rsidR="0095773F" w:rsidRDefault="0095773F" w:rsidP="0095773F">
      <w:r w:rsidRPr="00C07AA8">
        <w:t>awarding agency (Uniform Guidance</w:t>
      </w:r>
      <w:r>
        <w:t xml:space="preserve"> Section</w:t>
      </w:r>
      <w:r w:rsidRPr="00C07AA8">
        <w:t xml:space="preserve"> 200.1).</w:t>
      </w:r>
    </w:p>
    <w:p w14:paraId="2DF833DC" w14:textId="77777777" w:rsidR="0095773F" w:rsidRPr="00C07AA8" w:rsidRDefault="0095773F" w:rsidP="0095773F"/>
    <w:p w14:paraId="25EA4D13" w14:textId="77777777" w:rsidR="0095773F" w:rsidRPr="002D296F" w:rsidRDefault="0095773F" w:rsidP="002D296F">
      <w:pPr>
        <w:pStyle w:val="Heading4"/>
      </w:pPr>
      <w:r w:rsidRPr="002D296F">
        <w:t>Salary and Bonus Limitation Guidelines</w:t>
      </w:r>
    </w:p>
    <w:p w14:paraId="289B96B0" w14:textId="77777777" w:rsidR="0095773F" w:rsidRPr="00766105" w:rsidRDefault="0095773F" w:rsidP="0095773F"/>
    <w:p w14:paraId="73F0AE08" w14:textId="77777777" w:rsidR="0095773F" w:rsidRPr="002D296F" w:rsidRDefault="0095773F" w:rsidP="002D296F">
      <w:pPr>
        <w:pStyle w:val="Heading5"/>
      </w:pPr>
      <w:r w:rsidRPr="002D296F">
        <w:t>Federal Limitation</w:t>
      </w:r>
    </w:p>
    <w:p w14:paraId="73516FC6" w14:textId="77777777" w:rsidR="0095773F" w:rsidRPr="005E07FE" w:rsidRDefault="0095773F" w:rsidP="0095773F"/>
    <w:p w14:paraId="1639FD56" w14:textId="77777777" w:rsidR="0095773F" w:rsidRDefault="0095773F" w:rsidP="0095773F">
      <w:r>
        <w:t xml:space="preserve">The salary and bonuses paid to an individual with funds appropriated through the DOL ETA, whether as a direct or indirect cost, may not exceed the Executive Level II rate. </w:t>
      </w:r>
      <w:r w:rsidRPr="00A667E2">
        <w:t>Th</w:t>
      </w:r>
      <w:r>
        <w:t>is</w:t>
      </w:r>
      <w:r w:rsidRPr="00A667E2">
        <w:t xml:space="preserve"> </w:t>
      </w:r>
      <w:r>
        <w:t>limitation</w:t>
      </w:r>
      <w:r w:rsidRPr="00A667E2">
        <w:t xml:space="preserve"> applies to </w:t>
      </w:r>
      <w:r>
        <w:t xml:space="preserve">the combined </w:t>
      </w:r>
      <w:r w:rsidRPr="00A667E2">
        <w:t>salar</w:t>
      </w:r>
      <w:r>
        <w:t>y</w:t>
      </w:r>
      <w:r w:rsidRPr="00A667E2">
        <w:t xml:space="preserve"> and bonuses</w:t>
      </w:r>
      <w:r>
        <w:t xml:space="preserve"> paid to an individual during any calendar year</w:t>
      </w:r>
      <w:r w:rsidRPr="00A667E2">
        <w:t xml:space="preserve">. </w:t>
      </w:r>
      <w:r>
        <w:t>The salary and bonus limitation are calculated on an FTE basis of 2,080 hours.</w:t>
      </w:r>
    </w:p>
    <w:p w14:paraId="49B89034" w14:textId="77777777" w:rsidR="0095773F" w:rsidRDefault="0095773F" w:rsidP="0095773F"/>
    <w:p w14:paraId="4880EB10" w14:textId="77777777" w:rsidR="0095773F" w:rsidRDefault="0095773F" w:rsidP="0095773F">
      <w:r>
        <w:t>The Executive Level II salary rate is</w:t>
      </w:r>
      <w:r w:rsidRPr="008B6CCD">
        <w:t xml:space="preserve"> </w:t>
      </w:r>
      <w:r>
        <w:t xml:space="preserve">subject to annual adjustments. The current federal rate can be found on the </w:t>
      </w:r>
      <w:hyperlink r:id="rId14" w:history="1">
        <w:r w:rsidRPr="0095773F">
          <w:rPr>
            <w:rStyle w:val="Hyperlink"/>
            <w:u w:val="none"/>
          </w:rPr>
          <w:t>OPM Salaries and Wages webpage</w:t>
        </w:r>
      </w:hyperlink>
      <w:r>
        <w:t>.</w:t>
      </w:r>
    </w:p>
    <w:p w14:paraId="14C6AC4B" w14:textId="77777777" w:rsidR="0095773F" w:rsidRDefault="0095773F" w:rsidP="0095773F"/>
    <w:p w14:paraId="24CC66CE" w14:textId="77777777" w:rsidR="0095773F" w:rsidRDefault="0095773F" w:rsidP="002D296F">
      <w:pPr>
        <w:pStyle w:val="Heading5"/>
      </w:pPr>
      <w:r w:rsidRPr="0039635B">
        <w:t>Exclusions</w:t>
      </w:r>
    </w:p>
    <w:p w14:paraId="5090B118" w14:textId="77777777" w:rsidR="0095773F" w:rsidRPr="00766105" w:rsidRDefault="0095773F" w:rsidP="0095773F"/>
    <w:p w14:paraId="59E6D1C4" w14:textId="77777777" w:rsidR="0095773F" w:rsidRDefault="0095773F" w:rsidP="0095773F">
      <w:pPr>
        <w:rPr>
          <w:rFonts w:cstheme="minorHAnsi"/>
        </w:rPr>
      </w:pPr>
      <w:r w:rsidRPr="008B6CCD">
        <w:rPr>
          <w:rFonts w:cstheme="minorHAnsi"/>
        </w:rPr>
        <w:t>The limitation appl</w:t>
      </w:r>
      <w:r>
        <w:rPr>
          <w:rFonts w:cstheme="minorHAnsi"/>
        </w:rPr>
        <w:t>ies</w:t>
      </w:r>
      <w:r w:rsidRPr="008B6CCD">
        <w:rPr>
          <w:rFonts w:cstheme="minorHAnsi"/>
        </w:rPr>
        <w:t xml:space="preserve"> </w:t>
      </w:r>
      <w:r>
        <w:rPr>
          <w:rFonts w:cstheme="minorHAnsi"/>
        </w:rPr>
        <w:t>specifically</w:t>
      </w:r>
      <w:r w:rsidRPr="008B6CCD">
        <w:rPr>
          <w:rFonts w:cstheme="minorHAnsi"/>
        </w:rPr>
        <w:t xml:space="preserve"> to salary and bonuses</w:t>
      </w:r>
      <w:r>
        <w:rPr>
          <w:rFonts w:cstheme="minorHAnsi"/>
        </w:rPr>
        <w:t>. Other forms of compensation,</w:t>
      </w:r>
      <w:r w:rsidRPr="008B6CCD">
        <w:rPr>
          <w:rFonts w:cstheme="minorHAnsi"/>
        </w:rPr>
        <w:t xml:space="preserve"> </w:t>
      </w:r>
      <w:r>
        <w:rPr>
          <w:rFonts w:cstheme="minorHAnsi"/>
        </w:rPr>
        <w:t>such as</w:t>
      </w:r>
      <w:r w:rsidRPr="008B6CCD">
        <w:rPr>
          <w:rFonts w:cstheme="minorHAnsi"/>
        </w:rPr>
        <w:t xml:space="preserve"> fringe benefits, insurance premiums, and pension plans paid by a subrecipient are </w:t>
      </w:r>
      <w:r>
        <w:rPr>
          <w:rFonts w:cstheme="minorHAnsi"/>
        </w:rPr>
        <w:t>not included in the salary and bonus limitations</w:t>
      </w:r>
      <w:r w:rsidRPr="008B6CCD">
        <w:rPr>
          <w:rFonts w:cstheme="minorHAnsi"/>
        </w:rPr>
        <w:t xml:space="preserve"> calculation</w:t>
      </w:r>
      <w:r>
        <w:rPr>
          <w:rFonts w:cstheme="minorHAnsi"/>
        </w:rPr>
        <w:t>.</w:t>
      </w:r>
    </w:p>
    <w:p w14:paraId="070A2333" w14:textId="77777777" w:rsidR="0095773F" w:rsidRDefault="0095773F" w:rsidP="0095773F">
      <w:pPr>
        <w:rPr>
          <w:rFonts w:cstheme="minorHAnsi"/>
        </w:rPr>
      </w:pPr>
    </w:p>
    <w:p w14:paraId="2AF50A95" w14:textId="77777777" w:rsidR="0095773F" w:rsidRDefault="0095773F" w:rsidP="002D296F">
      <w:pPr>
        <w:pStyle w:val="Heading5"/>
      </w:pPr>
      <w:r w:rsidRPr="00272848">
        <w:t>Exceptions</w:t>
      </w:r>
    </w:p>
    <w:p w14:paraId="15A3D2AB" w14:textId="77777777" w:rsidR="0095773F" w:rsidRDefault="0095773F" w:rsidP="002D296F">
      <w:pPr>
        <w:pStyle w:val="Heading4"/>
      </w:pPr>
    </w:p>
    <w:p w14:paraId="48D5AA1C" w14:textId="77777777" w:rsidR="0095773F" w:rsidRDefault="0095773F" w:rsidP="0095773F">
      <w:pPr>
        <w:rPr>
          <w:b/>
        </w:rPr>
      </w:pPr>
      <w:r>
        <w:t>The salary and bonus limitation does not apply to the following:</w:t>
      </w:r>
    </w:p>
    <w:p w14:paraId="47EBD2A8" w14:textId="77777777" w:rsidR="0095773F" w:rsidRPr="00F96A93" w:rsidRDefault="0095773F" w:rsidP="0095773F"/>
    <w:p w14:paraId="3CFD52BE" w14:textId="77777777" w:rsidR="0095773F" w:rsidRDefault="0095773F" w:rsidP="0095773F">
      <w:pPr>
        <w:pStyle w:val="ListParagraph"/>
        <w:numPr>
          <w:ilvl w:val="0"/>
          <w:numId w:val="2"/>
        </w:numPr>
      </w:pPr>
      <w:r>
        <w:t>H-1B Awards</w:t>
      </w:r>
    </w:p>
    <w:p w14:paraId="5D5C2973" w14:textId="77777777" w:rsidR="0095773F" w:rsidRDefault="0095773F" w:rsidP="0095773F">
      <w:pPr>
        <w:pStyle w:val="ListParagraph"/>
        <w:numPr>
          <w:ilvl w:val="0"/>
          <w:numId w:val="2"/>
        </w:numPr>
      </w:pPr>
      <w:r>
        <w:t>Disaster Unemployment Assistance</w:t>
      </w:r>
    </w:p>
    <w:p w14:paraId="33AF063B" w14:textId="77777777" w:rsidR="0095773F" w:rsidRDefault="0095773F" w:rsidP="0095773F">
      <w:pPr>
        <w:pStyle w:val="ListParagraph"/>
        <w:numPr>
          <w:ilvl w:val="0"/>
          <w:numId w:val="2"/>
        </w:numPr>
      </w:pPr>
      <w:r>
        <w:t>Contractors/Vendors</w:t>
      </w:r>
    </w:p>
    <w:p w14:paraId="5C8EDD06" w14:textId="77777777" w:rsidR="0095773F" w:rsidRDefault="0095773F" w:rsidP="0095773F">
      <w:pPr>
        <w:pStyle w:val="ListParagraph"/>
      </w:pPr>
    </w:p>
    <w:p w14:paraId="6FC215FB" w14:textId="77777777" w:rsidR="0095773F" w:rsidRDefault="0095773F" w:rsidP="0095773F">
      <w:r>
        <w:t>For detailed information regarding these exceptions, refer to TEGL 10-24.</w:t>
      </w:r>
    </w:p>
    <w:p w14:paraId="03D2201E" w14:textId="77777777" w:rsidR="0095773F" w:rsidRDefault="0095773F" w:rsidP="0095773F"/>
    <w:p w14:paraId="2F26E1F6" w14:textId="77777777" w:rsidR="0095773F" w:rsidRDefault="0095773F" w:rsidP="002D296F">
      <w:pPr>
        <w:pStyle w:val="Heading5"/>
      </w:pPr>
      <w:r w:rsidRPr="00272848">
        <w:lastRenderedPageBreak/>
        <w:t>Other Considerations</w:t>
      </w:r>
    </w:p>
    <w:p w14:paraId="01B763A7" w14:textId="77777777" w:rsidR="0095773F" w:rsidRPr="00272848" w:rsidRDefault="0095773F" w:rsidP="0095773F">
      <w:pPr>
        <w:rPr>
          <w:i/>
          <w:iCs/>
        </w:rPr>
      </w:pPr>
    </w:p>
    <w:p w14:paraId="7376A381" w14:textId="77777777" w:rsidR="0095773F" w:rsidRDefault="0095773F" w:rsidP="0095773F">
      <w:r>
        <w:t>Limitations on daily consultant fees must continue to be followed.</w:t>
      </w:r>
    </w:p>
    <w:p w14:paraId="296B81A8" w14:textId="77777777" w:rsidR="0095773F" w:rsidRPr="00B32530" w:rsidRDefault="0095773F" w:rsidP="0095773F"/>
    <w:p w14:paraId="1C59C2E8" w14:textId="77777777" w:rsidR="0095773F" w:rsidRPr="003E4793" w:rsidRDefault="0095773F" w:rsidP="002D296F">
      <w:pPr>
        <w:pStyle w:val="Heading5"/>
        <w:rPr>
          <w:b/>
        </w:rPr>
      </w:pPr>
      <w:r w:rsidRPr="003E4793">
        <w:t>Two or More Positions</w:t>
      </w:r>
    </w:p>
    <w:p w14:paraId="3A96EC96" w14:textId="77777777" w:rsidR="0095773F" w:rsidRPr="004F509B" w:rsidRDefault="0095773F" w:rsidP="0095773F"/>
    <w:p w14:paraId="4AFF1A12" w14:textId="77777777" w:rsidR="0095773F" w:rsidRDefault="0095773F" w:rsidP="0095773F">
      <w:pPr>
        <w:rPr>
          <w:bCs/>
        </w:rPr>
      </w:pPr>
      <w:r w:rsidRPr="00D716A4">
        <w:rPr>
          <w:bCs/>
        </w:rPr>
        <w:t>If an individual is paid for two or more positions within the same subrecipient, the total income earned, and bonus received must not exceed the salary and bonus limitation. For example, an individual who is an employee and consultant for the same subrecipient cannot earn more than the salary and bonus limitation.</w:t>
      </w:r>
    </w:p>
    <w:p w14:paraId="37980DBD" w14:textId="77777777" w:rsidR="0095773F" w:rsidRDefault="0095773F" w:rsidP="0095773F"/>
    <w:p w14:paraId="5F53E666" w14:textId="77777777" w:rsidR="0095773F" w:rsidRPr="00292EAA" w:rsidRDefault="0095773F" w:rsidP="002D296F">
      <w:pPr>
        <w:pStyle w:val="Heading4"/>
      </w:pPr>
      <w:r w:rsidRPr="00292EAA">
        <w:t>Application of the Salary and Bonus Limitation</w:t>
      </w:r>
    </w:p>
    <w:p w14:paraId="30BAAF9F" w14:textId="77777777" w:rsidR="0095773F" w:rsidRDefault="0095773F" w:rsidP="0095773F"/>
    <w:p w14:paraId="04F03511" w14:textId="77777777" w:rsidR="0095773F" w:rsidRDefault="0095773F" w:rsidP="002D296F">
      <w:pPr>
        <w:pStyle w:val="Heading5"/>
      </w:pPr>
      <w:r w:rsidRPr="00292EAA">
        <w:t>Multiple Funding Sources – DOL ETA</w:t>
      </w:r>
    </w:p>
    <w:p w14:paraId="0E307989" w14:textId="77777777" w:rsidR="0095773F" w:rsidRPr="002E2E9B" w:rsidRDefault="0095773F" w:rsidP="0095773F"/>
    <w:p w14:paraId="74B3449F" w14:textId="77777777" w:rsidR="0095773F" w:rsidRDefault="0095773F" w:rsidP="0095773F">
      <w:r w:rsidRPr="00FD6BD9">
        <w:t xml:space="preserve">If an individual’s salary and bonus are paid from </w:t>
      </w:r>
      <w:r>
        <w:t>multiple ETA funding</w:t>
      </w:r>
      <w:r w:rsidRPr="00FD6BD9">
        <w:t xml:space="preserve"> sources, the portion received from each of the programs cannot exceed the proportional Executive Level II rate applicable for that calendar year.</w:t>
      </w:r>
    </w:p>
    <w:p w14:paraId="1C5C8F62" w14:textId="77777777" w:rsidR="0095773F" w:rsidRDefault="0095773F" w:rsidP="0095773F"/>
    <w:p w14:paraId="25F573C0" w14:textId="77777777" w:rsidR="0095773F" w:rsidRDefault="0095773F" w:rsidP="0095773F">
      <w:r w:rsidRPr="00A67A8D">
        <w:t>For additional guidance on allocating salaries and bonuses across multiple DOL ETA funding sources, refer to TEGL 10-24.</w:t>
      </w:r>
    </w:p>
    <w:p w14:paraId="54665BB9" w14:textId="77777777" w:rsidR="0095773F" w:rsidRDefault="0095773F" w:rsidP="0095773F"/>
    <w:p w14:paraId="75D9B347" w14:textId="77777777" w:rsidR="0095773F" w:rsidRDefault="0095773F" w:rsidP="002D296F">
      <w:pPr>
        <w:pStyle w:val="Heading5"/>
      </w:pPr>
      <w:r w:rsidRPr="00292EAA">
        <w:t>Multiple Funding Sources – DOL ETA &amp; Non-DOL ETA</w:t>
      </w:r>
    </w:p>
    <w:p w14:paraId="3BBF9A49" w14:textId="77777777" w:rsidR="0095773F" w:rsidRPr="002E2E9B" w:rsidRDefault="0095773F" w:rsidP="0095773F"/>
    <w:p w14:paraId="408EC726" w14:textId="77777777" w:rsidR="0095773F" w:rsidRDefault="0095773F" w:rsidP="0095773F">
      <w:r w:rsidRPr="00FD6BD9">
        <w:t xml:space="preserve">When a recipient/subrecipient receives a combination of </w:t>
      </w:r>
      <w:r>
        <w:t xml:space="preserve">DOL </w:t>
      </w:r>
      <w:r w:rsidRPr="00FD6BD9">
        <w:t>ETA and non-</w:t>
      </w:r>
      <w:r>
        <w:t xml:space="preserve">DOL </w:t>
      </w:r>
      <w:r w:rsidRPr="00FD6BD9">
        <w:t>ETA funds, the limitation applies to only the portion funded by ETA appropriations. The ETA portion cannot exceed the proportional Executive Level II rate applicable for that calendar year.</w:t>
      </w:r>
    </w:p>
    <w:p w14:paraId="407AD479" w14:textId="77777777" w:rsidR="0095773F" w:rsidRDefault="0095773F" w:rsidP="0095773F"/>
    <w:p w14:paraId="4335ED5D" w14:textId="77777777" w:rsidR="0095773F" w:rsidRDefault="0095773F" w:rsidP="0095773F">
      <w:r w:rsidRPr="00A67A8D">
        <w:t xml:space="preserve">For further guidance on applying salary and bonus limitations across </w:t>
      </w:r>
      <w:r>
        <w:t>DOL ETA and non-DOL ETA</w:t>
      </w:r>
      <w:r w:rsidRPr="00A67A8D">
        <w:t xml:space="preserve"> funding sources, refer to TEGL 10-24.</w:t>
      </w:r>
    </w:p>
    <w:p w14:paraId="06DFE699" w14:textId="77777777" w:rsidR="0095773F" w:rsidRDefault="0095773F" w:rsidP="0095773F"/>
    <w:p w14:paraId="569E3EF1" w14:textId="77777777" w:rsidR="0095773F" w:rsidRPr="00292EAA" w:rsidRDefault="0095773F" w:rsidP="002D296F">
      <w:pPr>
        <w:pStyle w:val="Heading4"/>
      </w:pPr>
      <w:r w:rsidRPr="00292EAA">
        <w:t>Calculating the Salary and Bonus Limitation</w:t>
      </w:r>
    </w:p>
    <w:p w14:paraId="0FE188B5" w14:textId="77777777" w:rsidR="0095773F" w:rsidRDefault="0095773F" w:rsidP="0095773F"/>
    <w:p w14:paraId="5A464378" w14:textId="77777777" w:rsidR="0095773F" w:rsidRDefault="0095773F" w:rsidP="0095773F">
      <w:r>
        <w:t xml:space="preserve">To ensure compliance with federal funding restrictions, recipients and subrecipients must apply the Executive Level II salary and bonus limitation proportionally based on an individual’s actual time spent on DOL ETA-funded activities. </w:t>
      </w:r>
      <w:r w:rsidRPr="00CB3361">
        <w:t>If an individual’s salary is supported by multiple funding sources, only the portion allocated to ETA programs is subject to the limitation. Any excess amount must be covered by non-ETA funds.</w:t>
      </w:r>
    </w:p>
    <w:p w14:paraId="549749E1" w14:textId="77777777" w:rsidR="0095773F" w:rsidRDefault="0095773F" w:rsidP="0095773F"/>
    <w:p w14:paraId="4AFA1D2C" w14:textId="77777777" w:rsidR="0095773F" w:rsidRDefault="0095773F" w:rsidP="0095773F">
      <w:r>
        <w:t>For detailed calculations and application scenarios, including examples of how to allocate salaries across multiple funding streams, refer to TEGL 10-24.</w:t>
      </w:r>
    </w:p>
    <w:p w14:paraId="783DF20E" w14:textId="77777777" w:rsidR="0095773F" w:rsidRDefault="0095773F" w:rsidP="0095773F"/>
    <w:p w14:paraId="60D0DD13" w14:textId="77777777" w:rsidR="00BC2A88" w:rsidRDefault="00BC2A88">
      <w:pPr>
        <w:spacing w:after="160" w:line="259" w:lineRule="auto"/>
        <w:outlineLvl w:val="9"/>
        <w:rPr>
          <w:b/>
          <w:bCs/>
          <w:sz w:val="28"/>
        </w:rPr>
      </w:pPr>
      <w:r>
        <w:br w:type="page"/>
      </w:r>
    </w:p>
    <w:p w14:paraId="7B7BF174" w14:textId="520D3C58" w:rsidR="0095773F" w:rsidRPr="00292EAA" w:rsidRDefault="0095773F" w:rsidP="002D296F">
      <w:pPr>
        <w:pStyle w:val="Heading4"/>
      </w:pPr>
      <w:r w:rsidRPr="00292EAA">
        <w:lastRenderedPageBreak/>
        <w:t>Non-Compliance</w:t>
      </w:r>
    </w:p>
    <w:p w14:paraId="5CEADE68" w14:textId="77777777" w:rsidR="0095773F" w:rsidRDefault="0095773F" w:rsidP="0095773F"/>
    <w:p w14:paraId="396331F2" w14:textId="77777777" w:rsidR="0095773F" w:rsidRDefault="0095773F" w:rsidP="0095773F">
      <w:r>
        <w:t>In accordance with Uniform Guidance, recipients and subrecipients must ensure that all compensation charged to DOL ETA-funded programs adheres to the established limitations. Failure to comply with the salary and bonus limitations may result in disallowed costs.</w:t>
      </w:r>
    </w:p>
    <w:p w14:paraId="2D7FD58D" w14:textId="77777777" w:rsidR="0095773F" w:rsidRDefault="0095773F" w:rsidP="0095773F"/>
    <w:p w14:paraId="1C304463" w14:textId="77777777" w:rsidR="0095773F" w:rsidRPr="00F42516" w:rsidRDefault="0095773F" w:rsidP="0095773F">
      <w:r>
        <w:t xml:space="preserve">For additional details on addressing noncompliance, refer to TEGL 10-24.  </w:t>
      </w:r>
    </w:p>
    <w:p w14:paraId="2ABF51E0" w14:textId="77777777" w:rsidR="0095773F" w:rsidRDefault="0095773F" w:rsidP="00821F43">
      <w:pPr>
        <w:pStyle w:val="Heading3"/>
      </w:pPr>
    </w:p>
    <w:p w14:paraId="30F3C144" w14:textId="587C11AF" w:rsidR="00BA060D" w:rsidRPr="005C0EFE" w:rsidRDefault="00BA060D" w:rsidP="00821F43">
      <w:pPr>
        <w:pStyle w:val="Heading3"/>
      </w:pPr>
      <w:r w:rsidRPr="005C0EFE">
        <w:t>A</w:t>
      </w:r>
      <w:r w:rsidR="00821F43">
        <w:t>ction</w:t>
      </w:r>
    </w:p>
    <w:p w14:paraId="124A1304" w14:textId="77777777" w:rsidR="00BA060D" w:rsidRDefault="00BA060D" w:rsidP="00BA060D">
      <w:pPr>
        <w:pBdr>
          <w:bottom w:val="double" w:sz="12" w:space="1" w:color="E58E1A"/>
        </w:pBdr>
        <w:outlineLvl w:val="9"/>
      </w:pPr>
    </w:p>
    <w:p w14:paraId="2196E1F9" w14:textId="2C281B37" w:rsidR="00BA060D" w:rsidRPr="009459F5" w:rsidRDefault="0095773F" w:rsidP="00BA060D">
      <w:pPr>
        <w:outlineLvl w:val="9"/>
        <w:rPr>
          <w:sz w:val="32"/>
          <w:szCs w:val="32"/>
        </w:rPr>
      </w:pPr>
      <w:r>
        <w:t>Bring this Directive to the attention of all appropriate staff and other relevant parties.</w:t>
      </w:r>
      <w:r w:rsidR="00896BE5">
        <w:br/>
      </w:r>
    </w:p>
    <w:p w14:paraId="3467C1C2" w14:textId="58571D27" w:rsidR="00BA060D" w:rsidRPr="005C0EFE" w:rsidRDefault="00BA060D" w:rsidP="00821F43">
      <w:pPr>
        <w:pStyle w:val="Heading3"/>
      </w:pPr>
      <w:r w:rsidRPr="005C0EFE">
        <w:t>I</w:t>
      </w:r>
      <w:r w:rsidR="00821F43">
        <w:t>nquir</w:t>
      </w:r>
      <w:r w:rsidR="000D41F2">
        <w:t>i</w:t>
      </w:r>
      <w:r w:rsidR="00821F43">
        <w:t>es</w:t>
      </w:r>
    </w:p>
    <w:p w14:paraId="0B810114" w14:textId="77777777" w:rsidR="00BA060D" w:rsidRDefault="00BA060D" w:rsidP="00BA060D">
      <w:pPr>
        <w:pBdr>
          <w:bottom w:val="double" w:sz="12" w:space="1" w:color="E58E1A"/>
        </w:pBdr>
        <w:outlineLvl w:val="9"/>
      </w:pPr>
    </w:p>
    <w:p w14:paraId="48332A80" w14:textId="56064446" w:rsidR="00BA060D" w:rsidRPr="00896BE5" w:rsidRDefault="0095773F" w:rsidP="00896BE5">
      <w:pPr>
        <w:outlineLvl w:val="9"/>
        <w:rPr>
          <w:rFonts w:cs="Arial"/>
          <w:sz w:val="96"/>
          <w:szCs w:val="96"/>
        </w:rPr>
      </w:pPr>
      <w:r w:rsidRPr="00F42516">
        <w:rPr>
          <w:bCs/>
        </w:rPr>
        <w:t xml:space="preserve">If you have any questions, contact </w:t>
      </w:r>
      <w:r>
        <w:rPr>
          <w:bCs/>
        </w:rPr>
        <w:t xml:space="preserve">your </w:t>
      </w:r>
      <w:hyperlink r:id="rId15" w:history="1">
        <w:r w:rsidRPr="0095773F">
          <w:rPr>
            <w:rStyle w:val="Hyperlink"/>
            <w:bCs/>
            <w:u w:val="none"/>
          </w:rPr>
          <w:t>Regional Advisor</w:t>
        </w:r>
      </w:hyperlink>
      <w:r w:rsidRPr="00F42516">
        <w:rPr>
          <w:bCs/>
        </w:rPr>
        <w:t>.</w:t>
      </w:r>
      <w:r w:rsidR="00896BE5">
        <w:rPr>
          <w:rFonts w:cs="Arial"/>
        </w:rPr>
        <w:br/>
      </w:r>
    </w:p>
    <w:p w14:paraId="61575932" w14:textId="2122819F" w:rsidR="007D27C3" w:rsidRDefault="00054967" w:rsidP="007D27C3">
      <w:r>
        <w:t xml:space="preserve">/s/ </w:t>
      </w:r>
      <w:r w:rsidR="00BA060D" w:rsidRPr="000B4E89">
        <w:t>JAVIER ROMERO, Deputy Director</w:t>
      </w:r>
      <w:r w:rsidR="00896BE5">
        <w:br/>
      </w:r>
      <w:r w:rsidR="00BA060D" w:rsidRPr="00DE5EB4">
        <w:t xml:space="preserve">Workforce Services </w:t>
      </w:r>
      <w:r w:rsidR="00BA060D">
        <w:t>Branch</w:t>
      </w:r>
      <w:r w:rsidR="00896BE5">
        <w:br/>
      </w:r>
      <w:r w:rsidR="00896BE5">
        <w:br/>
      </w:r>
      <w:bookmarkEnd w:id="1"/>
    </w:p>
    <w:p w14:paraId="3436D258" w14:textId="17118DF1" w:rsidR="00C30BD7" w:rsidRDefault="00C30BD7" w:rsidP="00C30BD7">
      <w:pPr>
        <w:pBdr>
          <w:bottom w:val="single" w:sz="4" w:space="1" w:color="auto"/>
        </w:pBdr>
      </w:pPr>
      <w:r>
        <w:br/>
      </w:r>
      <w:bookmarkStart w:id="7" w:name="_Hlk146796638"/>
    </w:p>
    <w:p w14:paraId="029C3623" w14:textId="1EF33336" w:rsidR="00C30BD7" w:rsidRDefault="00C30BD7" w:rsidP="00C30BD7">
      <w:pPr>
        <w:spacing w:before="240"/>
        <w:jc w:val="center"/>
        <w:rPr>
          <w:i/>
          <w:iCs/>
        </w:rPr>
      </w:pPr>
      <w:r w:rsidRPr="00C30BD7">
        <w:rPr>
          <w:i/>
          <w:iCs/>
        </w:rPr>
        <w:t xml:space="preserve">The EDD is an equal opportunity employer/program. Auxiliary aids and services </w:t>
      </w:r>
      <w:r>
        <w:rPr>
          <w:i/>
          <w:iCs/>
        </w:rPr>
        <w:br/>
      </w:r>
      <w:r w:rsidRPr="00C30BD7">
        <w:rPr>
          <w:i/>
          <w:iCs/>
        </w:rPr>
        <w:t>are available upon request to individuals with disabilities.</w:t>
      </w:r>
    </w:p>
    <w:bookmarkEnd w:id="7"/>
    <w:p w14:paraId="73006C8A" w14:textId="77777777" w:rsidR="00C30BD7" w:rsidRPr="00C30BD7" w:rsidRDefault="00C30BD7" w:rsidP="00C30BD7">
      <w:pPr>
        <w:pBdr>
          <w:top w:val="single" w:sz="4" w:space="1" w:color="auto"/>
        </w:pBdr>
        <w:spacing w:before="240"/>
        <w:jc w:val="center"/>
      </w:pPr>
    </w:p>
    <w:sectPr w:rsidR="00C30BD7" w:rsidRPr="00C30BD7" w:rsidSect="003351EA">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F818C" w14:textId="77777777" w:rsidR="00BA060D" w:rsidRDefault="00BA060D" w:rsidP="00BA060D">
      <w:r>
        <w:separator/>
      </w:r>
    </w:p>
  </w:endnote>
  <w:endnote w:type="continuationSeparator" w:id="0">
    <w:p w14:paraId="2AEDFE38" w14:textId="77777777" w:rsidR="00BA060D" w:rsidRDefault="00BA060D" w:rsidP="00BA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9FEE" w14:textId="54B78600" w:rsidR="00BA060D" w:rsidRPr="00BA060D" w:rsidRDefault="00CF57F4">
    <w:pPr>
      <w:pStyle w:val="Footer"/>
      <w:jc w:val="center"/>
    </w:pPr>
    <w:r>
      <w:tab/>
    </w:r>
    <w:r w:rsidR="00BA060D" w:rsidRPr="00BA060D">
      <w:t xml:space="preserve">Page </w:t>
    </w:r>
    <w:r w:rsidR="00BA060D" w:rsidRPr="00BA060D">
      <w:fldChar w:fldCharType="begin"/>
    </w:r>
    <w:r w:rsidR="00BA060D" w:rsidRPr="00BA060D">
      <w:instrText xml:space="preserve"> PAGE  \* Arabic  \* MERGEFORMAT </w:instrText>
    </w:r>
    <w:r w:rsidR="00BA060D" w:rsidRPr="00BA060D">
      <w:fldChar w:fldCharType="separate"/>
    </w:r>
    <w:r w:rsidR="00BA060D" w:rsidRPr="00BA060D">
      <w:rPr>
        <w:noProof/>
      </w:rPr>
      <w:t>2</w:t>
    </w:r>
    <w:r w:rsidR="00BA060D" w:rsidRPr="00BA060D">
      <w:fldChar w:fldCharType="end"/>
    </w:r>
    <w:r w:rsidR="00BA060D" w:rsidRPr="00BA060D">
      <w:t xml:space="preserve"> of </w:t>
    </w:r>
    <w:fldSimple w:instr=" NUMPAGES  \* Arabic  \* MERGEFORMAT ">
      <w:r w:rsidR="00BA060D" w:rsidRPr="00BA060D">
        <w:rPr>
          <w:noProof/>
        </w:rPr>
        <w:t>2</w:t>
      </w:r>
    </w:fldSimple>
    <w:r>
      <w:rPr>
        <w:noProof/>
      </w:rPr>
      <w:tab/>
      <w:t xml:space="preserve">DIC: </w:t>
    </w:r>
    <w:r w:rsidR="0095773F">
      <w:rPr>
        <w:noProof/>
      </w:rPr>
      <w:t>01</w:t>
    </w:r>
  </w:p>
  <w:p w14:paraId="6CBEC51A" w14:textId="6F18557C" w:rsidR="00BA060D" w:rsidRDefault="00BA060D" w:rsidP="00712D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D509" w14:textId="77777777" w:rsidR="001A2E43" w:rsidRPr="00BA060D" w:rsidRDefault="001A2E43" w:rsidP="001A2E43">
    <w:pPr>
      <w:pStyle w:val="Footer"/>
      <w:jc w:val="center"/>
    </w:pPr>
    <w:r w:rsidRPr="00BA060D">
      <w:t xml:space="preserve">Page </w:t>
    </w:r>
    <w:r w:rsidRPr="00BA060D">
      <w:fldChar w:fldCharType="begin"/>
    </w:r>
    <w:r w:rsidRPr="00BA060D">
      <w:instrText xml:space="preserve"> PAGE  \* Arabic  \* MERGEFORMAT </w:instrText>
    </w:r>
    <w:r w:rsidRPr="00BA060D">
      <w:fldChar w:fldCharType="separate"/>
    </w:r>
    <w:r>
      <w:t>1</w:t>
    </w:r>
    <w:r w:rsidRPr="00BA060D">
      <w:fldChar w:fldCharType="end"/>
    </w:r>
    <w:r w:rsidRPr="00BA060D">
      <w:t xml:space="preserve"> of </w:t>
    </w:r>
    <w:fldSimple w:instr=" NUMPAGES  \* Arabic  \* MERGEFORMAT ">
      <w:r>
        <w:t>2</w:t>
      </w:r>
    </w:fldSimple>
  </w:p>
  <w:p w14:paraId="2DE189EB" w14:textId="77777777" w:rsidR="001A2E43" w:rsidRDefault="001A2E43" w:rsidP="001A2E43">
    <w:pPr>
      <w:pStyle w:val="Footer"/>
      <w:jc w:val="right"/>
    </w:pPr>
    <w:r>
      <w:t>DIC: XX</w:t>
    </w:r>
  </w:p>
  <w:p w14:paraId="530F7F8B" w14:textId="77777777" w:rsidR="001A2E43" w:rsidRDefault="001A2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1A8F3" w14:textId="77777777" w:rsidR="00BA060D" w:rsidRDefault="00BA060D" w:rsidP="00BA060D">
      <w:r>
        <w:separator/>
      </w:r>
    </w:p>
  </w:footnote>
  <w:footnote w:type="continuationSeparator" w:id="0">
    <w:p w14:paraId="53165F30" w14:textId="77777777" w:rsidR="00BA060D" w:rsidRDefault="00BA060D" w:rsidP="00BA0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708"/>
    <w:multiLevelType w:val="hybridMultilevel"/>
    <w:tmpl w:val="BBEC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86A66"/>
    <w:multiLevelType w:val="hybridMultilevel"/>
    <w:tmpl w:val="3FAC04F0"/>
    <w:lvl w:ilvl="0" w:tplc="D4F0A1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788769">
    <w:abstractNumId w:val="1"/>
  </w:num>
  <w:num w:numId="2" w16cid:durableId="26923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07"/>
    <w:rsid w:val="0002429E"/>
    <w:rsid w:val="00054967"/>
    <w:rsid w:val="000D41F2"/>
    <w:rsid w:val="0012121B"/>
    <w:rsid w:val="00127918"/>
    <w:rsid w:val="001A2E43"/>
    <w:rsid w:val="0023700F"/>
    <w:rsid w:val="00245072"/>
    <w:rsid w:val="002D0079"/>
    <w:rsid w:val="002D296F"/>
    <w:rsid w:val="002D71F6"/>
    <w:rsid w:val="003351EA"/>
    <w:rsid w:val="003442A1"/>
    <w:rsid w:val="00365259"/>
    <w:rsid w:val="003D0585"/>
    <w:rsid w:val="00412935"/>
    <w:rsid w:val="00430D8F"/>
    <w:rsid w:val="00493BF7"/>
    <w:rsid w:val="004E3265"/>
    <w:rsid w:val="00575797"/>
    <w:rsid w:val="006800C3"/>
    <w:rsid w:val="0070537E"/>
    <w:rsid w:val="00712DE2"/>
    <w:rsid w:val="00733642"/>
    <w:rsid w:val="00744C0F"/>
    <w:rsid w:val="00747D07"/>
    <w:rsid w:val="00794924"/>
    <w:rsid w:val="007D27C3"/>
    <w:rsid w:val="007D7386"/>
    <w:rsid w:val="00810B17"/>
    <w:rsid w:val="00821F43"/>
    <w:rsid w:val="00896BE5"/>
    <w:rsid w:val="008A17F6"/>
    <w:rsid w:val="008B0B6C"/>
    <w:rsid w:val="008B3341"/>
    <w:rsid w:val="009459F5"/>
    <w:rsid w:val="0095773F"/>
    <w:rsid w:val="009B33F0"/>
    <w:rsid w:val="00A875AA"/>
    <w:rsid w:val="00B17D68"/>
    <w:rsid w:val="00B22CAD"/>
    <w:rsid w:val="00B36EBC"/>
    <w:rsid w:val="00B814D8"/>
    <w:rsid w:val="00B85919"/>
    <w:rsid w:val="00BA060D"/>
    <w:rsid w:val="00BC2A88"/>
    <w:rsid w:val="00C15E6B"/>
    <w:rsid w:val="00C30BD7"/>
    <w:rsid w:val="00C97F2D"/>
    <w:rsid w:val="00CF57F4"/>
    <w:rsid w:val="00D40B9B"/>
    <w:rsid w:val="00E229BD"/>
    <w:rsid w:val="00E76B05"/>
    <w:rsid w:val="00EF2FB1"/>
    <w:rsid w:val="00F44A18"/>
    <w:rsid w:val="00F45600"/>
    <w:rsid w:val="00F510A9"/>
    <w:rsid w:val="00F9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C87DC5"/>
  <w15:chartTrackingRefBased/>
  <w15:docId w15:val="{02E457A7-F8D3-4CDA-9D39-D2E5ECC7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BF7"/>
    <w:pPr>
      <w:spacing w:after="0" w:line="240" w:lineRule="auto"/>
      <w:outlineLvl w:val="5"/>
    </w:pPr>
    <w:rPr>
      <w:rFonts w:eastAsia="Times New Roman" w:cs="Times New Roman"/>
      <w:sz w:val="24"/>
      <w:szCs w:val="24"/>
    </w:rPr>
  </w:style>
  <w:style w:type="paragraph" w:styleId="Heading1">
    <w:name w:val="heading 1"/>
    <w:basedOn w:val="Normal"/>
    <w:next w:val="Normal"/>
    <w:link w:val="Heading1Char"/>
    <w:qFormat/>
    <w:rsid w:val="00821F43"/>
    <w:pPr>
      <w:jc w:val="center"/>
      <w:outlineLvl w:val="0"/>
    </w:pPr>
    <w:rPr>
      <w:noProof/>
      <w:color w:val="007DA5"/>
      <w:sz w:val="48"/>
      <w:szCs w:val="48"/>
    </w:rPr>
  </w:style>
  <w:style w:type="paragraph" w:styleId="Heading2">
    <w:name w:val="heading 2"/>
    <w:basedOn w:val="Heading1"/>
    <w:next w:val="Normal"/>
    <w:link w:val="Heading2Char"/>
    <w:qFormat/>
    <w:rsid w:val="00821F43"/>
    <w:pPr>
      <w:outlineLvl w:val="1"/>
    </w:pPr>
    <w:rPr>
      <w:b/>
      <w:color w:val="auto"/>
      <w:sz w:val="32"/>
    </w:rPr>
  </w:style>
  <w:style w:type="paragraph" w:styleId="Heading3">
    <w:name w:val="heading 3"/>
    <w:basedOn w:val="Heading2"/>
    <w:next w:val="Normal"/>
    <w:link w:val="Heading3Char"/>
    <w:qFormat/>
    <w:rsid w:val="00821F43"/>
    <w:pPr>
      <w:jc w:val="left"/>
      <w:outlineLvl w:val="2"/>
    </w:pPr>
    <w:rPr>
      <w:b w:val="0"/>
      <w:bCs/>
      <w:color w:val="007DA5"/>
      <w:szCs w:val="36"/>
    </w:rPr>
  </w:style>
  <w:style w:type="paragraph" w:styleId="Heading4">
    <w:name w:val="heading 4"/>
    <w:basedOn w:val="Normal"/>
    <w:next w:val="Normal"/>
    <w:link w:val="Heading4Char"/>
    <w:uiPriority w:val="9"/>
    <w:unhideWhenUsed/>
    <w:qFormat/>
    <w:rsid w:val="002D296F"/>
    <w:pPr>
      <w:outlineLvl w:val="3"/>
    </w:pPr>
    <w:rPr>
      <w:b/>
      <w:bCs/>
      <w:sz w:val="28"/>
    </w:rPr>
  </w:style>
  <w:style w:type="paragraph" w:styleId="Heading5">
    <w:name w:val="heading 5"/>
    <w:basedOn w:val="Normal"/>
    <w:next w:val="Normal"/>
    <w:link w:val="Heading5Char"/>
    <w:uiPriority w:val="9"/>
    <w:unhideWhenUsed/>
    <w:qFormat/>
    <w:rsid w:val="002D296F"/>
    <w:pPr>
      <w:outlineLvl w:val="4"/>
    </w:pPr>
    <w:rPr>
      <w:i/>
      <w:iCs/>
      <w:sz w:val="28"/>
    </w:rPr>
  </w:style>
  <w:style w:type="paragraph" w:styleId="Heading6">
    <w:name w:val="heading 6"/>
    <w:basedOn w:val="Heading5"/>
    <w:next w:val="Normal"/>
    <w:link w:val="Heading6Char"/>
    <w:qFormat/>
    <w:rsid w:val="00BA060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F43"/>
    <w:rPr>
      <w:rFonts w:eastAsia="Times New Roman" w:cs="Times New Roman"/>
      <w:noProof/>
      <w:color w:val="007DA5"/>
      <w:sz w:val="48"/>
      <w:szCs w:val="48"/>
    </w:rPr>
  </w:style>
  <w:style w:type="character" w:customStyle="1" w:styleId="Heading2Char">
    <w:name w:val="Heading 2 Char"/>
    <w:basedOn w:val="DefaultParagraphFont"/>
    <w:link w:val="Heading2"/>
    <w:rsid w:val="00821F43"/>
    <w:rPr>
      <w:rFonts w:eastAsia="Times New Roman" w:cs="Times New Roman"/>
      <w:b/>
      <w:noProof/>
      <w:sz w:val="32"/>
      <w:szCs w:val="48"/>
    </w:rPr>
  </w:style>
  <w:style w:type="character" w:customStyle="1" w:styleId="Heading3Char">
    <w:name w:val="Heading 3 Char"/>
    <w:basedOn w:val="DefaultParagraphFont"/>
    <w:link w:val="Heading3"/>
    <w:rsid w:val="00821F43"/>
    <w:rPr>
      <w:rFonts w:eastAsia="Times New Roman" w:cs="Times New Roman"/>
      <w:color w:val="007DA5"/>
      <w:sz w:val="32"/>
      <w:szCs w:val="36"/>
    </w:rPr>
  </w:style>
  <w:style w:type="character" w:customStyle="1" w:styleId="Heading6Char">
    <w:name w:val="Heading 6 Char"/>
    <w:basedOn w:val="DefaultParagraphFont"/>
    <w:link w:val="Heading6"/>
    <w:rsid w:val="00BA060D"/>
    <w:rPr>
      <w:rFonts w:eastAsia="Times New Roman" w:cs="Times New Roman"/>
      <w:sz w:val="24"/>
      <w:szCs w:val="24"/>
    </w:rPr>
  </w:style>
  <w:style w:type="character" w:customStyle="1" w:styleId="Heading5Char">
    <w:name w:val="Heading 5 Char"/>
    <w:basedOn w:val="DefaultParagraphFont"/>
    <w:link w:val="Heading5"/>
    <w:uiPriority w:val="9"/>
    <w:rsid w:val="002D296F"/>
    <w:rPr>
      <w:rFonts w:eastAsia="Times New Roman" w:cs="Times New Roman"/>
      <w:i/>
      <w:iCs/>
      <w:sz w:val="28"/>
      <w:szCs w:val="24"/>
    </w:rPr>
  </w:style>
  <w:style w:type="paragraph" w:styleId="Header">
    <w:name w:val="header"/>
    <w:basedOn w:val="Normal"/>
    <w:link w:val="HeaderChar"/>
    <w:uiPriority w:val="99"/>
    <w:unhideWhenUsed/>
    <w:rsid w:val="00BA060D"/>
    <w:pPr>
      <w:tabs>
        <w:tab w:val="center" w:pos="4680"/>
        <w:tab w:val="right" w:pos="9360"/>
      </w:tabs>
    </w:pPr>
  </w:style>
  <w:style w:type="character" w:customStyle="1" w:styleId="HeaderChar">
    <w:name w:val="Header Char"/>
    <w:basedOn w:val="DefaultParagraphFont"/>
    <w:link w:val="Header"/>
    <w:uiPriority w:val="99"/>
    <w:rsid w:val="00BA060D"/>
    <w:rPr>
      <w:rFonts w:eastAsia="Times New Roman" w:cs="Times New Roman"/>
      <w:sz w:val="24"/>
      <w:szCs w:val="24"/>
    </w:rPr>
  </w:style>
  <w:style w:type="paragraph" w:styleId="Footer">
    <w:name w:val="footer"/>
    <w:basedOn w:val="Normal"/>
    <w:link w:val="FooterChar"/>
    <w:uiPriority w:val="99"/>
    <w:unhideWhenUsed/>
    <w:rsid w:val="00BA060D"/>
    <w:pPr>
      <w:tabs>
        <w:tab w:val="center" w:pos="4680"/>
        <w:tab w:val="right" w:pos="9360"/>
      </w:tabs>
    </w:pPr>
  </w:style>
  <w:style w:type="character" w:customStyle="1" w:styleId="FooterChar">
    <w:name w:val="Footer Char"/>
    <w:basedOn w:val="DefaultParagraphFont"/>
    <w:link w:val="Footer"/>
    <w:uiPriority w:val="99"/>
    <w:rsid w:val="00BA060D"/>
    <w:rPr>
      <w:rFonts w:eastAsia="Times New Roman" w:cs="Times New Roman"/>
      <w:sz w:val="24"/>
      <w:szCs w:val="24"/>
    </w:rPr>
  </w:style>
  <w:style w:type="character" w:styleId="Hyperlink">
    <w:name w:val="Hyperlink"/>
    <w:basedOn w:val="DefaultParagraphFont"/>
    <w:uiPriority w:val="99"/>
    <w:unhideWhenUsed/>
    <w:rsid w:val="0002429E"/>
    <w:rPr>
      <w:color w:val="0563C1"/>
      <w:u w:val="single"/>
    </w:rPr>
  </w:style>
  <w:style w:type="character" w:styleId="UnresolvedMention">
    <w:name w:val="Unresolved Mention"/>
    <w:basedOn w:val="DefaultParagraphFont"/>
    <w:uiPriority w:val="99"/>
    <w:semiHidden/>
    <w:unhideWhenUsed/>
    <w:rsid w:val="003442A1"/>
    <w:rPr>
      <w:color w:val="605E5C"/>
      <w:shd w:val="clear" w:color="auto" w:fill="E1DFDD"/>
    </w:rPr>
  </w:style>
  <w:style w:type="table" w:styleId="TableGrid">
    <w:name w:val="Table Grid"/>
    <w:basedOn w:val="TableNormal"/>
    <w:uiPriority w:val="39"/>
    <w:rsid w:val="003351EA"/>
    <w:pPr>
      <w:spacing w:after="0" w:line="240" w:lineRule="auto"/>
    </w:pPr>
    <w:rPr>
      <w:rFonts w:ascii="Calibri" w:hAnsi="Calibri" w:cs="Calibri"/>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773F"/>
    <w:pPr>
      <w:spacing w:after="0"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95773F"/>
    <w:rPr>
      <w:sz w:val="16"/>
      <w:szCs w:val="16"/>
    </w:rPr>
  </w:style>
  <w:style w:type="paragraph" w:styleId="CommentText">
    <w:name w:val="annotation text"/>
    <w:basedOn w:val="Normal"/>
    <w:link w:val="CommentTextChar"/>
    <w:uiPriority w:val="99"/>
    <w:semiHidden/>
    <w:unhideWhenUsed/>
    <w:rsid w:val="0095773F"/>
    <w:rPr>
      <w:sz w:val="20"/>
      <w:szCs w:val="20"/>
    </w:rPr>
  </w:style>
  <w:style w:type="character" w:customStyle="1" w:styleId="CommentTextChar">
    <w:name w:val="Comment Text Char"/>
    <w:basedOn w:val="DefaultParagraphFont"/>
    <w:link w:val="CommentText"/>
    <w:uiPriority w:val="99"/>
    <w:semiHidden/>
    <w:rsid w:val="0095773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773F"/>
    <w:rPr>
      <w:b/>
      <w:bCs/>
    </w:rPr>
  </w:style>
  <w:style w:type="character" w:customStyle="1" w:styleId="CommentSubjectChar">
    <w:name w:val="Comment Subject Char"/>
    <w:basedOn w:val="CommentTextChar"/>
    <w:link w:val="CommentSubject"/>
    <w:uiPriority w:val="99"/>
    <w:semiHidden/>
    <w:rsid w:val="0095773F"/>
    <w:rPr>
      <w:rFonts w:eastAsia="Times New Roman" w:cs="Times New Roman"/>
      <w:b/>
      <w:bCs/>
      <w:sz w:val="20"/>
      <w:szCs w:val="20"/>
    </w:rPr>
  </w:style>
  <w:style w:type="paragraph" w:styleId="ListParagraph">
    <w:name w:val="List Paragraph"/>
    <w:basedOn w:val="Normal"/>
    <w:uiPriority w:val="34"/>
    <w:qFormat/>
    <w:rsid w:val="0095773F"/>
    <w:pPr>
      <w:ind w:left="720"/>
      <w:contextualSpacing/>
    </w:pPr>
  </w:style>
  <w:style w:type="character" w:customStyle="1" w:styleId="Heading4Char">
    <w:name w:val="Heading 4 Char"/>
    <w:basedOn w:val="DefaultParagraphFont"/>
    <w:link w:val="Heading4"/>
    <w:uiPriority w:val="9"/>
    <w:rsid w:val="002D296F"/>
    <w:rPr>
      <w:rFonts w:eastAsia="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315667">
      <w:bodyDiv w:val="1"/>
      <w:marLeft w:val="0"/>
      <w:marRight w:val="0"/>
      <w:marTop w:val="0"/>
      <w:marBottom w:val="0"/>
      <w:divBdr>
        <w:top w:val="none" w:sz="0" w:space="0" w:color="auto"/>
        <w:left w:val="none" w:sz="0" w:space="0" w:color="auto"/>
        <w:bottom w:val="none" w:sz="0" w:space="0" w:color="auto"/>
        <w:right w:val="none" w:sz="0" w:space="0" w:color="auto"/>
      </w:divBdr>
    </w:div>
    <w:div w:id="19838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edd.ca.gov/Jobs_and_Training/Regional_Advisor_Listing.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irective" ma:contentTypeID="0x01010012F9BFEE42FF354E95F3B449CB393972009A2F73B02CA79544B53E581EFA37E632" ma:contentTypeVersion="10" ma:contentTypeDescription="" ma:contentTypeScope="" ma:versionID="9e6feabc5b9d0cdd09a85fe8b83e3d76">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610F6-B4B3-4EE7-A5A4-386854AE5FFD}">
  <ds:schemaRefs>
    <ds:schemaRef ds:uri="http://schemas.microsoft.com/sharepoint/v3/contenttype/forms"/>
  </ds:schemaRefs>
</ds:datastoreItem>
</file>

<file path=customXml/itemProps2.xml><?xml version="1.0" encoding="utf-8"?>
<ds:datastoreItem xmlns:ds="http://schemas.openxmlformats.org/officeDocument/2006/customXml" ds:itemID="{853A3E6C-0FA6-4D37-8535-43C11F24D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39C14E-7521-48DE-B0BD-9149F566B65D}">
  <ds:schemaRefs>
    <ds:schemaRef ds:uri="http://schemas.openxmlformats.org/officeDocument/2006/bibliography"/>
  </ds:schemaRefs>
</ds:datastoreItem>
</file>

<file path=customXml/itemProps4.xml><?xml version="1.0" encoding="utf-8"?>
<ds:datastoreItem xmlns:ds="http://schemas.openxmlformats.org/officeDocument/2006/customXml" ds:itemID="{DFC44123-8EBE-4382-A1EB-B46EC37CE128}">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Directive</vt:lpstr>
    </vt:vector>
  </TitlesOfParts>
  <Company>Employment Development Department</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and Bonus Limitations</dc:title>
  <dc:subject/>
  <dc:creator>Workforce Services</dc:creator>
  <cp:keywords/>
  <dc:description/>
  <cp:lastModifiedBy>Richardson, Jeffrey@EDD</cp:lastModifiedBy>
  <cp:revision>27</cp:revision>
  <cp:lastPrinted>2025-06-04T22:31:00Z</cp:lastPrinted>
  <dcterms:created xsi:type="dcterms:W3CDTF">2023-09-28T18:05:00Z</dcterms:created>
  <dcterms:modified xsi:type="dcterms:W3CDTF">2025-06-06T18:49:00Z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0x01010012F9BFEE42FF354E95F3B449CB393972009A2F73B02CA79544B53E581EFA37E632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