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EA62" w14:textId="77777777" w:rsidR="00214FBC" w:rsidRPr="000568B7" w:rsidRDefault="00214FBC" w:rsidP="001D6123"/>
    <w:p w14:paraId="0735B22C" w14:textId="77777777" w:rsidR="00A46119" w:rsidRPr="00861EDF" w:rsidRDefault="00A46119" w:rsidP="00A46119">
      <w:pPr>
        <w:pStyle w:val="Heading1"/>
      </w:pPr>
      <w:r>
        <w:t>70 PERCENT LLSIL AND POVERTY GUIDELINES FOR 2023</w:t>
      </w:r>
    </w:p>
    <w:p w14:paraId="35D2EA64" w14:textId="77777777" w:rsidR="003F6C2A" w:rsidRPr="00347D74" w:rsidRDefault="003F6C2A" w:rsidP="001D6123"/>
    <w:p w14:paraId="51EACC44" w14:textId="77777777" w:rsidR="005C0EFE" w:rsidRPr="005C0EFE" w:rsidRDefault="005C0EFE" w:rsidP="005C0EFE">
      <w:pPr>
        <w:pStyle w:val="Heading2"/>
        <w:rPr>
          <w:caps/>
        </w:rPr>
      </w:pPr>
      <w:r w:rsidRPr="005C0EFE">
        <w:t>EXECUTIVE SUMMARY</w:t>
      </w:r>
    </w:p>
    <w:p w14:paraId="5279F4CD" w14:textId="77777777" w:rsidR="00ED7F64" w:rsidRDefault="00ED7F64" w:rsidP="00ED7F64">
      <w:pPr>
        <w:pBdr>
          <w:bottom w:val="double" w:sz="12" w:space="1" w:color="E58E1A"/>
        </w:pBdr>
        <w:outlineLvl w:val="9"/>
      </w:pPr>
    </w:p>
    <w:p w14:paraId="35D2EA68" w14:textId="773A3C75" w:rsidR="00ED270E" w:rsidRPr="00DE5EB4" w:rsidRDefault="00BC7DD4" w:rsidP="001D6123">
      <w:r>
        <w:t>This policy provides the guidance and establishes the procedures regarding</w:t>
      </w:r>
      <w:r w:rsidR="00B73AC9" w:rsidRPr="00B73AC9">
        <w:t xml:space="preserve"> </w:t>
      </w:r>
      <w:r w:rsidR="00A46119">
        <w:t xml:space="preserve">the 70 Percent Lower Living Standard Income Level (LLSIL) for 2023 published by the US Department of Labor (DOL) in the </w:t>
      </w:r>
      <w:r w:rsidR="00A46119" w:rsidRPr="001B1D75">
        <w:t>Federal Register</w:t>
      </w:r>
      <w:r w:rsidR="00A46119">
        <w:t xml:space="preserve"> on May 8, 2023</w:t>
      </w:r>
      <w:r w:rsidR="00B73AC9" w:rsidRPr="00B73AC9">
        <w:t>.</w:t>
      </w:r>
      <w:r w:rsidR="00A46119">
        <w:t xml:space="preserve"> This policy also issues the 2023 poverty guidelines published by the US Department of Health and Human Services (HHS) in the </w:t>
      </w:r>
      <w:r w:rsidR="00A46119" w:rsidRPr="001B1D75">
        <w:t>Federal Register</w:t>
      </w:r>
      <w:r w:rsidR="00A46119">
        <w:t xml:space="preserve"> on January 19, 2023. </w:t>
      </w:r>
      <w:r w:rsidR="00B73AC9" w:rsidRPr="00B73AC9">
        <w:t>This policy applies to</w:t>
      </w:r>
      <w:r w:rsidR="00A46119">
        <w:t xml:space="preserve"> all Local Workforce Development Areas (Local Area) and is effective on their dates of publication in the Federal Register, May 8, 2023, and January 19, 2023, respectively.</w:t>
      </w:r>
    </w:p>
    <w:p w14:paraId="35D2EA69" w14:textId="77777777" w:rsidR="00ED270E" w:rsidRDefault="00ED270E" w:rsidP="001D6123"/>
    <w:p w14:paraId="35D2EA6A" w14:textId="39AFA578" w:rsidR="00ED270E" w:rsidRDefault="00ED270E" w:rsidP="001D6123">
      <w:r>
        <w:t xml:space="preserve">This policy contains </w:t>
      </w:r>
      <w:r w:rsidR="00A46119">
        <w:t>some</w:t>
      </w:r>
      <w:r>
        <w:t xml:space="preserve"> state-imposed requirements. All state-imposed requirements are indicated by </w:t>
      </w:r>
      <w:r w:rsidRPr="008E1353">
        <w:rPr>
          <w:b/>
          <w:i/>
        </w:rPr>
        <w:t>bold, italic</w:t>
      </w:r>
      <w:r>
        <w:t xml:space="preserve"> type.</w:t>
      </w:r>
    </w:p>
    <w:p w14:paraId="35D2EA6B" w14:textId="77777777" w:rsidR="00ED270E" w:rsidRDefault="00ED270E" w:rsidP="001D6123"/>
    <w:p w14:paraId="35D2EA6C" w14:textId="60B7F255" w:rsidR="00ED270E" w:rsidRDefault="00016D61" w:rsidP="001D6123">
      <w:pPr>
        <w:pStyle w:val="Heading6"/>
      </w:pPr>
      <w:r>
        <w:t>This D</w:t>
      </w:r>
      <w:r w:rsidR="00ED270E" w:rsidRPr="007315E4">
        <w:t>irective finalizes Workforce Services Draft Directive</w:t>
      </w:r>
      <w:r w:rsidR="00A46119" w:rsidRPr="00DE5EB4">
        <w:t xml:space="preserve"> </w:t>
      </w:r>
      <w:r w:rsidR="00A46119">
        <w:rPr>
          <w:i/>
        </w:rPr>
        <w:t>70 Percent LLSIL and Poverty Guidelines for 2023</w:t>
      </w:r>
      <w:r w:rsidR="00ED270E" w:rsidRPr="007315E4">
        <w:t xml:space="preserve"> </w:t>
      </w:r>
      <w:r w:rsidR="00A46119">
        <w:t>(WSDD-2</w:t>
      </w:r>
      <w:r w:rsidR="00963A84">
        <w:t>4</w:t>
      </w:r>
      <w:r w:rsidR="00A46119">
        <w:t>8)</w:t>
      </w:r>
      <w:r w:rsidR="00ED270E" w:rsidRPr="007315E4">
        <w:t xml:space="preserve">, issued for comment on </w:t>
      </w:r>
      <w:r w:rsidR="00A46119">
        <w:t>June 30, 2023</w:t>
      </w:r>
      <w:r w:rsidR="00ED270E" w:rsidRPr="007315E4">
        <w:t xml:space="preserve">. </w:t>
      </w:r>
      <w:r w:rsidR="0003116B" w:rsidRPr="007315E4">
        <w:t xml:space="preserve">The </w:t>
      </w:r>
      <w:r w:rsidR="0003116B">
        <w:t>Workforce Development Community submitted</w:t>
      </w:r>
      <w:r w:rsidR="0003116B" w:rsidRPr="007315E4">
        <w:t xml:space="preserve"> </w:t>
      </w:r>
      <w:r w:rsidR="00A46119">
        <w:t>one</w:t>
      </w:r>
      <w:r w:rsidR="00ED270E" w:rsidRPr="007315E4">
        <w:t xml:space="preserve"> comment during the draft comment period. </w:t>
      </w:r>
      <w:r w:rsidR="00ED3640" w:rsidRPr="001D6123">
        <w:t>A summary of</w:t>
      </w:r>
      <w:r w:rsidR="00ED270E" w:rsidRPr="001D6123">
        <w:t xml:space="preserve"> comments</w:t>
      </w:r>
      <w:r w:rsidR="00ED3640" w:rsidRPr="00E95555">
        <w:t>, including all changes</w:t>
      </w:r>
      <w:r w:rsidR="00ED3640">
        <w:t>,</w:t>
      </w:r>
      <w:r w:rsidR="00ED270E">
        <w:t xml:space="preserve"> is provided as Attachment </w:t>
      </w:r>
      <w:r w:rsidR="00A46119">
        <w:t>2</w:t>
      </w:r>
      <w:r w:rsidR="00ED3640">
        <w:t xml:space="preserve">. </w:t>
      </w:r>
    </w:p>
    <w:p w14:paraId="35D2EA6D" w14:textId="77777777" w:rsidR="00ED270E" w:rsidRDefault="00ED270E" w:rsidP="001D6123"/>
    <w:p w14:paraId="35D2EA6E" w14:textId="23E57619" w:rsidR="00B37E07" w:rsidRPr="00DE5EB4" w:rsidRDefault="00B73AC9" w:rsidP="001D6123">
      <w:r>
        <w:t>This policy</w:t>
      </w:r>
      <w:r w:rsidRPr="00DE5EB4">
        <w:t xml:space="preserve"> supersedes </w:t>
      </w:r>
      <w:r>
        <w:t xml:space="preserve">Workforce Services </w:t>
      </w:r>
      <w:r w:rsidRPr="00DE5EB4">
        <w:t xml:space="preserve">Directive </w:t>
      </w:r>
      <w:r w:rsidR="00A46119">
        <w:rPr>
          <w:i/>
        </w:rPr>
        <w:t>70 Percent LLSIL and Poverty Guidelines for 2022</w:t>
      </w:r>
      <w:r w:rsidR="00D918F7">
        <w:rPr>
          <w:i/>
        </w:rPr>
        <w:t xml:space="preserve"> </w:t>
      </w:r>
      <w:r w:rsidR="00A46119">
        <w:t>(WSD21-06)</w:t>
      </w:r>
      <w:r w:rsidRPr="00DE5EB4">
        <w:t xml:space="preserve">, dated </w:t>
      </w:r>
      <w:r w:rsidR="00A46119">
        <w:t>June 14, 2022</w:t>
      </w:r>
      <w:r>
        <w:t>.</w:t>
      </w:r>
      <w:r w:rsidR="00A27BC5">
        <w:t xml:space="preserve"> Retain this D</w:t>
      </w:r>
      <w:r w:rsidRPr="00DE5EB4">
        <w:t>irective until further notice.</w:t>
      </w:r>
    </w:p>
    <w:p w14:paraId="35D2EA6F" w14:textId="0076BE38" w:rsidR="00ED270E" w:rsidRPr="005C0EFE" w:rsidRDefault="00ED270E" w:rsidP="001D6123">
      <w:pPr>
        <w:pStyle w:val="Heading3"/>
        <w:rPr>
          <w:sz w:val="40"/>
          <w:szCs w:val="40"/>
        </w:rPr>
      </w:pPr>
    </w:p>
    <w:p w14:paraId="270E07F7" w14:textId="77777777" w:rsidR="005C0EFE" w:rsidRPr="005C0EFE" w:rsidRDefault="005C0EFE" w:rsidP="005C0EFE">
      <w:pPr>
        <w:pStyle w:val="Heading2"/>
        <w:rPr>
          <w:color w:val="FF7DA5"/>
        </w:rPr>
      </w:pPr>
      <w:r w:rsidRPr="005C0EFE">
        <w:t>REFERENCES</w:t>
      </w:r>
    </w:p>
    <w:p w14:paraId="60544FFE" w14:textId="77777777" w:rsidR="005C0EFE" w:rsidRPr="005C0EFE" w:rsidRDefault="005C0EFE" w:rsidP="005C0EFE">
      <w:pPr>
        <w:pBdr>
          <w:bottom w:val="double" w:sz="12" w:space="1" w:color="E58E1A"/>
        </w:pBdr>
        <w:outlineLvl w:val="9"/>
      </w:pPr>
    </w:p>
    <w:p w14:paraId="45071A94" w14:textId="77777777" w:rsidR="00F13357" w:rsidRDefault="00F13357" w:rsidP="00F13357">
      <w:pPr>
        <w:pStyle w:val="ListParagraph"/>
        <w:numPr>
          <w:ilvl w:val="0"/>
          <w:numId w:val="9"/>
        </w:numPr>
        <w:outlineLvl w:val="9"/>
      </w:pPr>
      <w:r w:rsidRPr="001B1D75">
        <w:t>Workforce Innovation and Opportunity Act (</w:t>
      </w:r>
      <w:r>
        <w:t>WIOA) Sections 3(36), 127(b)(2)(C), 132(b)(1)(B)(v)(IV), and 134(d)(1)(A)(x)</w:t>
      </w:r>
      <w:r w:rsidRPr="001756A2">
        <w:t xml:space="preserve"> </w:t>
      </w:r>
    </w:p>
    <w:p w14:paraId="3C936706" w14:textId="77777777" w:rsidR="00F13357" w:rsidRDefault="00F13357" w:rsidP="00F13357">
      <w:pPr>
        <w:pStyle w:val="ListParagraph"/>
        <w:numPr>
          <w:ilvl w:val="0"/>
          <w:numId w:val="9"/>
        </w:numPr>
        <w:outlineLvl w:val="9"/>
      </w:pPr>
      <w:r>
        <w:t xml:space="preserve">Federal Register, Volume 88, Number 88, WIOA 2023 LLSIL (PDF) (May 8, 2023) </w:t>
      </w:r>
    </w:p>
    <w:p w14:paraId="7DE4210D" w14:textId="77777777" w:rsidR="00F13357" w:rsidRPr="00ED2AB4" w:rsidRDefault="00F13357" w:rsidP="00F13357">
      <w:pPr>
        <w:pStyle w:val="ListParagraph"/>
        <w:numPr>
          <w:ilvl w:val="0"/>
          <w:numId w:val="9"/>
        </w:numPr>
        <w:outlineLvl w:val="9"/>
      </w:pPr>
      <w:r>
        <w:t xml:space="preserve">Federal Register, Volume 88, Number 12, </w:t>
      </w:r>
      <w:r w:rsidRPr="00DB5AE3">
        <w:rPr>
          <w:i/>
          <w:iCs/>
        </w:rPr>
        <w:t>Annual Update of the HHS Poverty Guidelines</w:t>
      </w:r>
      <w:r>
        <w:t xml:space="preserve"> (January 19, 2023)</w:t>
      </w:r>
    </w:p>
    <w:p w14:paraId="53F04E09" w14:textId="5D9DBDCA" w:rsidR="00633FA9" w:rsidRDefault="00633FA9">
      <w:pPr>
        <w:outlineLvl w:val="9"/>
        <w:rPr>
          <w:b/>
          <w:color w:val="007DA5"/>
          <w:sz w:val="28"/>
          <w:szCs w:val="28"/>
        </w:rPr>
      </w:pPr>
    </w:p>
    <w:p w14:paraId="462C4C3E" w14:textId="77777777" w:rsidR="004C67DE" w:rsidRDefault="004C67DE">
      <w:pPr>
        <w:outlineLvl w:val="9"/>
        <w:rPr>
          <w:b/>
          <w:color w:val="007DA5"/>
          <w:sz w:val="28"/>
          <w:szCs w:val="28"/>
        </w:rPr>
      </w:pPr>
      <w:r>
        <w:br w:type="page"/>
      </w:r>
    </w:p>
    <w:p w14:paraId="487C7ADD" w14:textId="77777777" w:rsidR="005C0EFE" w:rsidRPr="005C0EFE" w:rsidRDefault="005C0EFE" w:rsidP="005C0EFE">
      <w:pPr>
        <w:pStyle w:val="Heading2"/>
      </w:pPr>
      <w:r w:rsidRPr="005C0EFE">
        <w:lastRenderedPageBreak/>
        <w:t>BACKGROUND</w:t>
      </w:r>
    </w:p>
    <w:p w14:paraId="48190FE2" w14:textId="77777777" w:rsidR="00ED7F64" w:rsidRDefault="00ED7F64" w:rsidP="00ED7F64">
      <w:pPr>
        <w:pBdr>
          <w:bottom w:val="double" w:sz="12" w:space="1" w:color="E58E1A"/>
        </w:pBdr>
        <w:outlineLvl w:val="9"/>
      </w:pPr>
    </w:p>
    <w:p w14:paraId="224E8BB7" w14:textId="4445C57F" w:rsidR="005C0EFE" w:rsidRPr="005C0EFE" w:rsidRDefault="00F13357" w:rsidP="00ED7F64">
      <w:pPr>
        <w:outlineLvl w:val="9"/>
      </w:pPr>
      <w:r>
        <w:t>The WIOA Section 3(36)(A) sets the criteria Local Areas must use to determine whether an individual is a low-income individual. These criteria include two sets of data: the poverty guidelines as published by HHS, and the 70 percent of the LLSIL as published by the DOL. The Local Area must use the higher of these two measures to establish low-income status for eligibility purposes of the WIOA Title I programs. The WIOA requires annual revisions to both sets of data. All Local Areas use the same poverty guidelines. However, the LLSIL identifies maximum qualifying income levels for residents in either of two broad geographic designations: metropolitan and non-metropolitan areas. Metropolitan income levels apply to residents living within Metropolitan Statistical Areas (MSA) as defined by the Office of Management and Budget. Non-metropolitan income levels apply to places with populations under 50,000. In addition to the broad metropolitan and non-metropolitan designations, the DOL identifies three MSAs in California that have unique LLSILs: the San Diego</w:t>
      </w:r>
      <w:bookmarkStart w:id="0" w:name="_Hlk134800019"/>
      <w:r>
        <w:t xml:space="preserve"> – </w:t>
      </w:r>
      <w:bookmarkEnd w:id="0"/>
      <w:r>
        <w:t>Carlsbad MSA, the Los Angeles – Long Beach – Anaheim MSA, and the San Francisco – Oakland – Hayward MSA.</w:t>
      </w:r>
    </w:p>
    <w:p w14:paraId="10639AC3" w14:textId="77777777" w:rsidR="005C0EFE" w:rsidRPr="005C0EFE" w:rsidRDefault="005C0EFE" w:rsidP="005C0EFE">
      <w:pPr>
        <w:outlineLvl w:val="9"/>
        <w:rPr>
          <w:sz w:val="40"/>
          <w:szCs w:val="40"/>
        </w:rPr>
      </w:pPr>
    </w:p>
    <w:p w14:paraId="5834EF66" w14:textId="77777777" w:rsidR="005C0EFE" w:rsidRPr="005C0EFE" w:rsidRDefault="005C0EFE" w:rsidP="005C0EFE">
      <w:pPr>
        <w:pStyle w:val="Heading2"/>
      </w:pPr>
      <w:r w:rsidRPr="005C0EFE">
        <w:t>POLICY AND PROCEDURES</w:t>
      </w:r>
    </w:p>
    <w:p w14:paraId="5369AFB6" w14:textId="77777777" w:rsidR="00ED7F64" w:rsidRDefault="00ED7F64" w:rsidP="00ED7F64">
      <w:pPr>
        <w:pBdr>
          <w:bottom w:val="double" w:sz="12" w:space="1" w:color="E58E1A"/>
        </w:pBdr>
        <w:outlineLvl w:val="9"/>
      </w:pPr>
    </w:p>
    <w:p w14:paraId="61A2817A" w14:textId="77777777" w:rsidR="00F13357" w:rsidRDefault="00F13357" w:rsidP="00F13357">
      <w:pPr>
        <w:outlineLvl w:val="9"/>
      </w:pPr>
      <w:r>
        <w:t>Follow these steps to determine if a person is a low-income individual:</w:t>
      </w:r>
    </w:p>
    <w:p w14:paraId="324E2094" w14:textId="77777777" w:rsidR="00F13357" w:rsidRDefault="00F13357" w:rsidP="00F13357">
      <w:pPr>
        <w:outlineLvl w:val="9"/>
      </w:pPr>
    </w:p>
    <w:p w14:paraId="7A449FE2" w14:textId="77777777" w:rsidR="00F13357" w:rsidRDefault="00F13357" w:rsidP="00F13357">
      <w:pPr>
        <w:pStyle w:val="ListParagraph"/>
        <w:numPr>
          <w:ilvl w:val="0"/>
          <w:numId w:val="10"/>
        </w:numPr>
        <w:outlineLvl w:val="9"/>
      </w:pPr>
      <w:r>
        <w:t xml:space="preserve">Select the appropriate table for use by your Local Area from one of the five tables in the attachment. </w:t>
      </w:r>
      <w:r w:rsidRPr="00EA08C0">
        <w:rPr>
          <w:b/>
          <w:bCs/>
          <w:i/>
          <w:iCs/>
        </w:rPr>
        <w:t>In those instances where a Local Area encompasses both metropolitan and nonmetropolitan areas, the state has designated the higher of LLSIL figures for use in the entire Local Area.</w:t>
      </w:r>
    </w:p>
    <w:p w14:paraId="35B6A44D" w14:textId="77777777" w:rsidR="00F13357" w:rsidRDefault="00F13357" w:rsidP="00F13357">
      <w:pPr>
        <w:pStyle w:val="ListParagraph"/>
        <w:ind w:left="360"/>
        <w:outlineLvl w:val="9"/>
      </w:pPr>
    </w:p>
    <w:p w14:paraId="3AC9F9E9" w14:textId="77777777" w:rsidR="00F13357" w:rsidRDefault="00F13357" w:rsidP="00F13357">
      <w:pPr>
        <w:pStyle w:val="ListParagraph"/>
        <w:numPr>
          <w:ilvl w:val="0"/>
          <w:numId w:val="10"/>
        </w:numPr>
        <w:outlineLvl w:val="9"/>
      </w:pPr>
      <w:r>
        <w:t>Use the higher of either LLSIL or the poverty guideline for the appropriate family size to determine low-income status. A comparison of the applicant’s actual family income during the six-month income determination period with the six-month figures on the charts enables the reviewer to immediately determine income status</w:t>
      </w:r>
    </w:p>
    <w:p w14:paraId="7185349C" w14:textId="77777777" w:rsidR="00F13357" w:rsidRDefault="00F13357" w:rsidP="00F13357">
      <w:pPr>
        <w:outlineLvl w:val="9"/>
      </w:pPr>
    </w:p>
    <w:p w14:paraId="499E368B" w14:textId="5DAF428E" w:rsidR="005C0EFE" w:rsidRPr="00F13357" w:rsidRDefault="00F13357" w:rsidP="00ED7F64">
      <w:pPr>
        <w:pStyle w:val="ListParagraph"/>
        <w:numPr>
          <w:ilvl w:val="0"/>
          <w:numId w:val="10"/>
        </w:numPr>
        <w:outlineLvl w:val="9"/>
        <w:rPr>
          <w:b/>
          <w:bCs/>
          <w:i/>
          <w:iCs/>
        </w:rPr>
      </w:pPr>
      <w:r w:rsidRPr="00EA08C0">
        <w:rPr>
          <w:b/>
          <w:bCs/>
          <w:i/>
          <w:iCs/>
        </w:rPr>
        <w:t>Local Workforce Development Boards must set the criteria for determining whether employment leads to self-sufficiency. At a minimum, such criteria must provide that self-sufficiency means employment that pays at least 100 percent of the LLSIL established for a Local Area.</w:t>
      </w:r>
    </w:p>
    <w:p w14:paraId="5AD04CF6" w14:textId="77777777" w:rsidR="005C0EFE" w:rsidRPr="005C0EFE" w:rsidRDefault="005C0EFE" w:rsidP="005C0EFE">
      <w:pPr>
        <w:outlineLvl w:val="9"/>
        <w:rPr>
          <w:sz w:val="40"/>
          <w:szCs w:val="40"/>
        </w:rPr>
      </w:pPr>
    </w:p>
    <w:p w14:paraId="042550F6" w14:textId="77777777" w:rsidR="005C0EFE" w:rsidRPr="005C0EFE" w:rsidRDefault="005C0EFE" w:rsidP="005C0EFE">
      <w:pPr>
        <w:pStyle w:val="Heading2"/>
      </w:pPr>
      <w:r w:rsidRPr="005C0EFE">
        <w:t>ACTION</w:t>
      </w:r>
    </w:p>
    <w:p w14:paraId="450F1C6F" w14:textId="77777777" w:rsidR="00ED7F64" w:rsidRDefault="00ED7F64" w:rsidP="00ED7F64">
      <w:pPr>
        <w:pBdr>
          <w:bottom w:val="double" w:sz="12" w:space="1" w:color="E58E1A"/>
        </w:pBdr>
        <w:outlineLvl w:val="9"/>
      </w:pPr>
    </w:p>
    <w:p w14:paraId="3BA08986" w14:textId="39D2AE4B" w:rsidR="00F13357" w:rsidRDefault="00F13357" w:rsidP="00F13357">
      <w:pPr>
        <w:outlineLvl w:val="9"/>
      </w:pPr>
      <w:r>
        <w:t xml:space="preserve">Notify all </w:t>
      </w:r>
      <w:r w:rsidR="0089236B">
        <w:t xml:space="preserve">impacted </w:t>
      </w:r>
      <w:r>
        <w:t>staff of the changes to the LLSIL and poverty guidelines in this Directive.</w:t>
      </w:r>
    </w:p>
    <w:p w14:paraId="398E52E6" w14:textId="77777777" w:rsidR="005C0EFE" w:rsidRPr="005C0EFE" w:rsidRDefault="005C0EFE" w:rsidP="005C0EFE">
      <w:pPr>
        <w:outlineLvl w:val="9"/>
        <w:rPr>
          <w:b/>
          <w:sz w:val="40"/>
          <w:szCs w:val="40"/>
        </w:rPr>
      </w:pPr>
    </w:p>
    <w:p w14:paraId="240F11E1" w14:textId="77777777" w:rsidR="005C0EFE" w:rsidRPr="005C0EFE" w:rsidRDefault="005C0EFE" w:rsidP="005C0EFE">
      <w:pPr>
        <w:pStyle w:val="Heading2"/>
      </w:pPr>
      <w:r w:rsidRPr="005C0EFE">
        <w:lastRenderedPageBreak/>
        <w:t>INQUIRIES</w:t>
      </w:r>
    </w:p>
    <w:p w14:paraId="197771B4" w14:textId="77777777" w:rsidR="00ED7F64" w:rsidRDefault="00ED7F64" w:rsidP="00ED7F64">
      <w:pPr>
        <w:pBdr>
          <w:bottom w:val="double" w:sz="12" w:space="1" w:color="E58E1A"/>
        </w:pBdr>
        <w:outlineLvl w:val="9"/>
      </w:pPr>
    </w:p>
    <w:p w14:paraId="38D497CA" w14:textId="77777777" w:rsidR="00F13357" w:rsidRPr="00ED2AB4" w:rsidRDefault="00F13357" w:rsidP="00F13357">
      <w:pPr>
        <w:outlineLvl w:val="9"/>
        <w:rPr>
          <w:rFonts w:cs="Arial"/>
        </w:rPr>
      </w:pPr>
      <w:r w:rsidRPr="00ED2AB4">
        <w:rPr>
          <w:bCs/>
        </w:rPr>
        <w:t xml:space="preserve">If you have any questions, contact </w:t>
      </w:r>
      <w:r>
        <w:rPr>
          <w:bCs/>
        </w:rPr>
        <w:t xml:space="preserve">your assigned </w:t>
      </w:r>
      <w:hyperlink r:id="rId11" w:history="1">
        <w:r w:rsidRPr="00866789">
          <w:rPr>
            <w:rStyle w:val="Hyperlink"/>
            <w:bCs/>
            <w:u w:val="none"/>
          </w:rPr>
          <w:t>Regional Advisor</w:t>
        </w:r>
      </w:hyperlink>
      <w:r>
        <w:rPr>
          <w:bCs/>
        </w:rPr>
        <w:t>.</w:t>
      </w:r>
    </w:p>
    <w:p w14:paraId="35D2EA89" w14:textId="77777777" w:rsidR="00723CDF" w:rsidRPr="005C0EFE" w:rsidRDefault="00723CDF" w:rsidP="001D6123">
      <w:pPr>
        <w:rPr>
          <w:sz w:val="96"/>
          <w:szCs w:val="96"/>
        </w:rPr>
      </w:pPr>
    </w:p>
    <w:p w14:paraId="35D2EA8B" w14:textId="666FE110" w:rsidR="008E235B" w:rsidRPr="00DE5EB4" w:rsidRDefault="00A221EC" w:rsidP="001D6123">
      <w:r>
        <w:t xml:space="preserve">/s/ </w:t>
      </w:r>
      <w:r w:rsidR="000B4E89" w:rsidRPr="000B4E89">
        <w:t>JAVIER ROMERO, Deputy Director</w:t>
      </w:r>
    </w:p>
    <w:p w14:paraId="35D2EA8C" w14:textId="1BBB77CA" w:rsidR="008E235B" w:rsidRPr="00DE5EB4" w:rsidRDefault="008E235B" w:rsidP="001D6123">
      <w:r w:rsidRPr="00DE5EB4">
        <w:t xml:space="preserve">Workforce Services </w:t>
      </w:r>
      <w:r w:rsidR="00A1031D">
        <w:t>Branch</w:t>
      </w:r>
    </w:p>
    <w:p w14:paraId="35D2EA8D" w14:textId="77777777" w:rsidR="00214FBC" w:rsidRPr="00DE5EB4" w:rsidRDefault="00214FBC" w:rsidP="001D6123"/>
    <w:p w14:paraId="35D2EA8E" w14:textId="52FFF149" w:rsidR="00F53F81" w:rsidRDefault="009B2134" w:rsidP="001D6123">
      <w:r>
        <w:t>Attachment</w:t>
      </w:r>
      <w:r w:rsidR="00C70441">
        <w:t>s</w:t>
      </w:r>
      <w:r w:rsidR="00F53F81">
        <w:t>:</w:t>
      </w:r>
    </w:p>
    <w:p w14:paraId="35D2EA8F" w14:textId="77777777" w:rsidR="00F53F81" w:rsidRDefault="00F53F81" w:rsidP="001D6123"/>
    <w:p w14:paraId="35D2EA90" w14:textId="6B5D9D31" w:rsidR="00214FBC" w:rsidRPr="00EE2C7E" w:rsidRDefault="00963A84" w:rsidP="00F13357">
      <w:pPr>
        <w:pStyle w:val="ListParagraph"/>
        <w:numPr>
          <w:ilvl w:val="0"/>
          <w:numId w:val="8"/>
        </w:numPr>
      </w:pPr>
      <w:hyperlink r:id="rId12" w:history="1">
        <w:r w:rsidR="00F13357" w:rsidRPr="00EE2C7E">
          <w:rPr>
            <w:rStyle w:val="Hyperlink"/>
            <w:u w:val="none"/>
          </w:rPr>
          <w:t>70 Percent LLSIL and Poverty Guidelines for 2023 (</w:t>
        </w:r>
        <w:r w:rsidR="00A221EC" w:rsidRPr="00EE2C7E">
          <w:rPr>
            <w:rStyle w:val="Hyperlink"/>
            <w:u w:val="none"/>
          </w:rPr>
          <w:t>DOCX</w:t>
        </w:r>
        <w:r w:rsidR="00F13357" w:rsidRPr="00EE2C7E">
          <w:rPr>
            <w:rStyle w:val="Hyperlink"/>
            <w:u w:val="none"/>
          </w:rPr>
          <w:t>)</w:t>
        </w:r>
      </w:hyperlink>
    </w:p>
    <w:p w14:paraId="2F369119" w14:textId="5047C079" w:rsidR="00F13357" w:rsidRPr="00EE2C7E" w:rsidRDefault="00963A84" w:rsidP="00F13357">
      <w:pPr>
        <w:pStyle w:val="ListParagraph"/>
        <w:numPr>
          <w:ilvl w:val="0"/>
          <w:numId w:val="8"/>
        </w:numPr>
      </w:pPr>
      <w:hyperlink r:id="rId13" w:history="1">
        <w:r w:rsidR="00F13357" w:rsidRPr="00EE2C7E">
          <w:rPr>
            <w:rStyle w:val="Hyperlink"/>
            <w:u w:val="none"/>
          </w:rPr>
          <w:t>Summary of Comments</w:t>
        </w:r>
        <w:r w:rsidR="004C67DE" w:rsidRPr="00EE2C7E">
          <w:rPr>
            <w:rStyle w:val="Hyperlink"/>
            <w:u w:val="none"/>
          </w:rPr>
          <w:t xml:space="preserve"> (DOCX)</w:t>
        </w:r>
      </w:hyperlink>
    </w:p>
    <w:sectPr w:rsidR="00F13357" w:rsidRPr="00EE2C7E">
      <w:headerReference w:type="default" r:id="rId14"/>
      <w:footerReference w:type="default" r:id="rId15"/>
      <w:headerReference w:type="first" r:id="rId16"/>
      <w:footerReference w:type="first" r:id="rId17"/>
      <w:pgSz w:w="12240" w:h="15840"/>
      <w:pgMar w:top="720" w:right="1469" w:bottom="446" w:left="1440" w:header="44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EA94" w14:textId="77777777" w:rsidR="003C71A3" w:rsidRDefault="003C71A3" w:rsidP="001D6123">
      <w:pPr>
        <w:pStyle w:val="Header"/>
      </w:pPr>
      <w:r>
        <w:separator/>
      </w:r>
    </w:p>
  </w:endnote>
  <w:endnote w:type="continuationSeparator" w:id="0">
    <w:p w14:paraId="35D2EA95" w14:textId="77777777" w:rsidR="003C71A3" w:rsidRDefault="003C71A3" w:rsidP="001D612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EA9A" w14:textId="5F1502AF" w:rsidR="00C07D2E" w:rsidRDefault="00C07D2E" w:rsidP="001D6123"/>
  <w:sdt>
    <w:sdtPr>
      <w:rPr>
        <w:rFonts w:eastAsiaTheme="minorHAnsi"/>
        <w:sz w:val="22"/>
        <w:szCs w:val="22"/>
      </w:rPr>
      <w:id w:val="1860930993"/>
      <w:docPartObj>
        <w:docPartGallery w:val="Page Numbers (Bottom of Page)"/>
        <w:docPartUnique/>
      </w:docPartObj>
    </w:sdtPr>
    <w:sdtEndPr>
      <w:rPr>
        <w:sz w:val="24"/>
        <w:szCs w:val="24"/>
      </w:rPr>
    </w:sdtEndPr>
    <w:sdtContent>
      <w:sdt>
        <w:sdtPr>
          <w:rPr>
            <w:rFonts w:eastAsiaTheme="minorHAnsi"/>
            <w:sz w:val="22"/>
            <w:szCs w:val="22"/>
          </w:rPr>
          <w:id w:val="478658553"/>
          <w:docPartObj>
            <w:docPartGallery w:val="Page Numbers (Top of Page)"/>
            <w:docPartUnique/>
          </w:docPartObj>
        </w:sdtPr>
        <w:sdtEndPr>
          <w:rPr>
            <w:sz w:val="24"/>
            <w:szCs w:val="24"/>
          </w:rPr>
        </w:sdtEndPr>
        <w:sdtContent>
          <w:sdt>
            <w:sdtPr>
              <w:rPr>
                <w:rFonts w:eastAsiaTheme="minorHAnsi"/>
                <w:color w:val="007DA5"/>
              </w:rPr>
              <w:id w:val="-1689059951"/>
              <w:docPartObj>
                <w:docPartGallery w:val="Page Numbers (Bottom of Page)"/>
                <w:docPartUnique/>
              </w:docPartObj>
            </w:sdtPr>
            <w:sdtEndPr>
              <w:rPr>
                <w:color w:val="auto"/>
              </w:rPr>
            </w:sdtEndPr>
            <w:sdtContent>
              <w:sdt>
                <w:sdtPr>
                  <w:rPr>
                    <w:rFonts w:eastAsiaTheme="minorHAnsi"/>
                  </w:rPr>
                  <w:id w:val="406816060"/>
                  <w:docPartObj>
                    <w:docPartGallery w:val="Page Numbers (Top of Page)"/>
                    <w:docPartUnique/>
                  </w:docPartObj>
                </w:sdtPr>
                <w:sdtEndPr/>
                <w:sdtContent>
                  <w:p w14:paraId="35D2EA9B" w14:textId="77777777" w:rsidR="00C07D2E" w:rsidRPr="002070A1" w:rsidRDefault="00C07D2E" w:rsidP="001D6123">
                    <w:pPr>
                      <w:pStyle w:val="Footer"/>
                      <w:rPr>
                        <w:rFonts w:eastAsiaTheme="minorHAnsi"/>
                      </w:rPr>
                    </w:pPr>
                  </w:p>
                  <w:p w14:paraId="35D2EA9C" w14:textId="77777777" w:rsidR="00C07D2E" w:rsidRPr="00FC30C0" w:rsidRDefault="00C07D2E" w:rsidP="00B844FB">
                    <w:pPr>
                      <w:jc w:val="center"/>
                      <w:rPr>
                        <w:rFonts w:eastAsiaTheme="minorHAnsi"/>
                        <w:sz w:val="22"/>
                        <w:szCs w:val="22"/>
                      </w:rPr>
                    </w:pPr>
                    <w:r w:rsidRPr="002070A1">
                      <w:rPr>
                        <w:rFonts w:eastAsiaTheme="minorHAnsi"/>
                      </w:rPr>
                      <w:t xml:space="preserve">Page </w:t>
                    </w:r>
                    <w:r w:rsidRPr="002070A1">
                      <w:rPr>
                        <w:rFonts w:eastAsiaTheme="minorHAnsi"/>
                      </w:rPr>
                      <w:fldChar w:fldCharType="begin"/>
                    </w:r>
                    <w:r w:rsidRPr="002070A1">
                      <w:rPr>
                        <w:rFonts w:eastAsiaTheme="minorHAnsi"/>
                      </w:rPr>
                      <w:instrText xml:space="preserve"> PAGE </w:instrText>
                    </w:r>
                    <w:r w:rsidRPr="002070A1">
                      <w:rPr>
                        <w:rFonts w:eastAsiaTheme="minorHAnsi"/>
                      </w:rPr>
                      <w:fldChar w:fldCharType="separate"/>
                    </w:r>
                    <w:r w:rsidR="00492CE5">
                      <w:rPr>
                        <w:rFonts w:eastAsiaTheme="minorHAnsi"/>
                        <w:noProof/>
                      </w:rPr>
                      <w:t>2</w:t>
                    </w:r>
                    <w:r w:rsidRPr="002070A1">
                      <w:rPr>
                        <w:rFonts w:eastAsiaTheme="minorHAnsi"/>
                      </w:rPr>
                      <w:fldChar w:fldCharType="end"/>
                    </w:r>
                    <w:r w:rsidRPr="002070A1">
                      <w:rPr>
                        <w:rFonts w:eastAsiaTheme="minorHAnsi"/>
                      </w:rPr>
                      <w:t xml:space="preserve"> of </w:t>
                    </w:r>
                    <w:r w:rsidRPr="002070A1">
                      <w:rPr>
                        <w:rFonts w:eastAsiaTheme="minorHAnsi"/>
                      </w:rPr>
                      <w:fldChar w:fldCharType="begin"/>
                    </w:r>
                    <w:r w:rsidRPr="002070A1">
                      <w:rPr>
                        <w:rFonts w:eastAsiaTheme="minorHAnsi"/>
                      </w:rPr>
                      <w:instrText xml:space="preserve"> NUMPAGES  </w:instrText>
                    </w:r>
                    <w:r w:rsidRPr="002070A1">
                      <w:rPr>
                        <w:rFonts w:eastAsiaTheme="minorHAnsi"/>
                      </w:rPr>
                      <w:fldChar w:fldCharType="separate"/>
                    </w:r>
                    <w:r w:rsidR="00492CE5">
                      <w:rPr>
                        <w:rFonts w:eastAsiaTheme="minorHAnsi"/>
                        <w:noProof/>
                      </w:rPr>
                      <w:t>2</w:t>
                    </w:r>
                    <w:r w:rsidRPr="002070A1">
                      <w:rPr>
                        <w:rFonts w:eastAsiaTheme="minorHAnsi"/>
                      </w:rPr>
                      <w:fldChar w:fldCharType="end"/>
                    </w:r>
                  </w:p>
                </w:sdtContent>
              </w:sdt>
            </w:sdtContent>
          </w:sdt>
          <w:p w14:paraId="35D2EA9D" w14:textId="77777777" w:rsidR="0095228F" w:rsidRDefault="00963A84" w:rsidP="001D6123">
            <w:pPr>
              <w:rPr>
                <w:rFonts w:eastAsiaTheme="minorHAnsi"/>
              </w:rPr>
            </w:pPr>
          </w:p>
        </w:sdtContent>
      </w:sdt>
    </w:sdtContent>
  </w:sdt>
  <w:p w14:paraId="35D2EA9E" w14:textId="77777777" w:rsidR="00214FBC" w:rsidRPr="0001218E" w:rsidRDefault="00214FBC" w:rsidP="001D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EAAB" w14:textId="77777777" w:rsidR="00214FBC" w:rsidRDefault="00214FBC" w:rsidP="001D6123"/>
  <w:p w14:paraId="35D2EAAC" w14:textId="024C900E" w:rsidR="00C07D2E" w:rsidRPr="0046032F" w:rsidRDefault="00C07D2E" w:rsidP="001D6123">
    <w:pPr>
      <w:pStyle w:val="Footer"/>
    </w:pPr>
  </w:p>
  <w:p w14:paraId="216EEA37" w14:textId="77777777" w:rsidR="00E92862" w:rsidRDefault="00BA17B3" w:rsidP="00B844FB">
    <w:pPr>
      <w:pStyle w:val="Footer"/>
      <w:ind w:left="-360"/>
      <w:rPr>
        <w:sz w:val="18"/>
      </w:rPr>
    </w:pPr>
    <w:r w:rsidRPr="009D07C3">
      <w:rPr>
        <w:noProof/>
      </w:rPr>
      <w:drawing>
        <wp:inline distT="0" distB="0" distL="0" distR="0" wp14:anchorId="362D0BF6" wp14:editId="4A710EA9">
          <wp:extent cx="6473952" cy="512064"/>
          <wp:effectExtent l="0" t="0" r="3175" b="2540"/>
          <wp:docPr id="10" name="Picture 10" descr="The EDD is an equal opportunity employer/program. Auxiliary aids and services are available upon request to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Rev.Take2\Doc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79" t="76291" r="10623" b="18634"/>
                  <a:stretch/>
                </pic:blipFill>
                <pic:spPr bwMode="auto">
                  <a:xfrm>
                    <a:off x="0" y="0"/>
                    <a:ext cx="6473952" cy="512064"/>
                  </a:xfrm>
                  <a:prstGeom prst="rect">
                    <a:avLst/>
                  </a:prstGeom>
                  <a:noFill/>
                  <a:ln>
                    <a:noFill/>
                  </a:ln>
                  <a:extLst>
                    <a:ext uri="{53640926-AAD7-44D8-BBD7-CCE9431645EC}">
                      <a14:shadowObscured xmlns:a14="http://schemas.microsoft.com/office/drawing/2010/main"/>
                    </a:ext>
                  </a:extLst>
                </pic:spPr>
              </pic:pic>
            </a:graphicData>
          </a:graphic>
        </wp:inline>
      </w:drawing>
    </w:r>
  </w:p>
  <w:p w14:paraId="35D2EAAE" w14:textId="371C0DD5" w:rsidR="00D34420" w:rsidRPr="0001218E" w:rsidRDefault="0095228F" w:rsidP="001D6123">
    <w:pPr>
      <w:pStyle w:val="Footer"/>
    </w:pPr>
    <w:r>
      <w:t xml:space="preserve"> </w:t>
    </w:r>
  </w:p>
  <w:sdt>
    <w:sdtPr>
      <w:rPr>
        <w:rFonts w:eastAsiaTheme="minorHAnsi"/>
        <w:sz w:val="22"/>
        <w:szCs w:val="22"/>
      </w:rPr>
      <w:id w:val="-1625847477"/>
      <w:docPartObj>
        <w:docPartGallery w:val="Page Numbers (Bottom of Page)"/>
        <w:docPartUnique/>
      </w:docPartObj>
    </w:sdtPr>
    <w:sdtEndPr>
      <w:rPr>
        <w:sz w:val="24"/>
        <w:szCs w:val="24"/>
      </w:rPr>
    </w:sdtEndPr>
    <w:sdtContent>
      <w:sdt>
        <w:sdtPr>
          <w:rPr>
            <w:rFonts w:eastAsiaTheme="minorHAnsi"/>
            <w:sz w:val="22"/>
            <w:szCs w:val="22"/>
          </w:rPr>
          <w:id w:val="1709759549"/>
          <w:docPartObj>
            <w:docPartGallery w:val="Page Numbers (Top of Page)"/>
            <w:docPartUnique/>
          </w:docPartObj>
        </w:sdtPr>
        <w:sdtEndPr>
          <w:rPr>
            <w:sz w:val="24"/>
            <w:szCs w:val="24"/>
          </w:rPr>
        </w:sdtEndPr>
        <w:sdtContent>
          <w:sdt>
            <w:sdtPr>
              <w:rPr>
                <w:rFonts w:eastAsiaTheme="minorHAnsi"/>
                <w:color w:val="007DA5"/>
                <w:sz w:val="22"/>
                <w:szCs w:val="22"/>
              </w:rPr>
              <w:id w:val="-1307229152"/>
              <w:docPartObj>
                <w:docPartGallery w:val="Page Numbers (Bottom of Page)"/>
                <w:docPartUnique/>
              </w:docPartObj>
            </w:sdtPr>
            <w:sdtEndPr>
              <w:rPr>
                <w:color w:val="404040" w:themeColor="text1" w:themeTint="BF"/>
              </w:rPr>
            </w:sdtEndPr>
            <w:sdtContent>
              <w:sdt>
                <w:sdtPr>
                  <w:rPr>
                    <w:rFonts w:eastAsiaTheme="minorHAnsi"/>
                  </w:rPr>
                  <w:id w:val="-1669238322"/>
                  <w:docPartObj>
                    <w:docPartGallery w:val="Page Numbers (Top of Page)"/>
                    <w:docPartUnique/>
                  </w:docPartObj>
                </w:sdtPr>
                <w:sdtEndPr>
                  <w:rPr>
                    <w:color w:val="404040" w:themeColor="text1" w:themeTint="BF"/>
                    <w:sz w:val="22"/>
                    <w:szCs w:val="22"/>
                  </w:rPr>
                </w:sdtEndPr>
                <w:sdtContent>
                  <w:p w14:paraId="35D2EAAF" w14:textId="6275430B" w:rsidR="00C07D2E" w:rsidRPr="00FC30C0" w:rsidRDefault="00B73AC9" w:rsidP="00B844FB">
                    <w:pPr>
                      <w:jc w:val="right"/>
                      <w:rPr>
                        <w:rFonts w:eastAsiaTheme="minorHAnsi"/>
                        <w:color w:val="404040" w:themeColor="text1" w:themeTint="BF"/>
                        <w:sz w:val="22"/>
                        <w:szCs w:val="22"/>
                      </w:rPr>
                    </w:pPr>
                    <w:r w:rsidRPr="002070A1">
                      <w:rPr>
                        <w:rFonts w:eastAsiaTheme="minorHAnsi"/>
                      </w:rPr>
                      <w:t xml:space="preserve">Page </w:t>
                    </w:r>
                    <w:r w:rsidRPr="002070A1">
                      <w:rPr>
                        <w:rFonts w:eastAsiaTheme="minorHAnsi"/>
                      </w:rPr>
                      <w:fldChar w:fldCharType="begin"/>
                    </w:r>
                    <w:r w:rsidRPr="002070A1">
                      <w:rPr>
                        <w:rFonts w:eastAsiaTheme="minorHAnsi"/>
                      </w:rPr>
                      <w:instrText xml:space="preserve"> PAGE </w:instrText>
                    </w:r>
                    <w:r w:rsidRPr="002070A1">
                      <w:rPr>
                        <w:rFonts w:eastAsiaTheme="minorHAnsi"/>
                      </w:rPr>
                      <w:fldChar w:fldCharType="separate"/>
                    </w:r>
                    <w:r w:rsidR="00492CE5">
                      <w:rPr>
                        <w:rFonts w:eastAsiaTheme="minorHAnsi"/>
                        <w:noProof/>
                      </w:rPr>
                      <w:t>1</w:t>
                    </w:r>
                    <w:r w:rsidRPr="002070A1">
                      <w:rPr>
                        <w:rFonts w:eastAsiaTheme="minorHAnsi"/>
                      </w:rPr>
                      <w:fldChar w:fldCharType="end"/>
                    </w:r>
                    <w:r w:rsidRPr="002070A1">
                      <w:rPr>
                        <w:rFonts w:eastAsiaTheme="minorHAnsi"/>
                      </w:rPr>
                      <w:t xml:space="preserve"> of </w:t>
                    </w:r>
                    <w:r w:rsidRPr="002070A1">
                      <w:rPr>
                        <w:rFonts w:eastAsiaTheme="minorHAnsi"/>
                      </w:rPr>
                      <w:fldChar w:fldCharType="begin"/>
                    </w:r>
                    <w:r w:rsidRPr="002070A1">
                      <w:rPr>
                        <w:rFonts w:eastAsiaTheme="minorHAnsi"/>
                      </w:rPr>
                      <w:instrText xml:space="preserve"> NUMPAGES  </w:instrText>
                    </w:r>
                    <w:r w:rsidRPr="002070A1">
                      <w:rPr>
                        <w:rFonts w:eastAsiaTheme="minorHAnsi"/>
                      </w:rPr>
                      <w:fldChar w:fldCharType="separate"/>
                    </w:r>
                    <w:r w:rsidR="00492CE5">
                      <w:rPr>
                        <w:rFonts w:eastAsiaTheme="minorHAnsi"/>
                        <w:noProof/>
                      </w:rPr>
                      <w:t>2</w:t>
                    </w:r>
                    <w:r w:rsidRPr="002070A1">
                      <w:rPr>
                        <w:rFonts w:eastAsiaTheme="minorHAnsi"/>
                      </w:rPr>
                      <w:fldChar w:fldCharType="end"/>
                    </w:r>
                    <w:r w:rsidRPr="002070A1">
                      <w:rPr>
                        <w:rFonts w:eastAsiaTheme="minorHAnsi"/>
                      </w:rPr>
                      <w:tab/>
                    </w:r>
                    <w:r w:rsidR="00B844FB">
                      <w:rPr>
                        <w:rFonts w:eastAsiaTheme="minorHAnsi"/>
                      </w:rPr>
                      <w:tab/>
                    </w:r>
                    <w:r w:rsidR="00B844FB">
                      <w:rPr>
                        <w:rFonts w:eastAsiaTheme="minorHAnsi"/>
                      </w:rPr>
                      <w:tab/>
                    </w:r>
                    <w:r w:rsidR="00B844FB">
                      <w:rPr>
                        <w:rFonts w:eastAsiaTheme="minorHAnsi"/>
                      </w:rPr>
                      <w:tab/>
                    </w:r>
                    <w:r w:rsidR="00B844FB">
                      <w:rPr>
                        <w:rFonts w:eastAsiaTheme="minorHAnsi"/>
                      </w:rPr>
                      <w:tab/>
                      <w:t xml:space="preserve">     </w:t>
                    </w:r>
                    <w:r w:rsidR="00D214C1">
                      <w:t>DIC</w:t>
                    </w:r>
                    <w:r w:rsidR="00C70441">
                      <w:t xml:space="preserve">: </w:t>
                    </w:r>
                    <w:r w:rsidR="004C67DE">
                      <w:t>01</w:t>
                    </w:r>
                  </w:p>
                </w:sdtContent>
              </w:sdt>
            </w:sdtContent>
          </w:sdt>
          <w:p w14:paraId="35D2EAB0" w14:textId="46C14D63" w:rsidR="00214FBC" w:rsidRPr="00B73AC9" w:rsidRDefault="00963A84" w:rsidP="001D6123">
            <w:pPr>
              <w:rPr>
                <w:rFonts w:eastAsia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EA92" w14:textId="77777777" w:rsidR="003C71A3" w:rsidRDefault="003C71A3" w:rsidP="001D6123">
      <w:pPr>
        <w:pStyle w:val="Header"/>
      </w:pPr>
      <w:r>
        <w:separator/>
      </w:r>
    </w:p>
  </w:footnote>
  <w:footnote w:type="continuationSeparator" w:id="0">
    <w:p w14:paraId="35D2EA93" w14:textId="77777777" w:rsidR="003C71A3" w:rsidRDefault="003C71A3" w:rsidP="001D612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EA97" w14:textId="77777777" w:rsidR="00214FBC" w:rsidRDefault="00214FBC" w:rsidP="001D6123">
    <w:pPr>
      <w:pStyle w:val="Header"/>
    </w:pPr>
  </w:p>
  <w:p w14:paraId="35D2EA98" w14:textId="77777777" w:rsidR="00214FBC" w:rsidRDefault="00214FBC" w:rsidP="001D6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6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5"/>
      <w:gridCol w:w="4775"/>
      <w:gridCol w:w="2880"/>
    </w:tblGrid>
    <w:tr w:rsidR="002B6F2D" w14:paraId="596567A0" w14:textId="77777777" w:rsidTr="008D6550">
      <w:trPr>
        <w:trHeight w:val="1430"/>
      </w:trPr>
      <w:tc>
        <w:tcPr>
          <w:tcW w:w="2965" w:type="dxa"/>
        </w:tcPr>
        <w:p w14:paraId="5873FB49" w14:textId="3D2F4FF9" w:rsidR="00342C16" w:rsidRPr="00A328A0" w:rsidRDefault="00342C16" w:rsidP="001D6123"/>
        <w:p w14:paraId="6519E38F" w14:textId="63195411" w:rsidR="00342C16" w:rsidRDefault="002B6F2D" w:rsidP="008D6550">
          <w:pPr>
            <w:ind w:left="162"/>
          </w:pPr>
          <w:r>
            <w:rPr>
              <w:noProof/>
            </w:rPr>
            <w:drawing>
              <wp:inline distT="0" distB="0" distL="0" distR="0" wp14:anchorId="5DBB02E4" wp14:editId="0D4413FE">
                <wp:extent cx="1564373" cy="571500"/>
                <wp:effectExtent l="0" t="0" r="0" b="0"/>
                <wp:docPr id="4" name="Picture 4"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dnet/services/PA/MACS/EDD%20Logo%20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980" cy="612273"/>
                        </a:xfrm>
                        <a:prstGeom prst="rect">
                          <a:avLst/>
                        </a:prstGeom>
                        <a:noFill/>
                        <a:ln>
                          <a:noFill/>
                        </a:ln>
                      </pic:spPr>
                    </pic:pic>
                  </a:graphicData>
                </a:graphic>
              </wp:inline>
            </w:drawing>
          </w:r>
        </w:p>
      </w:tc>
      <w:tc>
        <w:tcPr>
          <w:tcW w:w="4775" w:type="dxa"/>
        </w:tcPr>
        <w:p w14:paraId="7D57BA9A" w14:textId="77777777" w:rsidR="00342C16" w:rsidRPr="00A328A0" w:rsidRDefault="00342C16" w:rsidP="001D6123"/>
        <w:p w14:paraId="3C69919B" w14:textId="3539EDB5" w:rsidR="00342C16" w:rsidRDefault="002070A1" w:rsidP="008D6550">
          <w:pPr>
            <w:jc w:val="center"/>
          </w:pPr>
          <w:r w:rsidRPr="00E20921">
            <w:rPr>
              <w:noProof/>
            </w:rPr>
            <w:drawing>
              <wp:inline distT="0" distB="0" distL="0" distR="0" wp14:anchorId="0A60FBAB" wp14:editId="6E039C35">
                <wp:extent cx="2020824" cy="329184"/>
                <wp:effectExtent l="0" t="0" r="0" b="0"/>
                <wp:docPr id="3" name="Picture 3" descr="Directive" title="Publication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 I R E C T I V 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899" t="24397" r="63458" b="72383"/>
                        <a:stretch/>
                      </pic:blipFill>
                      <pic:spPr bwMode="auto">
                        <a:xfrm>
                          <a:off x="0" y="0"/>
                          <a:ext cx="2020824" cy="329184"/>
                        </a:xfrm>
                        <a:prstGeom prst="rect">
                          <a:avLst/>
                        </a:prstGeom>
                        <a:noFill/>
                        <a:ln>
                          <a:noFill/>
                        </a:ln>
                        <a:extLst>
                          <a:ext uri="{53640926-AAD7-44D8-BBD7-CCE9431645EC}">
                            <a14:shadowObscured xmlns:a14="http://schemas.microsoft.com/office/drawing/2010/main"/>
                          </a:ext>
                        </a:extLst>
                      </pic:spPr>
                    </pic:pic>
                  </a:graphicData>
                </a:graphic>
              </wp:inline>
            </w:drawing>
          </w:r>
        </w:p>
        <w:p w14:paraId="3903BBC1" w14:textId="77777777" w:rsidR="00342C16" w:rsidRPr="008D6550" w:rsidRDefault="00342C16" w:rsidP="001D6123">
          <w:pPr>
            <w:rPr>
              <w:sz w:val="8"/>
              <w:szCs w:val="8"/>
            </w:rPr>
          </w:pPr>
        </w:p>
        <w:p w14:paraId="2D3BD33F" w14:textId="3C479D81" w:rsidR="00342C16" w:rsidRDefault="00342C16" w:rsidP="008D6550">
          <w:pPr>
            <w:jc w:val="center"/>
          </w:pPr>
          <w:r w:rsidRPr="004F4875">
            <w:rPr>
              <w:b/>
            </w:rPr>
            <w:t xml:space="preserve">Date: </w:t>
          </w:r>
          <w:r w:rsidR="00A221EC">
            <w:t xml:space="preserve">August 22, </w:t>
          </w:r>
          <w:proofErr w:type="gramStart"/>
          <w:r w:rsidR="00A221EC">
            <w:t>2023</w:t>
          </w:r>
          <w:proofErr w:type="gramEnd"/>
          <w:r w:rsidRPr="004F4875">
            <w:rPr>
              <w:b/>
            </w:rPr>
            <w:t xml:space="preserve"> Number: </w:t>
          </w:r>
          <w:r w:rsidR="00D351F2">
            <w:t>WSD</w:t>
          </w:r>
          <w:r w:rsidR="00A221EC">
            <w:t>23</w:t>
          </w:r>
          <w:r>
            <w:t>-</w:t>
          </w:r>
          <w:r w:rsidR="00A221EC">
            <w:t>02</w:t>
          </w:r>
        </w:p>
      </w:tc>
      <w:tc>
        <w:tcPr>
          <w:tcW w:w="2880" w:type="dxa"/>
        </w:tcPr>
        <w:p w14:paraId="37FACDAC" w14:textId="77777777" w:rsidR="00342C16" w:rsidRPr="008D6550" w:rsidRDefault="00342C16" w:rsidP="001D6123">
          <w:pPr>
            <w:rPr>
              <w:sz w:val="16"/>
              <w:szCs w:val="16"/>
            </w:rPr>
          </w:pPr>
        </w:p>
        <w:p w14:paraId="6B23D9BF" w14:textId="4FB51C6B" w:rsidR="00342C16" w:rsidRDefault="00342C16" w:rsidP="001D6123">
          <w:r>
            <w:rPr>
              <w:noProof/>
            </w:rPr>
            <w:drawing>
              <wp:inline distT="0" distB="0" distL="0" distR="0" wp14:anchorId="475323BC" wp14:editId="095D9CDD">
                <wp:extent cx="1554863" cy="657225"/>
                <wp:effectExtent l="0" t="0" r="7620" b="0"/>
                <wp:docPr id="7" name="Picture 7" descr="California Workforce Development Board"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aujo\AppData\Local\Microsoft\Windows\Temporary Internet Files\Content.Outlook\QD9Z9QLE\CWDB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1270" cy="664160"/>
                        </a:xfrm>
                        <a:prstGeom prst="rect">
                          <a:avLst/>
                        </a:prstGeom>
                        <a:noFill/>
                        <a:ln>
                          <a:noFill/>
                        </a:ln>
                      </pic:spPr>
                    </pic:pic>
                  </a:graphicData>
                </a:graphic>
              </wp:inline>
            </w:drawing>
          </w:r>
        </w:p>
      </w:tc>
    </w:tr>
  </w:tbl>
  <w:p w14:paraId="35D2EA9F" w14:textId="49B9F905" w:rsidR="00F9738A" w:rsidRPr="002070A1" w:rsidRDefault="00F9738A" w:rsidP="001D61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F60"/>
    <w:multiLevelType w:val="singleLevel"/>
    <w:tmpl w:val="3600F9E4"/>
    <w:lvl w:ilvl="0">
      <w:start w:val="1"/>
      <w:numFmt w:val="decimal"/>
      <w:lvlText w:val="%1) "/>
      <w:lvlJc w:val="left"/>
      <w:pPr>
        <w:tabs>
          <w:tab w:val="num" w:pos="778"/>
        </w:tabs>
        <w:ind w:left="778" w:hanging="360"/>
      </w:pPr>
      <w:rPr>
        <w:rFonts w:ascii="Helvetica" w:hAnsi="Helvetica" w:hint="default"/>
        <w:b w:val="0"/>
        <w:i w:val="0"/>
        <w:sz w:val="24"/>
        <w:u w:val="none"/>
      </w:rPr>
    </w:lvl>
  </w:abstractNum>
  <w:abstractNum w:abstractNumId="1" w15:restartNumberingAfterBreak="0">
    <w:nsid w:val="48176ABD"/>
    <w:multiLevelType w:val="singleLevel"/>
    <w:tmpl w:val="27263822"/>
    <w:lvl w:ilvl="0">
      <w:start w:val="1"/>
      <w:numFmt w:val="decimal"/>
      <w:lvlText w:val="%1."/>
      <w:legacy w:legacy="1" w:legacySpace="0" w:legacyIndent="432"/>
      <w:lvlJc w:val="left"/>
      <w:pPr>
        <w:ind w:left="882" w:hanging="432"/>
      </w:pPr>
    </w:lvl>
  </w:abstractNum>
  <w:abstractNum w:abstractNumId="2" w15:restartNumberingAfterBreak="0">
    <w:nsid w:val="48442EE4"/>
    <w:multiLevelType w:val="hybridMultilevel"/>
    <w:tmpl w:val="22C8B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414852"/>
    <w:multiLevelType w:val="singleLevel"/>
    <w:tmpl w:val="616AB59C"/>
    <w:lvl w:ilvl="0">
      <w:start w:val="1"/>
      <w:numFmt w:val="decimal"/>
      <w:lvlText w:val="%1."/>
      <w:legacy w:legacy="1" w:legacySpace="0" w:legacyIndent="432"/>
      <w:lvlJc w:val="left"/>
      <w:pPr>
        <w:ind w:left="882" w:hanging="432"/>
      </w:pPr>
    </w:lvl>
  </w:abstractNum>
  <w:abstractNum w:abstractNumId="4" w15:restartNumberingAfterBreak="0">
    <w:nsid w:val="511B46CB"/>
    <w:multiLevelType w:val="singleLevel"/>
    <w:tmpl w:val="272E9090"/>
    <w:lvl w:ilvl="0">
      <w:start w:val="1"/>
      <w:numFmt w:val="decimal"/>
      <w:lvlText w:val="%1."/>
      <w:legacy w:legacy="1" w:legacySpace="0" w:legacyIndent="432"/>
      <w:lvlJc w:val="left"/>
      <w:pPr>
        <w:ind w:left="882" w:hanging="432"/>
      </w:pPr>
    </w:lvl>
  </w:abstractNum>
  <w:abstractNum w:abstractNumId="5" w15:restartNumberingAfterBreak="0">
    <w:nsid w:val="588E0181"/>
    <w:multiLevelType w:val="hybridMultilevel"/>
    <w:tmpl w:val="85F21A62"/>
    <w:lvl w:ilvl="0" w:tplc="C868D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6B6A4E"/>
    <w:multiLevelType w:val="singleLevel"/>
    <w:tmpl w:val="DAD4B426"/>
    <w:lvl w:ilvl="0">
      <w:start w:val="1"/>
      <w:numFmt w:val="decimal"/>
      <w:lvlText w:val="%1."/>
      <w:legacy w:legacy="1" w:legacySpace="0" w:legacyIndent="432"/>
      <w:lvlJc w:val="left"/>
      <w:pPr>
        <w:ind w:left="882" w:hanging="432"/>
      </w:pPr>
    </w:lvl>
  </w:abstractNum>
  <w:abstractNum w:abstractNumId="7" w15:restartNumberingAfterBreak="0">
    <w:nsid w:val="600C7CF8"/>
    <w:multiLevelType w:val="singleLevel"/>
    <w:tmpl w:val="FE6861F4"/>
    <w:lvl w:ilvl="0">
      <w:start w:val="1"/>
      <w:numFmt w:val="decimal"/>
      <w:lvlText w:val="%1."/>
      <w:legacy w:legacy="1" w:legacySpace="0" w:legacyIndent="432"/>
      <w:lvlJc w:val="left"/>
      <w:pPr>
        <w:ind w:left="882" w:hanging="432"/>
      </w:pPr>
    </w:lvl>
  </w:abstractNum>
  <w:abstractNum w:abstractNumId="8" w15:restartNumberingAfterBreak="0">
    <w:nsid w:val="67D653EE"/>
    <w:multiLevelType w:val="singleLevel"/>
    <w:tmpl w:val="46CC5864"/>
    <w:lvl w:ilvl="0">
      <w:start w:val="1"/>
      <w:numFmt w:val="decimal"/>
      <w:lvlText w:val="%1."/>
      <w:legacy w:legacy="1" w:legacySpace="0" w:legacyIndent="432"/>
      <w:lvlJc w:val="left"/>
      <w:pPr>
        <w:ind w:left="882" w:hanging="432"/>
      </w:pPr>
    </w:lvl>
  </w:abstractNum>
  <w:abstractNum w:abstractNumId="9" w15:restartNumberingAfterBreak="0">
    <w:nsid w:val="7E3B7CCE"/>
    <w:multiLevelType w:val="hybridMultilevel"/>
    <w:tmpl w:val="8E52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8"/>
  </w:num>
  <w:num w:numId="6">
    <w:abstractNumId w:val="1"/>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19"/>
    <w:rsid w:val="0001218E"/>
    <w:rsid w:val="00016D61"/>
    <w:rsid w:val="00022BBA"/>
    <w:rsid w:val="0003116B"/>
    <w:rsid w:val="000568B7"/>
    <w:rsid w:val="00061D03"/>
    <w:rsid w:val="0007494A"/>
    <w:rsid w:val="0008479B"/>
    <w:rsid w:val="00084F10"/>
    <w:rsid w:val="00086BF5"/>
    <w:rsid w:val="00096D5F"/>
    <w:rsid w:val="000A5506"/>
    <w:rsid w:val="000B4E89"/>
    <w:rsid w:val="000C1020"/>
    <w:rsid w:val="000E0CA1"/>
    <w:rsid w:val="000E553D"/>
    <w:rsid w:val="001116C1"/>
    <w:rsid w:val="00114D67"/>
    <w:rsid w:val="0014342B"/>
    <w:rsid w:val="001675AE"/>
    <w:rsid w:val="001923A8"/>
    <w:rsid w:val="001A70E0"/>
    <w:rsid w:val="001B026C"/>
    <w:rsid w:val="001B1D75"/>
    <w:rsid w:val="001D2D5D"/>
    <w:rsid w:val="001D2F23"/>
    <w:rsid w:val="001D59E0"/>
    <w:rsid w:val="001D6123"/>
    <w:rsid w:val="001F2B1A"/>
    <w:rsid w:val="00206E8E"/>
    <w:rsid w:val="002070A1"/>
    <w:rsid w:val="0021173F"/>
    <w:rsid w:val="00214FBC"/>
    <w:rsid w:val="00222340"/>
    <w:rsid w:val="00226393"/>
    <w:rsid w:val="00232226"/>
    <w:rsid w:val="002375F5"/>
    <w:rsid w:val="002439AE"/>
    <w:rsid w:val="00254C0C"/>
    <w:rsid w:val="00254FB3"/>
    <w:rsid w:val="002674D8"/>
    <w:rsid w:val="002827D0"/>
    <w:rsid w:val="002827EE"/>
    <w:rsid w:val="00284D96"/>
    <w:rsid w:val="002943F2"/>
    <w:rsid w:val="002A0B38"/>
    <w:rsid w:val="002A2209"/>
    <w:rsid w:val="002B6725"/>
    <w:rsid w:val="002B6F2D"/>
    <w:rsid w:val="002B7B00"/>
    <w:rsid w:val="002D4A1C"/>
    <w:rsid w:val="002F3A1B"/>
    <w:rsid w:val="003173F5"/>
    <w:rsid w:val="00322170"/>
    <w:rsid w:val="00342C16"/>
    <w:rsid w:val="00344119"/>
    <w:rsid w:val="00347D74"/>
    <w:rsid w:val="003612BA"/>
    <w:rsid w:val="00383E52"/>
    <w:rsid w:val="003907AE"/>
    <w:rsid w:val="00390937"/>
    <w:rsid w:val="003A4ABC"/>
    <w:rsid w:val="003B3A7F"/>
    <w:rsid w:val="003C71A3"/>
    <w:rsid w:val="003C7C23"/>
    <w:rsid w:val="003D1D8F"/>
    <w:rsid w:val="003F6C2A"/>
    <w:rsid w:val="004321C4"/>
    <w:rsid w:val="00440325"/>
    <w:rsid w:val="00440930"/>
    <w:rsid w:val="00452439"/>
    <w:rsid w:val="0046030F"/>
    <w:rsid w:val="00461F90"/>
    <w:rsid w:val="00475005"/>
    <w:rsid w:val="0047755D"/>
    <w:rsid w:val="00477BD4"/>
    <w:rsid w:val="00492CE5"/>
    <w:rsid w:val="004C05D7"/>
    <w:rsid w:val="004C49EB"/>
    <w:rsid w:val="004C6602"/>
    <w:rsid w:val="004C67DE"/>
    <w:rsid w:val="004F457F"/>
    <w:rsid w:val="0050153C"/>
    <w:rsid w:val="00517B86"/>
    <w:rsid w:val="00535B8D"/>
    <w:rsid w:val="00547C06"/>
    <w:rsid w:val="00552E7B"/>
    <w:rsid w:val="00554E7D"/>
    <w:rsid w:val="00556062"/>
    <w:rsid w:val="005577C0"/>
    <w:rsid w:val="00594982"/>
    <w:rsid w:val="005B6BF6"/>
    <w:rsid w:val="005C0EFE"/>
    <w:rsid w:val="005D563A"/>
    <w:rsid w:val="005F6796"/>
    <w:rsid w:val="00601691"/>
    <w:rsid w:val="00602452"/>
    <w:rsid w:val="00604950"/>
    <w:rsid w:val="00633FA9"/>
    <w:rsid w:val="0063720A"/>
    <w:rsid w:val="00641E14"/>
    <w:rsid w:val="0065141A"/>
    <w:rsid w:val="00655628"/>
    <w:rsid w:val="0066506D"/>
    <w:rsid w:val="00692802"/>
    <w:rsid w:val="006B0B05"/>
    <w:rsid w:val="006C253B"/>
    <w:rsid w:val="006C642B"/>
    <w:rsid w:val="006E736D"/>
    <w:rsid w:val="006F003E"/>
    <w:rsid w:val="006F4B77"/>
    <w:rsid w:val="0070234B"/>
    <w:rsid w:val="00706464"/>
    <w:rsid w:val="00723CDF"/>
    <w:rsid w:val="007315E4"/>
    <w:rsid w:val="00780C4F"/>
    <w:rsid w:val="00786569"/>
    <w:rsid w:val="00790666"/>
    <w:rsid w:val="007A7625"/>
    <w:rsid w:val="007E375C"/>
    <w:rsid w:val="007E38A9"/>
    <w:rsid w:val="007E6316"/>
    <w:rsid w:val="007F5495"/>
    <w:rsid w:val="008149C2"/>
    <w:rsid w:val="008177AB"/>
    <w:rsid w:val="008242A6"/>
    <w:rsid w:val="0085192D"/>
    <w:rsid w:val="00886CB8"/>
    <w:rsid w:val="0089236B"/>
    <w:rsid w:val="008D2574"/>
    <w:rsid w:val="008D6550"/>
    <w:rsid w:val="008E1353"/>
    <w:rsid w:val="008E235B"/>
    <w:rsid w:val="008E5E97"/>
    <w:rsid w:val="00902F4A"/>
    <w:rsid w:val="009270FC"/>
    <w:rsid w:val="009337B3"/>
    <w:rsid w:val="00941F65"/>
    <w:rsid w:val="0095228F"/>
    <w:rsid w:val="00963A84"/>
    <w:rsid w:val="0096483B"/>
    <w:rsid w:val="00981BE6"/>
    <w:rsid w:val="009A6C01"/>
    <w:rsid w:val="009B2134"/>
    <w:rsid w:val="009B3C02"/>
    <w:rsid w:val="009C6716"/>
    <w:rsid w:val="009E126F"/>
    <w:rsid w:val="009E77FB"/>
    <w:rsid w:val="00A067C1"/>
    <w:rsid w:val="00A1031D"/>
    <w:rsid w:val="00A13FD9"/>
    <w:rsid w:val="00A221EC"/>
    <w:rsid w:val="00A27BC5"/>
    <w:rsid w:val="00A328A0"/>
    <w:rsid w:val="00A46119"/>
    <w:rsid w:val="00A50583"/>
    <w:rsid w:val="00A60269"/>
    <w:rsid w:val="00A65564"/>
    <w:rsid w:val="00A66E1D"/>
    <w:rsid w:val="00A95C7C"/>
    <w:rsid w:val="00AB1037"/>
    <w:rsid w:val="00AE0570"/>
    <w:rsid w:val="00AF0559"/>
    <w:rsid w:val="00AF7001"/>
    <w:rsid w:val="00B135BA"/>
    <w:rsid w:val="00B23126"/>
    <w:rsid w:val="00B37E07"/>
    <w:rsid w:val="00B50033"/>
    <w:rsid w:val="00B73AC9"/>
    <w:rsid w:val="00B76B5A"/>
    <w:rsid w:val="00B844FB"/>
    <w:rsid w:val="00BA17B3"/>
    <w:rsid w:val="00BA1D1B"/>
    <w:rsid w:val="00BB23BE"/>
    <w:rsid w:val="00BB2896"/>
    <w:rsid w:val="00BB314F"/>
    <w:rsid w:val="00BC6B76"/>
    <w:rsid w:val="00BC7DD4"/>
    <w:rsid w:val="00BD3DAA"/>
    <w:rsid w:val="00C06A14"/>
    <w:rsid w:val="00C07D2E"/>
    <w:rsid w:val="00C14097"/>
    <w:rsid w:val="00C24D97"/>
    <w:rsid w:val="00C3457A"/>
    <w:rsid w:val="00C35B85"/>
    <w:rsid w:val="00C6281F"/>
    <w:rsid w:val="00C647D2"/>
    <w:rsid w:val="00C70441"/>
    <w:rsid w:val="00C72515"/>
    <w:rsid w:val="00C74C7F"/>
    <w:rsid w:val="00C83237"/>
    <w:rsid w:val="00C8752E"/>
    <w:rsid w:val="00C910F4"/>
    <w:rsid w:val="00CB47BF"/>
    <w:rsid w:val="00CB5BEC"/>
    <w:rsid w:val="00CC3F4B"/>
    <w:rsid w:val="00CE0FD1"/>
    <w:rsid w:val="00CE4753"/>
    <w:rsid w:val="00CE716B"/>
    <w:rsid w:val="00CF2F5E"/>
    <w:rsid w:val="00CF6FAD"/>
    <w:rsid w:val="00CF75B8"/>
    <w:rsid w:val="00D11C9C"/>
    <w:rsid w:val="00D214C1"/>
    <w:rsid w:val="00D33D3C"/>
    <w:rsid w:val="00D34420"/>
    <w:rsid w:val="00D351F2"/>
    <w:rsid w:val="00D409ED"/>
    <w:rsid w:val="00D4451D"/>
    <w:rsid w:val="00D50E11"/>
    <w:rsid w:val="00D71E00"/>
    <w:rsid w:val="00D735C1"/>
    <w:rsid w:val="00D873FD"/>
    <w:rsid w:val="00D918F7"/>
    <w:rsid w:val="00D96375"/>
    <w:rsid w:val="00DC75AF"/>
    <w:rsid w:val="00DE5EB4"/>
    <w:rsid w:val="00E56151"/>
    <w:rsid w:val="00E5691E"/>
    <w:rsid w:val="00E760A8"/>
    <w:rsid w:val="00E92862"/>
    <w:rsid w:val="00E95555"/>
    <w:rsid w:val="00EC26AC"/>
    <w:rsid w:val="00EC4962"/>
    <w:rsid w:val="00EC7691"/>
    <w:rsid w:val="00ED270E"/>
    <w:rsid w:val="00ED3640"/>
    <w:rsid w:val="00ED7F64"/>
    <w:rsid w:val="00EE2C7E"/>
    <w:rsid w:val="00EF42C2"/>
    <w:rsid w:val="00F04B66"/>
    <w:rsid w:val="00F13357"/>
    <w:rsid w:val="00F27C0F"/>
    <w:rsid w:val="00F370E8"/>
    <w:rsid w:val="00F53F81"/>
    <w:rsid w:val="00F64760"/>
    <w:rsid w:val="00F70E15"/>
    <w:rsid w:val="00F9738A"/>
    <w:rsid w:val="00FA2C9F"/>
    <w:rsid w:val="00FC30C0"/>
    <w:rsid w:val="00FC68AF"/>
    <w:rsid w:val="00FD3623"/>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5D2EA61"/>
  <w15:docId w15:val="{BD6CC9EB-6D71-438C-828D-8D85A93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123"/>
    <w:pPr>
      <w:outlineLvl w:val="5"/>
    </w:pPr>
    <w:rPr>
      <w:rFonts w:asciiTheme="minorHAnsi" w:hAnsiTheme="minorHAnsi"/>
      <w:sz w:val="24"/>
      <w:szCs w:val="24"/>
    </w:rPr>
  </w:style>
  <w:style w:type="paragraph" w:styleId="Heading1">
    <w:name w:val="heading 1"/>
    <w:basedOn w:val="Normal"/>
    <w:next w:val="Normal"/>
    <w:qFormat/>
    <w:rsid w:val="00347D74"/>
    <w:pPr>
      <w:jc w:val="center"/>
      <w:outlineLvl w:val="0"/>
    </w:pPr>
    <w:rPr>
      <w:b/>
      <w:bCs/>
      <w:sz w:val="32"/>
      <w:szCs w:val="32"/>
    </w:rPr>
  </w:style>
  <w:style w:type="paragraph" w:styleId="Heading2">
    <w:name w:val="heading 2"/>
    <w:basedOn w:val="Normal"/>
    <w:next w:val="Normal"/>
    <w:qFormat/>
    <w:rsid w:val="00347D74"/>
    <w:pPr>
      <w:outlineLvl w:val="1"/>
    </w:pPr>
    <w:rPr>
      <w:b/>
      <w:color w:val="007DA5"/>
      <w:sz w:val="28"/>
      <w:szCs w:val="28"/>
    </w:rPr>
  </w:style>
  <w:style w:type="paragraph" w:styleId="Heading3">
    <w:name w:val="heading 3"/>
    <w:basedOn w:val="Normal"/>
    <w:next w:val="Normal"/>
    <w:qFormat/>
    <w:rsid w:val="00347D74"/>
    <w:pPr>
      <w:outlineLvl w:val="2"/>
    </w:pPr>
    <w:rPr>
      <w:b/>
    </w:rPr>
  </w:style>
  <w:style w:type="paragraph" w:styleId="Heading4">
    <w:name w:val="heading 4"/>
    <w:basedOn w:val="BodyText"/>
    <w:next w:val="Normal"/>
    <w:qFormat/>
    <w:rsid w:val="001D6123"/>
    <w:pPr>
      <w:outlineLvl w:val="3"/>
    </w:pPr>
  </w:style>
  <w:style w:type="paragraph" w:styleId="Heading5">
    <w:name w:val="heading 5"/>
    <w:basedOn w:val="Heading4"/>
    <w:next w:val="Normal"/>
    <w:qFormat/>
    <w:rsid w:val="001D6123"/>
    <w:pPr>
      <w:outlineLvl w:val="4"/>
    </w:pPr>
  </w:style>
  <w:style w:type="paragraph" w:styleId="Heading6">
    <w:name w:val="heading 6"/>
    <w:basedOn w:val="Heading5"/>
    <w:next w:val="Normal"/>
    <w:qFormat/>
    <w:rsid w:val="001D612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E95555"/>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F6FAD"/>
    <w:rPr>
      <w:rFonts w:ascii="Tahoma" w:hAnsi="Tahoma" w:cs="Tahoma"/>
      <w:sz w:val="16"/>
      <w:szCs w:val="16"/>
    </w:rPr>
  </w:style>
  <w:style w:type="table" w:styleId="TableGrid">
    <w:name w:val="Table Grid"/>
    <w:basedOn w:val="TableNormal"/>
    <w:rsid w:val="00723CDF"/>
    <w:rPr>
      <w:rFonts w:ascii="New York"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950"/>
    <w:rPr>
      <w:rFonts w:ascii="Arial" w:hAnsi="Arial"/>
      <w:sz w:val="24"/>
    </w:rPr>
  </w:style>
  <w:style w:type="paragraph" w:styleId="ListParagraph">
    <w:name w:val="List Paragraph"/>
    <w:basedOn w:val="Normal"/>
    <w:uiPriority w:val="34"/>
    <w:qFormat/>
    <w:rsid w:val="00B73AC9"/>
    <w:pPr>
      <w:ind w:left="720"/>
      <w:contextualSpacing/>
    </w:pPr>
  </w:style>
  <w:style w:type="paragraph" w:styleId="Revision">
    <w:name w:val="Revision"/>
    <w:hidden/>
    <w:uiPriority w:val="99"/>
    <w:semiHidden/>
    <w:rsid w:val="001B1D75"/>
    <w:rPr>
      <w:rFonts w:asciiTheme="minorHAnsi" w:hAnsiTheme="minorHAnsi"/>
      <w:sz w:val="24"/>
      <w:szCs w:val="24"/>
    </w:rPr>
  </w:style>
  <w:style w:type="character" w:styleId="UnresolvedMention">
    <w:name w:val="Unresolved Mention"/>
    <w:basedOn w:val="DefaultParagraphFont"/>
    <w:uiPriority w:val="99"/>
    <w:semiHidden/>
    <w:unhideWhenUsed/>
    <w:rsid w:val="00EE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704">
      <w:bodyDiv w:val="1"/>
      <w:marLeft w:val="0"/>
      <w:marRight w:val="0"/>
      <w:marTop w:val="0"/>
      <w:marBottom w:val="0"/>
      <w:divBdr>
        <w:top w:val="none" w:sz="0" w:space="0" w:color="auto"/>
        <w:left w:val="none" w:sz="0" w:space="0" w:color="auto"/>
        <w:bottom w:val="none" w:sz="0" w:space="0" w:color="auto"/>
        <w:right w:val="none" w:sz="0" w:space="0" w:color="auto"/>
      </w:divBdr>
    </w:div>
    <w:div w:id="172577712">
      <w:bodyDiv w:val="1"/>
      <w:marLeft w:val="0"/>
      <w:marRight w:val="0"/>
      <w:marTop w:val="0"/>
      <w:marBottom w:val="0"/>
      <w:divBdr>
        <w:top w:val="none" w:sz="0" w:space="0" w:color="auto"/>
        <w:left w:val="none" w:sz="0" w:space="0" w:color="auto"/>
        <w:bottom w:val="none" w:sz="0" w:space="0" w:color="auto"/>
        <w:right w:val="none" w:sz="0" w:space="0" w:color="auto"/>
      </w:divBdr>
    </w:div>
    <w:div w:id="263613841">
      <w:bodyDiv w:val="1"/>
      <w:marLeft w:val="0"/>
      <w:marRight w:val="0"/>
      <w:marTop w:val="0"/>
      <w:marBottom w:val="0"/>
      <w:divBdr>
        <w:top w:val="none" w:sz="0" w:space="0" w:color="auto"/>
        <w:left w:val="none" w:sz="0" w:space="0" w:color="auto"/>
        <w:bottom w:val="none" w:sz="0" w:space="0" w:color="auto"/>
        <w:right w:val="none" w:sz="0" w:space="0" w:color="auto"/>
      </w:divBdr>
    </w:div>
    <w:div w:id="316035285">
      <w:bodyDiv w:val="1"/>
      <w:marLeft w:val="0"/>
      <w:marRight w:val="0"/>
      <w:marTop w:val="0"/>
      <w:marBottom w:val="0"/>
      <w:divBdr>
        <w:top w:val="none" w:sz="0" w:space="0" w:color="auto"/>
        <w:left w:val="none" w:sz="0" w:space="0" w:color="auto"/>
        <w:bottom w:val="none" w:sz="0" w:space="0" w:color="auto"/>
        <w:right w:val="none" w:sz="0" w:space="0" w:color="auto"/>
      </w:divBdr>
    </w:div>
    <w:div w:id="470905953">
      <w:bodyDiv w:val="1"/>
      <w:marLeft w:val="0"/>
      <w:marRight w:val="0"/>
      <w:marTop w:val="0"/>
      <w:marBottom w:val="0"/>
      <w:divBdr>
        <w:top w:val="none" w:sz="0" w:space="0" w:color="auto"/>
        <w:left w:val="none" w:sz="0" w:space="0" w:color="auto"/>
        <w:bottom w:val="none" w:sz="0" w:space="0" w:color="auto"/>
        <w:right w:val="none" w:sz="0" w:space="0" w:color="auto"/>
      </w:divBdr>
    </w:div>
    <w:div w:id="484585353">
      <w:bodyDiv w:val="1"/>
      <w:marLeft w:val="0"/>
      <w:marRight w:val="0"/>
      <w:marTop w:val="0"/>
      <w:marBottom w:val="0"/>
      <w:divBdr>
        <w:top w:val="none" w:sz="0" w:space="0" w:color="auto"/>
        <w:left w:val="none" w:sz="0" w:space="0" w:color="auto"/>
        <w:bottom w:val="none" w:sz="0" w:space="0" w:color="auto"/>
        <w:right w:val="none" w:sz="0" w:space="0" w:color="auto"/>
      </w:divBdr>
    </w:div>
    <w:div w:id="503280146">
      <w:bodyDiv w:val="1"/>
      <w:marLeft w:val="0"/>
      <w:marRight w:val="0"/>
      <w:marTop w:val="0"/>
      <w:marBottom w:val="0"/>
      <w:divBdr>
        <w:top w:val="none" w:sz="0" w:space="0" w:color="auto"/>
        <w:left w:val="none" w:sz="0" w:space="0" w:color="auto"/>
        <w:bottom w:val="none" w:sz="0" w:space="0" w:color="auto"/>
        <w:right w:val="none" w:sz="0" w:space="0" w:color="auto"/>
      </w:divBdr>
    </w:div>
    <w:div w:id="1143541685">
      <w:bodyDiv w:val="1"/>
      <w:marLeft w:val="0"/>
      <w:marRight w:val="0"/>
      <w:marTop w:val="0"/>
      <w:marBottom w:val="0"/>
      <w:divBdr>
        <w:top w:val="none" w:sz="0" w:space="0" w:color="auto"/>
        <w:left w:val="none" w:sz="0" w:space="0" w:color="auto"/>
        <w:bottom w:val="none" w:sz="0" w:space="0" w:color="auto"/>
        <w:right w:val="none" w:sz="0" w:space="0" w:color="auto"/>
      </w:divBdr>
      <w:divsChild>
        <w:div w:id="513304251">
          <w:marLeft w:val="0"/>
          <w:marRight w:val="0"/>
          <w:marTop w:val="0"/>
          <w:marBottom w:val="0"/>
          <w:divBdr>
            <w:top w:val="none" w:sz="0" w:space="0" w:color="auto"/>
            <w:left w:val="none" w:sz="0" w:space="0" w:color="auto"/>
            <w:bottom w:val="none" w:sz="0" w:space="0" w:color="auto"/>
            <w:right w:val="none" w:sz="0" w:space="0" w:color="auto"/>
          </w:divBdr>
        </w:div>
      </w:divsChild>
    </w:div>
    <w:div w:id="18541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d.ca.gov/siteassets/files/jobs_and_training/pubs/wsd23-02att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d.ca.gov/siteassets/files/jobs_and_training/pubs/wsd23-02att1.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d.ca.gov/en/Jobs_and_Training/Regional_Advisor_Lis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irective" ma:contentTypeID="0x01010012F9BFEE42FF354E95F3B449CB393972009A2F73B02CA79544B53E581EFA37E632" ma:contentTypeVersion="10" ma:contentTypeDescription="" ma:contentTypeScope="" ma:versionID="fab3f66066f9173e29a8d12d08aecc2a">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B7D51-5C40-4CAF-ACD0-C0B40623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A266AC-7B52-4697-A333-658105234BEA}">
  <ds:schemaRefs>
    <ds:schemaRef ds:uri="http://schemas.openxmlformats.org/officeDocument/2006/bibliography"/>
  </ds:schemaRefs>
</ds:datastoreItem>
</file>

<file path=customXml/itemProps3.xml><?xml version="1.0" encoding="utf-8"?>
<ds:datastoreItem xmlns:ds="http://schemas.openxmlformats.org/officeDocument/2006/customXml" ds:itemID="{41F3A6AD-C261-4FF6-9AB6-6F06306B5FB9}">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F597DA9-7EAE-4C7F-8F1F-4F2F85F5C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620</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Percent LLSIL and Poverty Guidelines for 2023 - Directive</dc:title>
  <dc:subject/>
  <dc:creator>Workforce Services Branch</dc:creator>
  <cp:lastModifiedBy>Richardson, Jeffrey@EDD</cp:lastModifiedBy>
  <cp:revision>16</cp:revision>
  <cp:lastPrinted>2015-06-23T22:18:00Z</cp:lastPrinted>
  <dcterms:created xsi:type="dcterms:W3CDTF">2023-01-11T23:28:00Z</dcterms:created>
  <dcterms:modified xsi:type="dcterms:W3CDTF">2023-08-22T19:42:00Z</dcterms:modified>
  <cp:category>Directive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0x01010012F9BFEE42FF354E95F3B449CB393972009A2F73B02CA79544B53E581EFA37E632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