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245"/>
        <w:gridCol w:w="5039"/>
        <w:gridCol w:w="2076"/>
      </w:tblGrid>
      <w:tr w:rsidR="003351EA" w:rsidRPr="003351EA" w14:paraId="42A1243A" w14:textId="77777777" w:rsidTr="00412935">
        <w:tc>
          <w:tcPr>
            <w:tcW w:w="2245" w:type="dxa"/>
          </w:tcPr>
          <w:p w14:paraId="2AD48541" w14:textId="77777777" w:rsidR="003351EA" w:rsidRPr="003351EA" w:rsidRDefault="003351EA" w:rsidP="003351EA">
            <w:pPr>
              <w:outlineLvl w:val="9"/>
              <w:rPr>
                <w:rFonts w:ascii="Calibri" w:eastAsia="Aptos" w:hAnsi="Calibri" w:cs="Calibri"/>
                <w:kern w:val="2"/>
                <w:szCs w:val="22"/>
                <w14:ligatures w14:val="standardContextual"/>
              </w:rPr>
            </w:pPr>
            <w:bookmarkStart w:id="0" w:name="_Hlk146795579"/>
            <w:bookmarkStart w:id="1" w:name="_Hlk146795097"/>
            <w:r w:rsidRPr="003351EA">
              <w:rPr>
                <w:rFonts w:ascii="Calibri" w:hAnsi="Calibri"/>
                <w:noProof/>
              </w:rPr>
              <w:drawing>
                <wp:inline distT="0" distB="0" distL="0" distR="0" wp14:anchorId="3AF7904D" wp14:editId="2887F9A9">
                  <wp:extent cx="1112520" cy="695325"/>
                  <wp:effectExtent l="0" t="0" r="0" b="9525"/>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606" cy="727254"/>
                          </a:xfrm>
                          <a:prstGeom prst="rect">
                            <a:avLst/>
                          </a:prstGeom>
                          <a:noFill/>
                          <a:ln>
                            <a:noFill/>
                          </a:ln>
                        </pic:spPr>
                      </pic:pic>
                    </a:graphicData>
                  </a:graphic>
                </wp:inline>
              </w:drawing>
            </w:r>
          </w:p>
        </w:tc>
        <w:tc>
          <w:tcPr>
            <w:tcW w:w="5045" w:type="dxa"/>
          </w:tcPr>
          <w:p w14:paraId="3608E1EF" w14:textId="77777777" w:rsidR="003351EA" w:rsidRPr="003351EA" w:rsidRDefault="003351EA" w:rsidP="00575797">
            <w:pPr>
              <w:pStyle w:val="Heading1"/>
            </w:pPr>
            <w:r w:rsidRPr="003351EA">
              <w:t>Directive</w:t>
            </w:r>
          </w:p>
          <w:p w14:paraId="0DD06711" w14:textId="3F6FCC15" w:rsidR="003351EA" w:rsidRPr="003351EA" w:rsidRDefault="003351EA" w:rsidP="002D71F6">
            <w:pPr>
              <w:jc w:val="center"/>
              <w:outlineLvl w:val="9"/>
              <w:rPr>
                <w:rFonts w:ascii="Calibri" w:eastAsia="Aptos" w:hAnsi="Calibri" w:cs="Calibri"/>
                <w:kern w:val="2"/>
                <w:szCs w:val="22"/>
                <w14:ligatures w14:val="standardContextual"/>
              </w:rPr>
            </w:pPr>
            <w:r w:rsidRPr="003351EA">
              <w:rPr>
                <w:rFonts w:ascii="Calibri" w:hAnsi="Calibri"/>
                <w:b/>
              </w:rPr>
              <w:t xml:space="preserve">Date: </w:t>
            </w:r>
            <w:r w:rsidR="009150CD">
              <w:t>November</w:t>
            </w:r>
            <w:r w:rsidRPr="003351EA">
              <w:rPr>
                <w:rFonts w:ascii="Calibri" w:hAnsi="Calibri"/>
              </w:rPr>
              <w:t xml:space="preserve"> </w:t>
            </w:r>
            <w:r w:rsidR="009150CD">
              <w:rPr>
                <w:rFonts w:ascii="Calibri" w:hAnsi="Calibri"/>
              </w:rPr>
              <w:t>14</w:t>
            </w:r>
            <w:r w:rsidRPr="003351EA">
              <w:rPr>
                <w:rFonts w:ascii="Calibri" w:hAnsi="Calibri"/>
              </w:rPr>
              <w:t xml:space="preserve">, </w:t>
            </w:r>
            <w:proofErr w:type="gramStart"/>
            <w:r w:rsidR="009150CD">
              <w:rPr>
                <w:rFonts w:ascii="Calibri" w:hAnsi="Calibri"/>
              </w:rPr>
              <w:t>2022</w:t>
            </w:r>
            <w:proofErr w:type="gramEnd"/>
            <w:r w:rsidRPr="003351EA">
              <w:rPr>
                <w:rFonts w:ascii="Calibri" w:hAnsi="Calibri"/>
                <w:b/>
              </w:rPr>
              <w:t xml:space="preserve"> Number: </w:t>
            </w:r>
            <w:r w:rsidRPr="003351EA">
              <w:rPr>
                <w:rFonts w:ascii="Calibri" w:hAnsi="Calibri"/>
              </w:rPr>
              <w:t>WSD</w:t>
            </w:r>
            <w:r w:rsidR="009150CD">
              <w:rPr>
                <w:rFonts w:ascii="Calibri" w:hAnsi="Calibri"/>
              </w:rPr>
              <w:t>22</w:t>
            </w:r>
            <w:r w:rsidRPr="003351EA">
              <w:rPr>
                <w:rFonts w:ascii="Calibri" w:hAnsi="Calibri"/>
              </w:rPr>
              <w:t>-</w:t>
            </w:r>
            <w:r w:rsidR="009150CD">
              <w:rPr>
                <w:rFonts w:ascii="Calibri" w:hAnsi="Calibri"/>
              </w:rPr>
              <w:t>07</w:t>
            </w:r>
          </w:p>
        </w:tc>
        <w:tc>
          <w:tcPr>
            <w:tcW w:w="2060" w:type="dxa"/>
          </w:tcPr>
          <w:p w14:paraId="0F0EB778" w14:textId="2AEA3F1C" w:rsidR="003351EA" w:rsidRPr="003351EA" w:rsidRDefault="00412935" w:rsidP="003351EA">
            <w:pPr>
              <w:spacing w:before="120"/>
              <w:outlineLvl w:val="9"/>
              <w:rPr>
                <w:rFonts w:ascii="Calibri" w:eastAsia="Aptos" w:hAnsi="Calibri" w:cs="Calibri"/>
                <w:kern w:val="2"/>
                <w:szCs w:val="22"/>
                <w14:ligatures w14:val="standardContextual"/>
              </w:rPr>
            </w:pPr>
            <w:r w:rsidRPr="003351EA">
              <w:rPr>
                <w:rFonts w:ascii="Calibri" w:hAnsi="Calibri"/>
                <w:noProof/>
              </w:rPr>
              <w:drawing>
                <wp:inline distT="0" distB="0" distL="0" distR="0" wp14:anchorId="7783E68A" wp14:editId="202685D5">
                  <wp:extent cx="1181100" cy="499237"/>
                  <wp:effectExtent l="0" t="0" r="0" b="0"/>
                  <wp:docPr id="7" name="Picture 7" descr="Department Logo: California Workforce Develop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partment Logo: California Workforce Development Bo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3767" cy="504591"/>
                          </a:xfrm>
                          <a:prstGeom prst="rect">
                            <a:avLst/>
                          </a:prstGeom>
                          <a:noFill/>
                          <a:ln>
                            <a:noFill/>
                          </a:ln>
                        </pic:spPr>
                      </pic:pic>
                    </a:graphicData>
                  </a:graphic>
                </wp:inline>
              </w:drawing>
            </w:r>
          </w:p>
        </w:tc>
      </w:tr>
    </w:tbl>
    <w:p w14:paraId="6FC0B1E2" w14:textId="5E26B8D0" w:rsidR="00B17D68" w:rsidRPr="00BA060D" w:rsidRDefault="00B17D68" w:rsidP="00BA060D">
      <w:pPr>
        <w:pBdr>
          <w:bottom w:val="single" w:sz="4" w:space="1" w:color="auto"/>
        </w:pBdr>
        <w:rPr>
          <w:sz w:val="20"/>
          <w:szCs w:val="20"/>
        </w:rPr>
      </w:pPr>
    </w:p>
    <w:bookmarkEnd w:id="0"/>
    <w:p w14:paraId="522B63CA" w14:textId="47359B51" w:rsidR="00BA060D" w:rsidRPr="00821F43" w:rsidRDefault="00BA060D" w:rsidP="00821F43">
      <w:pPr>
        <w:pStyle w:val="Heading2"/>
      </w:pPr>
      <w:r>
        <w:br/>
      </w:r>
      <w:r w:rsidR="009150CD">
        <w:t>Debt Collection</w:t>
      </w:r>
      <w:r w:rsidR="00896BE5" w:rsidRPr="00821F43">
        <w:br/>
      </w:r>
    </w:p>
    <w:p w14:paraId="4D586E26" w14:textId="2FA6E891" w:rsidR="00BA060D" w:rsidRPr="00821F43" w:rsidRDefault="00BA060D" w:rsidP="00821F43">
      <w:pPr>
        <w:pStyle w:val="Heading3"/>
      </w:pPr>
      <w:bookmarkStart w:id="2" w:name="_Hlk146794571"/>
      <w:r w:rsidRPr="00821F43">
        <w:t>E</w:t>
      </w:r>
      <w:r w:rsidR="00821F43" w:rsidRPr="00821F43">
        <w:t>xecutive</w:t>
      </w:r>
      <w:r w:rsidRPr="00821F43">
        <w:t xml:space="preserve"> S</w:t>
      </w:r>
      <w:r w:rsidR="00821F43" w:rsidRPr="00821F43">
        <w:t>ummary</w:t>
      </w:r>
      <w:bookmarkEnd w:id="2"/>
    </w:p>
    <w:p w14:paraId="54868B3C" w14:textId="77777777" w:rsidR="00BA060D" w:rsidRDefault="00BA060D" w:rsidP="00BA060D">
      <w:pPr>
        <w:pBdr>
          <w:bottom w:val="double" w:sz="12" w:space="1" w:color="E58E1A"/>
        </w:pBdr>
        <w:outlineLvl w:val="9"/>
      </w:pPr>
      <w:bookmarkStart w:id="3" w:name="_Hlk146795300"/>
    </w:p>
    <w:bookmarkEnd w:id="3"/>
    <w:p w14:paraId="4EDCD548" w14:textId="2ADCD948" w:rsidR="009150CD" w:rsidRDefault="00BA060D" w:rsidP="00BA060D">
      <w:r>
        <w:t xml:space="preserve">This policy provides </w:t>
      </w:r>
      <w:proofErr w:type="gramStart"/>
      <w:r>
        <w:t>the guidance</w:t>
      </w:r>
      <w:proofErr w:type="gramEnd"/>
      <w:r>
        <w:t xml:space="preserve"> and establishes the procedures regarding</w:t>
      </w:r>
      <w:r w:rsidRPr="00B73AC9">
        <w:t xml:space="preserve"> </w:t>
      </w:r>
      <w:r w:rsidR="009150CD">
        <w:t xml:space="preserve">debt collection associated with audit findings and allegations of fraud, waste and abuse pertaining to federal </w:t>
      </w:r>
      <w:r w:rsidR="009150CD" w:rsidRPr="00997124">
        <w:rPr>
          <w:iCs/>
        </w:rPr>
        <w:t>Workforce Innovation and Opportunity Act</w:t>
      </w:r>
      <w:r w:rsidR="009150CD">
        <w:t xml:space="preserve"> (WIOA) funds</w:t>
      </w:r>
      <w:r w:rsidRPr="00B73AC9">
        <w:t xml:space="preserve">. This policy applies to </w:t>
      </w:r>
      <w:r w:rsidR="009150CD">
        <w:t xml:space="preserve">all subrecipients expending WIOA </w:t>
      </w:r>
      <w:proofErr w:type="gramStart"/>
      <w:r w:rsidR="009150CD">
        <w:t>funds</w:t>
      </w:r>
      <w:r w:rsidRPr="00B73AC9">
        <w:t>, and</w:t>
      </w:r>
      <w:proofErr w:type="gramEnd"/>
      <w:r w:rsidRPr="00B73AC9">
        <w:t xml:space="preserve"> is effective </w:t>
      </w:r>
      <w:r w:rsidR="009150CD">
        <w:t>on the date of issuance</w:t>
      </w:r>
      <w:r w:rsidRPr="00B73AC9">
        <w:t>.</w:t>
      </w:r>
    </w:p>
    <w:p w14:paraId="20B4495B" w14:textId="3F6EFC21" w:rsidR="009150CD" w:rsidRDefault="009150CD" w:rsidP="00BA060D"/>
    <w:p w14:paraId="183F3F10" w14:textId="0C5AA4E6" w:rsidR="009150CD" w:rsidRDefault="00BA060D" w:rsidP="00BA060D">
      <w:r>
        <w:t xml:space="preserve">This policy contains </w:t>
      </w:r>
      <w:r w:rsidR="009150CD">
        <w:t>som</w:t>
      </w:r>
      <w:r w:rsidR="00D454EB">
        <w:t>e</w:t>
      </w:r>
      <w:r>
        <w:t xml:space="preserve"> state-imposed requirements. All state-imposed requirements are indicated by </w:t>
      </w:r>
      <w:r w:rsidRPr="008E1353">
        <w:rPr>
          <w:b/>
          <w:i/>
        </w:rPr>
        <w:t>bold, italic</w:t>
      </w:r>
      <w:r>
        <w:t xml:space="preserve"> type.</w:t>
      </w:r>
    </w:p>
    <w:p w14:paraId="6CB70F0C" w14:textId="53A6D3EC" w:rsidR="009150CD" w:rsidRDefault="009150CD" w:rsidP="00BA060D"/>
    <w:p w14:paraId="7EB8515F" w14:textId="3D44CBF8" w:rsidR="009150CD" w:rsidRDefault="00BA060D" w:rsidP="00BA060D">
      <w:r>
        <w:t>This D</w:t>
      </w:r>
      <w:r w:rsidRPr="007315E4">
        <w:t>irective finalizes Workforce Services Draft Directive</w:t>
      </w:r>
      <w:r>
        <w:t xml:space="preserve"> </w:t>
      </w:r>
      <w:r w:rsidR="009150CD" w:rsidRPr="008E07CD">
        <w:rPr>
          <w:i/>
        </w:rPr>
        <w:t>Debt Collection</w:t>
      </w:r>
      <w:r w:rsidR="009150CD">
        <w:t xml:space="preserve"> (WSDD-236)</w:t>
      </w:r>
      <w:r w:rsidRPr="007315E4">
        <w:t xml:space="preserve">, issued for comment on </w:t>
      </w:r>
      <w:r w:rsidR="009150CD">
        <w:t>July 18, 2022</w:t>
      </w:r>
      <w:r w:rsidRPr="007315E4">
        <w:t xml:space="preserve">. The </w:t>
      </w:r>
      <w:r>
        <w:t>Workforce Development Community submitted</w:t>
      </w:r>
      <w:r w:rsidRPr="007315E4">
        <w:t xml:space="preserve"> </w:t>
      </w:r>
      <w:r w:rsidR="009150CD">
        <w:t>no</w:t>
      </w:r>
      <w:r w:rsidRPr="007315E4">
        <w:t xml:space="preserve"> comments during the draft comment period.</w:t>
      </w:r>
    </w:p>
    <w:p w14:paraId="7ED31629" w14:textId="1C388428" w:rsidR="009150CD" w:rsidRDefault="009150CD" w:rsidP="00BA060D"/>
    <w:p w14:paraId="4FD56B51" w14:textId="146939D1" w:rsidR="00BA060D" w:rsidRPr="009459F5" w:rsidRDefault="00BA060D" w:rsidP="00BA060D">
      <w:pPr>
        <w:rPr>
          <w:sz w:val="32"/>
          <w:szCs w:val="32"/>
        </w:rPr>
      </w:pPr>
      <w:r>
        <w:t>This policy</w:t>
      </w:r>
      <w:r w:rsidRPr="00DE5EB4">
        <w:t xml:space="preserve"> supersedes </w:t>
      </w:r>
      <w:r w:rsidR="009150CD">
        <w:t xml:space="preserve">Workforce Investment Act </w:t>
      </w:r>
      <w:r w:rsidR="009150CD" w:rsidRPr="00DE5EB4">
        <w:t xml:space="preserve">Directive </w:t>
      </w:r>
      <w:r w:rsidR="009150CD">
        <w:rPr>
          <w:i/>
        </w:rPr>
        <w:t>Debt Collection</w:t>
      </w:r>
      <w:r w:rsidR="009150CD">
        <w:t xml:space="preserve"> (WIAD01-5)</w:t>
      </w:r>
      <w:r w:rsidRPr="00DE5EB4">
        <w:t xml:space="preserve">, dated </w:t>
      </w:r>
      <w:r w:rsidR="009150CD">
        <w:t>September 10, 2001</w:t>
      </w:r>
      <w:r>
        <w:t xml:space="preserve">. </w:t>
      </w:r>
      <w:r w:rsidR="00F45600" w:rsidRPr="00F45600">
        <w:t>This Directive remains active until further notice</w:t>
      </w:r>
      <w:r w:rsidRPr="00DE5EB4">
        <w:t>.</w:t>
      </w:r>
      <w:r>
        <w:br/>
      </w:r>
    </w:p>
    <w:p w14:paraId="4982D718" w14:textId="33D8A61F" w:rsidR="00BA060D" w:rsidRPr="009150CD" w:rsidRDefault="00BA060D" w:rsidP="00821F43">
      <w:pPr>
        <w:pStyle w:val="Heading3"/>
      </w:pPr>
      <w:r w:rsidRPr="00821F43">
        <w:t>R</w:t>
      </w:r>
      <w:r w:rsidR="00821F43" w:rsidRPr="00821F43">
        <w:t>eferences</w:t>
      </w:r>
    </w:p>
    <w:p w14:paraId="3B82974D" w14:textId="77777777" w:rsidR="00BA060D" w:rsidRPr="005C0EFE" w:rsidRDefault="00BA060D" w:rsidP="00BA060D">
      <w:pPr>
        <w:pBdr>
          <w:bottom w:val="double" w:sz="12" w:space="1" w:color="E58E1A"/>
        </w:pBdr>
        <w:outlineLvl w:val="9"/>
      </w:pPr>
    </w:p>
    <w:p w14:paraId="106BDE15" w14:textId="77777777" w:rsidR="009150CD" w:rsidRDefault="009150CD" w:rsidP="009150CD">
      <w:pPr>
        <w:pStyle w:val="ListParagraph"/>
        <w:numPr>
          <w:ilvl w:val="0"/>
          <w:numId w:val="1"/>
        </w:numPr>
        <w:outlineLvl w:val="9"/>
      </w:pPr>
      <w:r>
        <w:t>WIOA (Public Law 113-128) Section 184</w:t>
      </w:r>
    </w:p>
    <w:p w14:paraId="15337E82" w14:textId="2762D4A7" w:rsidR="009150CD" w:rsidRPr="00ED2AB4" w:rsidRDefault="009150CD" w:rsidP="009150CD">
      <w:pPr>
        <w:pStyle w:val="ListParagraph"/>
        <w:numPr>
          <w:ilvl w:val="0"/>
          <w:numId w:val="1"/>
        </w:numPr>
        <w:outlineLvl w:val="9"/>
      </w:pPr>
      <w:r>
        <w:t xml:space="preserve">Title 20 </w:t>
      </w:r>
      <w:r w:rsidRPr="0017396E">
        <w:rPr>
          <w:iCs/>
        </w:rPr>
        <w:t xml:space="preserve">Code of Federal Regulations </w:t>
      </w:r>
      <w:r>
        <w:t>(CFR)</w:t>
      </w:r>
      <w:r w:rsidR="00D454EB">
        <w:t xml:space="preserve"> Part 600: </w:t>
      </w:r>
      <w:r w:rsidR="00D454EB" w:rsidRPr="00D454EB">
        <w:t>Employment and Training Administration, Department of Labor</w:t>
      </w:r>
      <w:r>
        <w:t xml:space="preserve"> Sections 683.410(a), 683.420(a</w:t>
      </w:r>
      <w:r w:rsidRPr="00D934CE">
        <w:t>)(1)(</w:t>
      </w:r>
      <w:proofErr w:type="spellStart"/>
      <w:r w:rsidRPr="00D934CE">
        <w:t>i</w:t>
      </w:r>
      <w:proofErr w:type="spellEnd"/>
      <w:r w:rsidRPr="00D934CE">
        <w:t>)</w:t>
      </w:r>
      <w:r>
        <w:t xml:space="preserve"> and 683.740</w:t>
      </w:r>
    </w:p>
    <w:p w14:paraId="5A4B0AF0" w14:textId="62BF0AE8" w:rsidR="00BA060D" w:rsidRPr="009459F5" w:rsidRDefault="00BA060D" w:rsidP="00BA060D">
      <w:pPr>
        <w:outlineLvl w:val="9"/>
        <w:rPr>
          <w:sz w:val="32"/>
          <w:szCs w:val="32"/>
        </w:rPr>
      </w:pPr>
    </w:p>
    <w:p w14:paraId="0BEF71C2" w14:textId="552B8407" w:rsidR="00BA060D" w:rsidRPr="005C0EFE" w:rsidRDefault="00BA060D" w:rsidP="00821F43">
      <w:pPr>
        <w:pStyle w:val="Heading3"/>
      </w:pPr>
      <w:r w:rsidRPr="005C0EFE">
        <w:t>B</w:t>
      </w:r>
      <w:r w:rsidR="00821F43">
        <w:t>ackground</w:t>
      </w:r>
    </w:p>
    <w:p w14:paraId="7BEBC769" w14:textId="77777777" w:rsidR="00BA060D" w:rsidRDefault="00BA060D" w:rsidP="00BA060D">
      <w:pPr>
        <w:pBdr>
          <w:bottom w:val="double" w:sz="12" w:space="1" w:color="E58E1A"/>
        </w:pBdr>
        <w:outlineLvl w:val="9"/>
      </w:pPr>
    </w:p>
    <w:p w14:paraId="4A629B2E" w14:textId="33C66865" w:rsidR="009150CD" w:rsidRPr="00ED2AB4" w:rsidRDefault="009150CD" w:rsidP="009150CD">
      <w:pPr>
        <w:outlineLvl w:val="9"/>
      </w:pPr>
      <w:proofErr w:type="gramStart"/>
      <w:r>
        <w:t>The WIOA</w:t>
      </w:r>
      <w:proofErr w:type="gramEnd"/>
      <w:r>
        <w:t xml:space="preserve"> requires states to establish fiscal controls. In California, the Employment Development Department (EDD) is the administrative entity for federal WIOA funds. Among the required controls specified in Title 20 CFR Section 683.420(a</w:t>
      </w:r>
      <w:r w:rsidRPr="00D934CE">
        <w:t>)(1)(</w:t>
      </w:r>
      <w:proofErr w:type="spellStart"/>
      <w:r w:rsidRPr="00D934CE">
        <w:t>i</w:t>
      </w:r>
      <w:proofErr w:type="spellEnd"/>
      <w:r w:rsidRPr="00D934CE">
        <w:t>)</w:t>
      </w:r>
      <w:r>
        <w:t xml:space="preserve"> is a process for debt collection.</w:t>
      </w:r>
    </w:p>
    <w:p w14:paraId="0E6B9F4B" w14:textId="4D000CFB" w:rsidR="00AA1A5E" w:rsidRDefault="00AA1A5E">
      <w:pPr>
        <w:spacing w:after="160" w:line="259" w:lineRule="auto"/>
        <w:outlineLvl w:val="9"/>
        <w:rPr>
          <w:sz w:val="32"/>
          <w:szCs w:val="32"/>
        </w:rPr>
      </w:pPr>
      <w:r>
        <w:rPr>
          <w:sz w:val="32"/>
          <w:szCs w:val="32"/>
        </w:rPr>
        <w:br w:type="page"/>
      </w:r>
    </w:p>
    <w:p w14:paraId="15FECE3B" w14:textId="77777777" w:rsidR="00BA060D" w:rsidRPr="009459F5" w:rsidRDefault="00BA060D" w:rsidP="00BA060D">
      <w:pPr>
        <w:outlineLvl w:val="9"/>
        <w:rPr>
          <w:sz w:val="32"/>
          <w:szCs w:val="32"/>
        </w:rPr>
      </w:pPr>
    </w:p>
    <w:p w14:paraId="51CABB24" w14:textId="6C71C768" w:rsidR="00BA060D" w:rsidRPr="005C0EFE" w:rsidRDefault="00BA060D" w:rsidP="00821F43">
      <w:pPr>
        <w:pStyle w:val="Heading3"/>
      </w:pPr>
      <w:r w:rsidRPr="005C0EFE">
        <w:t>P</w:t>
      </w:r>
      <w:r w:rsidR="00821F43">
        <w:t>olicy and Procedures</w:t>
      </w:r>
    </w:p>
    <w:p w14:paraId="697A2513" w14:textId="77777777" w:rsidR="00BA060D" w:rsidRDefault="00BA060D" w:rsidP="00BA060D">
      <w:pPr>
        <w:pBdr>
          <w:bottom w:val="double" w:sz="12" w:space="1" w:color="E58E1A"/>
        </w:pBdr>
        <w:outlineLvl w:val="9"/>
      </w:pPr>
    </w:p>
    <w:p w14:paraId="2905A042" w14:textId="7266CCE2" w:rsidR="00B579A1" w:rsidRPr="000E2D88" w:rsidRDefault="00B579A1" w:rsidP="00D15360">
      <w:pPr>
        <w:pStyle w:val="Heading4"/>
      </w:pPr>
      <w:r>
        <w:t>Definitions</w:t>
      </w:r>
    </w:p>
    <w:p w14:paraId="7192E9F4" w14:textId="77777777" w:rsidR="00B579A1" w:rsidRDefault="00B579A1" w:rsidP="009150CD">
      <w:pPr>
        <w:outlineLvl w:val="9"/>
        <w:rPr>
          <w:i/>
        </w:rPr>
      </w:pPr>
    </w:p>
    <w:p w14:paraId="49B33FA7" w14:textId="56843582" w:rsidR="009150CD" w:rsidRPr="002F51BD" w:rsidRDefault="009150CD" w:rsidP="009150CD">
      <w:pPr>
        <w:outlineLvl w:val="9"/>
      </w:pPr>
      <w:r w:rsidRPr="006F492C">
        <w:rPr>
          <w:i/>
        </w:rPr>
        <w:t>Awarding Agency</w:t>
      </w:r>
      <w:r>
        <w:t xml:space="preserve"> – means </w:t>
      </w:r>
      <w:r w:rsidRPr="002F51BD">
        <w:t xml:space="preserve">(1) with respect to a grant, </w:t>
      </w:r>
      <w:r>
        <w:t xml:space="preserve">the </w:t>
      </w:r>
      <w:r w:rsidRPr="002F51BD">
        <w:t>Department of Labor (DOL); and (2) with respect to a</w:t>
      </w:r>
      <w:r>
        <w:t xml:space="preserve"> subgrant or contract, the entity</w:t>
      </w:r>
      <w:r w:rsidRPr="002F51BD">
        <w:t xml:space="preserve"> that awarded the subgrant or contract.</w:t>
      </w:r>
    </w:p>
    <w:p w14:paraId="7C9DCD3F" w14:textId="77777777" w:rsidR="009150CD" w:rsidRPr="005D2A6A" w:rsidRDefault="009150CD" w:rsidP="009150CD"/>
    <w:p w14:paraId="4CD7D316" w14:textId="5C914103" w:rsidR="009150CD" w:rsidRDefault="009150CD" w:rsidP="009150CD">
      <w:r w:rsidRPr="00736094">
        <w:rPr>
          <w:bCs/>
          <w:i/>
        </w:rPr>
        <w:t xml:space="preserve">Final </w:t>
      </w:r>
      <w:r w:rsidRPr="006F492C">
        <w:rPr>
          <w:bCs/>
          <w:i/>
        </w:rPr>
        <w:t>D</w:t>
      </w:r>
      <w:r w:rsidRPr="00736094">
        <w:rPr>
          <w:bCs/>
          <w:i/>
        </w:rPr>
        <w:t>ebt</w:t>
      </w:r>
      <w:r w:rsidRPr="0071204D">
        <w:rPr>
          <w:b/>
          <w:bCs/>
        </w:rPr>
        <w:t xml:space="preserve"> </w:t>
      </w:r>
      <w:r w:rsidRPr="0071204D">
        <w:t>–</w:t>
      </w:r>
      <w:r w:rsidRPr="005D2A6A">
        <w:t xml:space="preserve"> </w:t>
      </w:r>
      <w:r>
        <w:t>t</w:t>
      </w:r>
      <w:r w:rsidRPr="005D2A6A">
        <w:t>he amount owed based on the awarding agency’s final determination if an appeal is not filed, or the decision issued in response to an appeal. Included in final debts are funds due from, but not limited to, incidents of fraud, malfeasance, misapplication of funds or other serious violations or illegal acts.</w:t>
      </w:r>
    </w:p>
    <w:p w14:paraId="0EC9CDBC" w14:textId="77777777" w:rsidR="009150CD" w:rsidRDefault="009150CD" w:rsidP="009150CD"/>
    <w:p w14:paraId="6EE6577F" w14:textId="112A016D" w:rsidR="009150CD" w:rsidRDefault="009150CD" w:rsidP="009150CD">
      <w:pPr>
        <w:outlineLvl w:val="9"/>
      </w:pPr>
      <w:r w:rsidRPr="00736094">
        <w:rPr>
          <w:i/>
        </w:rPr>
        <w:t>Final Determination</w:t>
      </w:r>
      <w:r>
        <w:t xml:space="preserve"> – the awarding agency’s decision to allow or disallow questioned costs and resolve any nonmonetary findings.</w:t>
      </w:r>
    </w:p>
    <w:p w14:paraId="15B797CE" w14:textId="77777777" w:rsidR="009150CD" w:rsidRDefault="009150CD" w:rsidP="009150CD"/>
    <w:p w14:paraId="3F476645" w14:textId="4A0B68D9" w:rsidR="009150CD" w:rsidRDefault="009150CD" w:rsidP="009150CD">
      <w:pPr>
        <w:outlineLvl w:val="9"/>
      </w:pPr>
      <w:r w:rsidRPr="006F492C">
        <w:rPr>
          <w:i/>
        </w:rPr>
        <w:t>Subrecipient</w:t>
      </w:r>
      <w:r>
        <w:t xml:space="preserve"> – a non-federal entity that receives a subaward from a pass-through entity to carry out part of a federal </w:t>
      </w:r>
      <w:proofErr w:type="gramStart"/>
      <w:r>
        <w:t>program, but</w:t>
      </w:r>
      <w:proofErr w:type="gramEnd"/>
      <w:r>
        <w:t xml:space="preserve"> does not include an individual that is a beneficiary of such program. A subrecipient may also be a recipient of other federal awards directly from the federal awarding agency (Title 2 CFR Section 200.93). Local Workforce Development Boards (Local Board) are the subrecipients of WIOA funds and other federal grant awards. A Local Board may allocate funds to their subrecipients to carry out a part of the federal program.</w:t>
      </w:r>
    </w:p>
    <w:p w14:paraId="312B33E4" w14:textId="77777777" w:rsidR="009150CD" w:rsidRDefault="009150CD" w:rsidP="009150CD">
      <w:pPr>
        <w:outlineLvl w:val="9"/>
        <w:rPr>
          <w:rFonts w:cstheme="minorHAnsi"/>
        </w:rPr>
      </w:pPr>
    </w:p>
    <w:p w14:paraId="61728EF6" w14:textId="77777777" w:rsidR="009150CD" w:rsidRDefault="009150CD" w:rsidP="009150CD">
      <w:pPr>
        <w:outlineLvl w:val="9"/>
        <w:rPr>
          <w:rFonts w:cstheme="minorHAnsi"/>
        </w:rPr>
      </w:pPr>
      <w:r>
        <w:t xml:space="preserve">This Directive references both the “awarding agency subrecipient” and “their subrecipients.” </w:t>
      </w:r>
      <w:r>
        <w:rPr>
          <w:rFonts w:cstheme="minorHAnsi"/>
        </w:rPr>
        <w:t>For the purposes of this Directive, subrecipients will be labeled as the following:</w:t>
      </w:r>
    </w:p>
    <w:p w14:paraId="02E36B1B" w14:textId="77777777" w:rsidR="009150CD" w:rsidRDefault="009150CD" w:rsidP="009150CD">
      <w:pPr>
        <w:outlineLvl w:val="9"/>
        <w:rPr>
          <w:rFonts w:cstheme="minorHAnsi"/>
        </w:rPr>
      </w:pPr>
    </w:p>
    <w:p w14:paraId="6990A853" w14:textId="77777777" w:rsidR="009150CD" w:rsidRDefault="009150CD" w:rsidP="00C86F52">
      <w:pPr>
        <w:pStyle w:val="ListParagraph"/>
        <w:numPr>
          <w:ilvl w:val="0"/>
          <w:numId w:val="6"/>
        </w:numPr>
        <w:ind w:left="810"/>
        <w:outlineLvl w:val="9"/>
        <w:rPr>
          <w:rFonts w:cstheme="minorHAnsi"/>
          <w:b/>
          <w:i/>
        </w:rPr>
      </w:pPr>
      <w:r w:rsidRPr="0066516E">
        <w:rPr>
          <w:b/>
          <w:i/>
        </w:rPr>
        <w:t xml:space="preserve">The </w:t>
      </w:r>
      <w:r w:rsidRPr="0066516E">
        <w:rPr>
          <w:b/>
        </w:rPr>
        <w:t>“</w:t>
      </w:r>
      <w:r>
        <w:rPr>
          <w:b/>
          <w:i/>
        </w:rPr>
        <w:t>a</w:t>
      </w:r>
      <w:r w:rsidRPr="0066516E">
        <w:rPr>
          <w:rFonts w:cstheme="minorHAnsi"/>
          <w:b/>
          <w:i/>
        </w:rPr>
        <w:t xml:space="preserve">warding agency </w:t>
      </w:r>
      <w:r>
        <w:rPr>
          <w:rFonts w:cstheme="minorHAnsi"/>
          <w:b/>
          <w:i/>
        </w:rPr>
        <w:t>s</w:t>
      </w:r>
      <w:r w:rsidRPr="0066516E">
        <w:rPr>
          <w:rFonts w:cstheme="minorHAnsi"/>
          <w:b/>
          <w:i/>
        </w:rPr>
        <w:t>ubrecipient” is the agency who is directly funded and in a subgrant with the EDD</w:t>
      </w:r>
      <w:r>
        <w:rPr>
          <w:rFonts w:cstheme="minorHAnsi"/>
          <w:b/>
          <w:i/>
        </w:rPr>
        <w:t>.</w:t>
      </w:r>
    </w:p>
    <w:p w14:paraId="6D9656DD" w14:textId="77777777" w:rsidR="009150CD" w:rsidRPr="0066516E" w:rsidRDefault="009150CD" w:rsidP="00C86F52">
      <w:pPr>
        <w:pStyle w:val="ListParagraph"/>
        <w:numPr>
          <w:ilvl w:val="0"/>
          <w:numId w:val="6"/>
        </w:numPr>
        <w:ind w:left="810"/>
        <w:outlineLvl w:val="9"/>
        <w:rPr>
          <w:rFonts w:cstheme="minorHAnsi"/>
          <w:b/>
          <w:i/>
        </w:rPr>
      </w:pPr>
      <w:r>
        <w:rPr>
          <w:rFonts w:cstheme="minorHAnsi"/>
          <w:b/>
          <w:i/>
        </w:rPr>
        <w:t xml:space="preserve">And </w:t>
      </w:r>
      <w:r w:rsidRPr="0066516E">
        <w:rPr>
          <w:rFonts w:cstheme="minorHAnsi"/>
          <w:b/>
          <w:i/>
        </w:rPr>
        <w:t>“</w:t>
      </w:r>
      <w:r>
        <w:rPr>
          <w:rFonts w:cstheme="minorHAnsi"/>
          <w:b/>
          <w:i/>
        </w:rPr>
        <w:t>t</w:t>
      </w:r>
      <w:r w:rsidRPr="0066516E">
        <w:rPr>
          <w:rFonts w:cstheme="minorHAnsi"/>
          <w:b/>
          <w:i/>
        </w:rPr>
        <w:t>heir subrecipient” is the agency at the local level that receives</w:t>
      </w:r>
      <w:r w:rsidRPr="00935580">
        <w:rPr>
          <w:rFonts w:cstheme="minorHAnsi"/>
          <w:b/>
          <w:i/>
        </w:rPr>
        <w:t xml:space="preserve"> funds from the </w:t>
      </w:r>
      <w:r>
        <w:rPr>
          <w:rFonts w:cstheme="minorHAnsi"/>
          <w:b/>
          <w:i/>
        </w:rPr>
        <w:t>a</w:t>
      </w:r>
      <w:r w:rsidRPr="00935580">
        <w:rPr>
          <w:rFonts w:cstheme="minorHAnsi"/>
          <w:b/>
          <w:i/>
        </w:rPr>
        <w:t xml:space="preserve">warding </w:t>
      </w:r>
      <w:r>
        <w:rPr>
          <w:rFonts w:cstheme="minorHAnsi"/>
          <w:b/>
          <w:i/>
        </w:rPr>
        <w:t>a</w:t>
      </w:r>
      <w:r w:rsidRPr="00935580">
        <w:rPr>
          <w:rFonts w:cstheme="minorHAnsi"/>
          <w:b/>
          <w:i/>
        </w:rPr>
        <w:t xml:space="preserve">gency </w:t>
      </w:r>
      <w:r>
        <w:rPr>
          <w:rFonts w:cstheme="minorHAnsi"/>
          <w:b/>
          <w:i/>
        </w:rPr>
        <w:t>s</w:t>
      </w:r>
      <w:r w:rsidRPr="0066516E">
        <w:rPr>
          <w:rFonts w:cstheme="minorHAnsi"/>
          <w:b/>
          <w:i/>
        </w:rPr>
        <w:t>ubrecipient to carry out a portion of the program.</w:t>
      </w:r>
      <w:r>
        <w:rPr>
          <w:rFonts w:cstheme="minorHAnsi"/>
          <w:b/>
          <w:i/>
        </w:rPr>
        <w:t xml:space="preserve"> </w:t>
      </w:r>
    </w:p>
    <w:p w14:paraId="3B8F3D8B" w14:textId="77777777" w:rsidR="009150CD" w:rsidRPr="005D2A6A" w:rsidRDefault="009150CD" w:rsidP="009150CD"/>
    <w:p w14:paraId="0138CEA6" w14:textId="2F944C4B" w:rsidR="009150CD" w:rsidRPr="000E2D88" w:rsidRDefault="009150CD" w:rsidP="00D15360">
      <w:pPr>
        <w:pStyle w:val="Heading4"/>
      </w:pPr>
      <w:r w:rsidRPr="000E2D88">
        <w:t>Debt Collection Requirements</w:t>
      </w:r>
    </w:p>
    <w:p w14:paraId="7B5C5EEA" w14:textId="77777777" w:rsidR="009150CD" w:rsidRPr="006F492C" w:rsidRDefault="009150CD" w:rsidP="009150CD">
      <w:pPr>
        <w:outlineLvl w:val="9"/>
        <w:rPr>
          <w:rFonts w:cstheme="minorHAnsi"/>
          <w:b/>
          <w:i/>
        </w:rPr>
      </w:pPr>
    </w:p>
    <w:p w14:paraId="21B22215" w14:textId="32354055" w:rsidR="009150CD" w:rsidRPr="00BE3044" w:rsidRDefault="009150CD" w:rsidP="009150CD">
      <w:r>
        <w:t>The EDD’s Compliance Review Office (CRO) is responsible for overseeing the</w:t>
      </w:r>
      <w:r w:rsidRPr="005D2A6A">
        <w:t xml:space="preserve"> audit resolution and debt collection</w:t>
      </w:r>
      <w:r>
        <w:t xml:space="preserve"> over subrecipients of WIOA funding. At the local level, the awarding agency subrecipient is </w:t>
      </w:r>
      <w:r w:rsidRPr="005D2A6A">
        <w:t xml:space="preserve">responsible for </w:t>
      </w:r>
      <w:r>
        <w:t>t</w:t>
      </w:r>
      <w:r w:rsidRPr="005D2A6A">
        <w:t xml:space="preserve">heir </w:t>
      </w:r>
      <w:r>
        <w:t>s</w:t>
      </w:r>
      <w:r w:rsidRPr="005D2A6A">
        <w:t xml:space="preserve">ubrecipient audit resolution and aggressive </w:t>
      </w:r>
      <w:r>
        <w:t xml:space="preserve">debt collection action. </w:t>
      </w:r>
      <w:r w:rsidRPr="00BE3044">
        <w:t xml:space="preserve">Each </w:t>
      </w:r>
      <w:r>
        <w:t xml:space="preserve">awarding agency subrecipient </w:t>
      </w:r>
      <w:r w:rsidRPr="00BE3044">
        <w:t>must establish, describe and maintain written debt collection procedures that include</w:t>
      </w:r>
      <w:r>
        <w:t xml:space="preserve"> the following</w:t>
      </w:r>
      <w:r w:rsidRPr="00BE3044">
        <w:t>:</w:t>
      </w:r>
    </w:p>
    <w:p w14:paraId="49D2545F" w14:textId="77777777" w:rsidR="009150CD" w:rsidRPr="00BE3044" w:rsidRDefault="009150CD" w:rsidP="009150CD"/>
    <w:p w14:paraId="24FBAB10" w14:textId="77777777" w:rsidR="009150CD" w:rsidRPr="00BE3044" w:rsidRDefault="009150CD" w:rsidP="009150CD">
      <w:pPr>
        <w:pStyle w:val="ListParagraph"/>
        <w:numPr>
          <w:ilvl w:val="0"/>
          <w:numId w:val="2"/>
        </w:numPr>
      </w:pPr>
      <w:r w:rsidRPr="00BE3044">
        <w:t xml:space="preserve">A process for notifying </w:t>
      </w:r>
      <w:r>
        <w:t>their s</w:t>
      </w:r>
      <w:r w:rsidRPr="00BE3044">
        <w:t xml:space="preserve">ubrecipients of the establishment of the debt, their appeal rights, the date that the debt will be considered delinquent, the sanctions if the debt is </w:t>
      </w:r>
      <w:r w:rsidRPr="00BE3044">
        <w:lastRenderedPageBreak/>
        <w:t>not repaid (which may include</w:t>
      </w:r>
      <w:r>
        <w:t>,</w:t>
      </w:r>
      <w:r w:rsidRPr="00BE3044">
        <w:t xml:space="preserve"> but are not limited to</w:t>
      </w:r>
      <w:r>
        <w:t>,</w:t>
      </w:r>
      <w:r w:rsidRPr="00BE3044">
        <w:t xml:space="preserve"> debarment)</w:t>
      </w:r>
      <w:r>
        <w:t>,</w:t>
      </w:r>
      <w:r w:rsidRPr="00BE3044">
        <w:t xml:space="preserve"> and the interest rate charged, if any</w:t>
      </w:r>
      <w:r>
        <w:t>.</w:t>
      </w:r>
      <w:r w:rsidRPr="00BE3044">
        <w:t xml:space="preserve"> </w:t>
      </w:r>
    </w:p>
    <w:p w14:paraId="65DE4387" w14:textId="77777777" w:rsidR="009150CD" w:rsidRPr="00BE3044" w:rsidRDefault="009150CD" w:rsidP="009150CD">
      <w:pPr>
        <w:ind w:left="720"/>
      </w:pPr>
    </w:p>
    <w:p w14:paraId="1AD16D29" w14:textId="77777777" w:rsidR="009150CD" w:rsidRPr="00BE3044" w:rsidRDefault="009150CD" w:rsidP="009150CD">
      <w:pPr>
        <w:pStyle w:val="ListParagraph"/>
        <w:numPr>
          <w:ilvl w:val="0"/>
          <w:numId w:val="2"/>
        </w:numPr>
      </w:pPr>
      <w:r w:rsidRPr="00BE3044">
        <w:t xml:space="preserve">The requirement </w:t>
      </w:r>
      <w:proofErr w:type="gramStart"/>
      <w:r w:rsidRPr="00BE3044">
        <w:t>that</w:t>
      </w:r>
      <w:proofErr w:type="gramEnd"/>
      <w:r w:rsidRPr="00BE3044">
        <w:t xml:space="preserve"> three debt collection letters be sent to </w:t>
      </w:r>
      <w:r>
        <w:t>t</w:t>
      </w:r>
      <w:r w:rsidRPr="00BE3044">
        <w:t>he</w:t>
      </w:r>
      <w:r>
        <w:t>ir</w:t>
      </w:r>
      <w:r w:rsidRPr="00BE3044">
        <w:t xml:space="preserve"> </w:t>
      </w:r>
      <w:r>
        <w:t>s</w:t>
      </w:r>
      <w:r w:rsidRPr="00BE3044">
        <w:t>ubrecipient at no less than 30 calendar day intervals</w:t>
      </w:r>
      <w:r>
        <w:t>.</w:t>
      </w:r>
      <w:r w:rsidRPr="00BE3044">
        <w:t xml:space="preserve"> </w:t>
      </w:r>
    </w:p>
    <w:p w14:paraId="6F556C93" w14:textId="77777777" w:rsidR="009150CD" w:rsidRPr="00BE3044" w:rsidRDefault="009150CD" w:rsidP="009150CD">
      <w:pPr>
        <w:ind w:left="720"/>
      </w:pPr>
    </w:p>
    <w:p w14:paraId="3B332376" w14:textId="77777777" w:rsidR="009150CD" w:rsidRPr="00BE3044" w:rsidRDefault="009150CD" w:rsidP="009150CD">
      <w:pPr>
        <w:pStyle w:val="ListParagraph"/>
        <w:numPr>
          <w:ilvl w:val="0"/>
          <w:numId w:val="2"/>
        </w:numPr>
      </w:pPr>
      <w:r w:rsidRPr="00BE3044">
        <w:t xml:space="preserve">The establishment of an outstanding debt category in the </w:t>
      </w:r>
      <w:r>
        <w:t>awarding agency subrecipient’s</w:t>
      </w:r>
      <w:r w:rsidRPr="00BE3044">
        <w:t xml:space="preserve"> accounts receivable system</w:t>
      </w:r>
      <w:r>
        <w:t>.</w:t>
      </w:r>
      <w:r w:rsidRPr="00BE3044">
        <w:t xml:space="preserve"> </w:t>
      </w:r>
    </w:p>
    <w:p w14:paraId="33E43A9D" w14:textId="77777777" w:rsidR="009150CD" w:rsidRPr="00BE3044" w:rsidRDefault="009150CD" w:rsidP="009150CD">
      <w:pPr>
        <w:ind w:left="720"/>
      </w:pPr>
    </w:p>
    <w:p w14:paraId="55A95D38" w14:textId="77777777" w:rsidR="009150CD" w:rsidRPr="00BE3044" w:rsidRDefault="009150CD" w:rsidP="009150CD">
      <w:pPr>
        <w:pStyle w:val="ListParagraph"/>
        <w:numPr>
          <w:ilvl w:val="0"/>
          <w:numId w:val="2"/>
        </w:numPr>
      </w:pPr>
      <w:r w:rsidRPr="00BE3044">
        <w:t xml:space="preserve">The </w:t>
      </w:r>
      <w:r>
        <w:t xml:space="preserve">awarding agency subrecipient’s </w:t>
      </w:r>
      <w:r w:rsidRPr="00BE3044">
        <w:t>standards and specifications for terminating, compromising, and litigating debts</w:t>
      </w:r>
      <w:r>
        <w:t>.</w:t>
      </w:r>
      <w:r w:rsidRPr="00BE3044">
        <w:t xml:space="preserve"> </w:t>
      </w:r>
    </w:p>
    <w:p w14:paraId="5D6A126C" w14:textId="77777777" w:rsidR="009150CD" w:rsidRPr="00BE3044" w:rsidRDefault="009150CD" w:rsidP="009150CD">
      <w:pPr>
        <w:ind w:left="720"/>
      </w:pPr>
    </w:p>
    <w:p w14:paraId="49519459" w14:textId="77777777" w:rsidR="009150CD" w:rsidRPr="00BE3044" w:rsidRDefault="009150CD" w:rsidP="009150CD">
      <w:pPr>
        <w:pStyle w:val="ListParagraph"/>
        <w:numPr>
          <w:ilvl w:val="0"/>
          <w:numId w:val="2"/>
        </w:numPr>
      </w:pPr>
      <w:r w:rsidRPr="00BE3044">
        <w:t xml:space="preserve">A process for maintaining a permanent record of all debt collection cases and their status. </w:t>
      </w:r>
    </w:p>
    <w:p w14:paraId="59B4EF60" w14:textId="77777777" w:rsidR="009150CD" w:rsidRPr="00BE3044" w:rsidRDefault="009150CD" w:rsidP="009150CD"/>
    <w:p w14:paraId="0D5015F0" w14:textId="782CDCFF" w:rsidR="009150CD" w:rsidRDefault="009150CD" w:rsidP="009150CD">
      <w:r w:rsidRPr="00BE3044">
        <w:t xml:space="preserve">To be relieved of liability for </w:t>
      </w:r>
      <w:r>
        <w:t>their</w:t>
      </w:r>
      <w:r w:rsidRPr="00BE3044">
        <w:t xml:space="preserve"> </w:t>
      </w:r>
      <w:r>
        <w:t>s</w:t>
      </w:r>
      <w:r w:rsidRPr="00BE3044">
        <w:t xml:space="preserve">ubrecipient’s debt, the </w:t>
      </w:r>
      <w:r>
        <w:t>awarding agency subrecipient</w:t>
      </w:r>
      <w:r w:rsidRPr="00BE3044">
        <w:t xml:space="preserve"> must submit a written request</w:t>
      </w:r>
      <w:r>
        <w:t xml:space="preserve"> to the EDD’s </w:t>
      </w:r>
      <w:r w:rsidRPr="00BE3044">
        <w:t>CRO</w:t>
      </w:r>
      <w:r>
        <w:t xml:space="preserve">. The request is for the </w:t>
      </w:r>
      <w:r w:rsidRPr="00BE3044">
        <w:t xml:space="preserve">EDD </w:t>
      </w:r>
      <w:r>
        <w:t xml:space="preserve">to </w:t>
      </w:r>
      <w:r w:rsidRPr="00BE3044">
        <w:t>seek the US DOL</w:t>
      </w:r>
      <w:r>
        <w:t>’s</w:t>
      </w:r>
      <w:r w:rsidRPr="00BE3044">
        <w:t xml:space="preserve"> agreement to </w:t>
      </w:r>
      <w:proofErr w:type="gramStart"/>
      <w:r w:rsidRPr="00BE3044">
        <w:t>forego</w:t>
      </w:r>
      <w:proofErr w:type="gramEnd"/>
      <w:r w:rsidRPr="00BE3044">
        <w:t xml:space="preserve"> collection action</w:t>
      </w:r>
      <w:r w:rsidR="001E009C">
        <w:t xml:space="preserve">, </w:t>
      </w:r>
      <w:r w:rsidRPr="00BE3044">
        <w:t>pursuant to the provisions of Title 20 CFR Section 683.740.</w:t>
      </w:r>
    </w:p>
    <w:p w14:paraId="5466466B" w14:textId="77777777" w:rsidR="009150CD" w:rsidRDefault="009150CD" w:rsidP="009150CD"/>
    <w:p w14:paraId="72A8537B" w14:textId="3CBFDEC7" w:rsidR="009150CD" w:rsidRPr="00BE3044" w:rsidRDefault="009150CD" w:rsidP="009150CD">
      <w:r w:rsidRPr="00BE3044">
        <w:t>Requests must include documentation and other demonstrations of facts showing compliance with WIOA Section 184(d) and Title 20 CFR Section 683.740. Mere statements of compliance and recitation of the criteria will not be acceptable. Examples of appropriate documentation include, but are not limited to, proof that debt collection letters were sent (e.g., returned certified mail receipts), litigation was conducted</w:t>
      </w:r>
      <w:r>
        <w:t>,</w:t>
      </w:r>
      <w:r w:rsidRPr="00BE3044">
        <w:t xml:space="preserve"> and withholding of funds was attempted. Without the prior approval of both the CRO and the DOL, the </w:t>
      </w:r>
      <w:r>
        <w:t>awarding agency subrecipient</w:t>
      </w:r>
      <w:r w:rsidRPr="00BE3044">
        <w:t xml:space="preserve"> will remain responsible for repayment of the entire debt. The request and supporting </w:t>
      </w:r>
      <w:r>
        <w:t>documentation</w:t>
      </w:r>
      <w:r w:rsidRPr="00BE3044">
        <w:t xml:space="preserve"> </w:t>
      </w:r>
      <w:r>
        <w:t>must</w:t>
      </w:r>
      <w:r w:rsidRPr="00BE3044">
        <w:t xml:space="preserve"> be </w:t>
      </w:r>
      <w:r>
        <w:t>submitted</w:t>
      </w:r>
      <w:r w:rsidRPr="00BE3044">
        <w:t xml:space="preserve"> to the CRO through one of the following methods</w:t>
      </w:r>
      <w:r w:rsidR="001E009C">
        <w:t>. However, email is the preferred method.</w:t>
      </w:r>
    </w:p>
    <w:p w14:paraId="3E978301" w14:textId="77777777" w:rsidR="009150CD" w:rsidRPr="00BE3044" w:rsidRDefault="009150CD" w:rsidP="009150CD"/>
    <w:p w14:paraId="558997CD" w14:textId="77777777" w:rsidR="009150CD" w:rsidRPr="00BE3044" w:rsidRDefault="009150CD" w:rsidP="009150CD">
      <w:pPr>
        <w:ind w:firstLine="720"/>
      </w:pPr>
      <w:r w:rsidRPr="006F492C">
        <w:rPr>
          <w:b/>
        </w:rPr>
        <w:t>Email</w:t>
      </w:r>
      <w:r w:rsidRPr="00BE3044">
        <w:t xml:space="preserve"> </w:t>
      </w:r>
      <w:r w:rsidRPr="00BE3044">
        <w:tab/>
      </w:r>
      <w:hyperlink r:id="rId13" w:history="1">
        <w:r w:rsidRPr="00997124">
          <w:rPr>
            <w:rStyle w:val="Hyperlink"/>
            <w:rFonts w:eastAsiaTheme="majorEastAsia"/>
          </w:rPr>
          <w:t>PACBCROIncidentReports@edd.ca.gov</w:t>
        </w:r>
      </w:hyperlink>
      <w:r>
        <w:t xml:space="preserve"> </w:t>
      </w:r>
    </w:p>
    <w:p w14:paraId="1A917688" w14:textId="77777777" w:rsidR="009150CD" w:rsidRPr="00BE3044" w:rsidRDefault="009150CD" w:rsidP="009150CD"/>
    <w:p w14:paraId="597CF7D3" w14:textId="77777777" w:rsidR="009150CD" w:rsidRPr="00BE3044" w:rsidRDefault="009150CD" w:rsidP="009150CD">
      <w:pPr>
        <w:ind w:firstLine="720"/>
      </w:pPr>
      <w:r w:rsidRPr="006F492C">
        <w:rPr>
          <w:b/>
        </w:rPr>
        <w:t>Mail</w:t>
      </w:r>
      <w:r w:rsidRPr="00BE3044">
        <w:t xml:space="preserve"> </w:t>
      </w:r>
      <w:r w:rsidRPr="00BE3044">
        <w:tab/>
        <w:t xml:space="preserve">Employment Development Department </w:t>
      </w:r>
    </w:p>
    <w:p w14:paraId="2A3C513D" w14:textId="77777777" w:rsidR="009150CD" w:rsidRPr="00BE3044" w:rsidRDefault="009150CD" w:rsidP="009150CD">
      <w:pPr>
        <w:ind w:left="720" w:firstLine="720"/>
      </w:pPr>
      <w:r w:rsidRPr="00BE3044">
        <w:t xml:space="preserve">Compliance Review Office </w:t>
      </w:r>
    </w:p>
    <w:p w14:paraId="6705671A" w14:textId="77777777" w:rsidR="009150CD" w:rsidRPr="00BE3044" w:rsidRDefault="009150CD" w:rsidP="009150CD">
      <w:pPr>
        <w:ind w:left="720" w:firstLine="720"/>
      </w:pPr>
      <w:r w:rsidRPr="00BE3044">
        <w:t xml:space="preserve">Compliance Resolution Unit </w:t>
      </w:r>
    </w:p>
    <w:p w14:paraId="55513765" w14:textId="77777777" w:rsidR="009150CD" w:rsidRPr="00BE3044" w:rsidRDefault="009150CD" w:rsidP="009150CD">
      <w:pPr>
        <w:ind w:left="720" w:firstLine="720"/>
      </w:pPr>
      <w:r w:rsidRPr="00BE3044">
        <w:t>PO Box 826880, MIC 22</w:t>
      </w:r>
    </w:p>
    <w:p w14:paraId="27C70D90" w14:textId="77777777" w:rsidR="009150CD" w:rsidRPr="00BE3044" w:rsidRDefault="009150CD" w:rsidP="009150CD">
      <w:pPr>
        <w:ind w:left="720" w:firstLine="720"/>
      </w:pPr>
      <w:r w:rsidRPr="00BE3044">
        <w:t>Sacramento, CA 94280-0001</w:t>
      </w:r>
    </w:p>
    <w:p w14:paraId="1A60080F" w14:textId="77777777" w:rsidR="009150CD" w:rsidRPr="00BE3044" w:rsidRDefault="009150CD" w:rsidP="009150CD">
      <w:pPr>
        <w:rPr>
          <w:b/>
          <w:bCs/>
          <w:i/>
          <w:iCs/>
        </w:rPr>
      </w:pPr>
    </w:p>
    <w:p w14:paraId="7121EA82" w14:textId="7D021B05" w:rsidR="009150CD" w:rsidRPr="00BE3044" w:rsidRDefault="009150CD" w:rsidP="009150CD">
      <w:pPr>
        <w:rPr>
          <w:b/>
          <w:bCs/>
          <w:i/>
          <w:iCs/>
        </w:rPr>
      </w:pPr>
      <w:r w:rsidRPr="00BE3044">
        <w:rPr>
          <w:b/>
          <w:bCs/>
          <w:i/>
          <w:iCs/>
        </w:rPr>
        <w:t xml:space="preserve">Unless other arrangements have been documented and approved by </w:t>
      </w:r>
      <w:r>
        <w:rPr>
          <w:b/>
          <w:bCs/>
          <w:i/>
          <w:iCs/>
        </w:rPr>
        <w:t xml:space="preserve">the </w:t>
      </w:r>
      <w:r w:rsidRPr="00BE3044">
        <w:rPr>
          <w:b/>
          <w:bCs/>
          <w:i/>
          <w:iCs/>
        </w:rPr>
        <w:t xml:space="preserve">CRO, the </w:t>
      </w:r>
      <w:r>
        <w:rPr>
          <w:b/>
          <w:bCs/>
          <w:i/>
          <w:iCs/>
        </w:rPr>
        <w:t xml:space="preserve">awarding agency subrecipient </w:t>
      </w:r>
      <w:r w:rsidRPr="00BE3044">
        <w:rPr>
          <w:b/>
          <w:bCs/>
          <w:i/>
          <w:iCs/>
        </w:rPr>
        <w:t xml:space="preserve">and (when appropriate) </w:t>
      </w:r>
      <w:r>
        <w:rPr>
          <w:b/>
          <w:bCs/>
          <w:i/>
          <w:iCs/>
        </w:rPr>
        <w:t>t</w:t>
      </w:r>
      <w:r w:rsidRPr="00BE3044">
        <w:rPr>
          <w:b/>
          <w:bCs/>
          <w:i/>
          <w:iCs/>
        </w:rPr>
        <w:t>he</w:t>
      </w:r>
      <w:r>
        <w:rPr>
          <w:b/>
          <w:bCs/>
          <w:i/>
          <w:iCs/>
        </w:rPr>
        <w:t>ir</w:t>
      </w:r>
      <w:r w:rsidRPr="00BE3044">
        <w:rPr>
          <w:b/>
          <w:bCs/>
          <w:i/>
          <w:iCs/>
        </w:rPr>
        <w:t xml:space="preserve"> </w:t>
      </w:r>
      <w:r>
        <w:rPr>
          <w:b/>
          <w:bCs/>
          <w:i/>
          <w:iCs/>
        </w:rPr>
        <w:t>s</w:t>
      </w:r>
      <w:r w:rsidRPr="00BE3044">
        <w:rPr>
          <w:b/>
          <w:bCs/>
          <w:i/>
          <w:iCs/>
        </w:rPr>
        <w:t xml:space="preserve">ubrecipient, </w:t>
      </w:r>
      <w:r>
        <w:rPr>
          <w:b/>
          <w:bCs/>
          <w:i/>
          <w:iCs/>
        </w:rPr>
        <w:t xml:space="preserve">must pay </w:t>
      </w:r>
      <w:r w:rsidRPr="00BE3044">
        <w:rPr>
          <w:b/>
          <w:bCs/>
          <w:i/>
          <w:iCs/>
        </w:rPr>
        <w:t>all</w:t>
      </w:r>
      <w:r>
        <w:rPr>
          <w:b/>
          <w:bCs/>
          <w:i/>
          <w:iCs/>
        </w:rPr>
        <w:t xml:space="preserve"> their</w:t>
      </w:r>
      <w:r w:rsidRPr="00BE3044">
        <w:rPr>
          <w:b/>
          <w:bCs/>
          <w:i/>
          <w:iCs/>
        </w:rPr>
        <w:t xml:space="preserve"> WIOA debts within 30 calendar days of the date on which the debt was established as final. </w:t>
      </w:r>
      <w:r>
        <w:rPr>
          <w:b/>
          <w:bCs/>
          <w:i/>
          <w:iCs/>
        </w:rPr>
        <w:t xml:space="preserve">If the awarding agency subrecipient </w:t>
      </w:r>
      <w:r w:rsidRPr="00BE3044">
        <w:rPr>
          <w:b/>
          <w:bCs/>
          <w:i/>
          <w:iCs/>
        </w:rPr>
        <w:t xml:space="preserve">is unable to make restitution in full, </w:t>
      </w:r>
      <w:r>
        <w:rPr>
          <w:b/>
          <w:bCs/>
          <w:i/>
          <w:iCs/>
        </w:rPr>
        <w:t xml:space="preserve">then </w:t>
      </w:r>
      <w:r w:rsidRPr="00BE3044">
        <w:rPr>
          <w:b/>
          <w:bCs/>
          <w:i/>
          <w:iCs/>
        </w:rPr>
        <w:t xml:space="preserve">an installment repayment agreement may be negotiated. </w:t>
      </w:r>
      <w:proofErr w:type="gramStart"/>
      <w:r w:rsidRPr="00BE3044">
        <w:rPr>
          <w:b/>
          <w:bCs/>
          <w:i/>
          <w:iCs/>
        </w:rPr>
        <w:t>Installment</w:t>
      </w:r>
      <w:proofErr w:type="gramEnd"/>
      <w:r w:rsidRPr="00BE3044">
        <w:rPr>
          <w:b/>
          <w:bCs/>
          <w:i/>
          <w:iCs/>
        </w:rPr>
        <w:t xml:space="preserve"> repayment agreements</w:t>
      </w:r>
      <w:r>
        <w:rPr>
          <w:b/>
          <w:bCs/>
          <w:i/>
          <w:iCs/>
        </w:rPr>
        <w:t xml:space="preserve"> have a </w:t>
      </w:r>
      <w:r w:rsidRPr="00BE3044">
        <w:rPr>
          <w:b/>
          <w:bCs/>
          <w:i/>
          <w:iCs/>
        </w:rPr>
        <w:t>short duration</w:t>
      </w:r>
      <w:r>
        <w:rPr>
          <w:b/>
          <w:bCs/>
          <w:i/>
          <w:iCs/>
        </w:rPr>
        <w:t xml:space="preserve"> ranging from 3 to 12 months, with a maximum of 36 months. </w:t>
      </w:r>
      <w:r w:rsidRPr="00BE3044">
        <w:rPr>
          <w:b/>
          <w:bCs/>
          <w:i/>
          <w:iCs/>
        </w:rPr>
        <w:t xml:space="preserve">The length of the </w:t>
      </w:r>
      <w:r>
        <w:rPr>
          <w:b/>
          <w:bCs/>
          <w:i/>
          <w:iCs/>
        </w:rPr>
        <w:lastRenderedPageBreak/>
        <w:t xml:space="preserve">installment </w:t>
      </w:r>
      <w:r w:rsidRPr="00BE3044">
        <w:rPr>
          <w:b/>
          <w:bCs/>
          <w:i/>
          <w:iCs/>
        </w:rPr>
        <w:t xml:space="preserve">repayment agreement will be negotiated based on the size of the debt and the </w:t>
      </w:r>
      <w:r>
        <w:rPr>
          <w:b/>
          <w:bCs/>
          <w:i/>
          <w:iCs/>
        </w:rPr>
        <w:t xml:space="preserve">awarding agency subrecipient’s </w:t>
      </w:r>
      <w:r w:rsidRPr="00BE3044">
        <w:rPr>
          <w:b/>
          <w:bCs/>
          <w:i/>
          <w:iCs/>
        </w:rPr>
        <w:t>ability to pay. The CRO must approve all installment repayment agreements.</w:t>
      </w:r>
    </w:p>
    <w:p w14:paraId="3D2E6CDF" w14:textId="77777777" w:rsidR="009150CD" w:rsidRDefault="009150CD" w:rsidP="009150CD">
      <w:pPr>
        <w:outlineLvl w:val="9"/>
        <w:rPr>
          <w:b/>
          <w:bCs/>
          <w:i/>
          <w:iCs/>
        </w:rPr>
      </w:pPr>
    </w:p>
    <w:p w14:paraId="3913735D" w14:textId="77777777" w:rsidR="009150CD" w:rsidRPr="004B5663" w:rsidRDefault="009150CD" w:rsidP="009150CD">
      <w:pPr>
        <w:outlineLvl w:val="9"/>
        <w:rPr>
          <w:b/>
          <w:bCs/>
          <w:i/>
          <w:iCs/>
        </w:rPr>
      </w:pPr>
      <w:r w:rsidRPr="00BE3044">
        <w:t>The CRO will</w:t>
      </w:r>
      <w:r>
        <w:t xml:space="preserve"> do the following</w:t>
      </w:r>
      <w:r w:rsidRPr="00BE3044">
        <w:t xml:space="preserve">: </w:t>
      </w:r>
    </w:p>
    <w:p w14:paraId="3A3D9426" w14:textId="77777777" w:rsidR="009150CD" w:rsidRPr="00BE3044" w:rsidRDefault="009150CD" w:rsidP="009150CD"/>
    <w:p w14:paraId="676935B7" w14:textId="5E34898A" w:rsidR="009150CD" w:rsidRPr="00BE3044" w:rsidRDefault="009150CD" w:rsidP="009150CD">
      <w:pPr>
        <w:pStyle w:val="ListParagraph"/>
        <w:numPr>
          <w:ilvl w:val="0"/>
          <w:numId w:val="3"/>
        </w:numPr>
      </w:pPr>
      <w:r w:rsidRPr="00BE3044">
        <w:t xml:space="preserve">Instruct the </w:t>
      </w:r>
      <w:r>
        <w:t>EDD’s Fiscal Program Division (</w:t>
      </w:r>
      <w:r w:rsidRPr="00BE3044">
        <w:t>FPD</w:t>
      </w:r>
      <w:r>
        <w:t>)</w:t>
      </w:r>
      <w:r w:rsidRPr="00BE3044">
        <w:t xml:space="preserve"> to issue an invoice with payment due date and the interest charge, if </w:t>
      </w:r>
      <w:proofErr w:type="gramStart"/>
      <w:r w:rsidRPr="00BE3044">
        <w:t>any,</w:t>
      </w:r>
      <w:proofErr w:type="gramEnd"/>
      <w:r w:rsidRPr="00BE3044">
        <w:t xml:space="preserve"> to the </w:t>
      </w:r>
      <w:r w:rsidRPr="0066516E">
        <w:rPr>
          <w:bCs/>
          <w:iCs/>
        </w:rPr>
        <w:t>awarding agency subrecipient</w:t>
      </w:r>
      <w:r w:rsidRPr="0066516E">
        <w:t xml:space="preserve"> </w:t>
      </w:r>
      <w:r w:rsidRPr="00FB23C3">
        <w:t>once</w:t>
      </w:r>
      <w:r w:rsidRPr="00BE3044">
        <w:t xml:space="preserve"> a final debt is established.</w:t>
      </w:r>
    </w:p>
    <w:p w14:paraId="4A3EAB5C" w14:textId="77777777" w:rsidR="009150CD" w:rsidRPr="00BE3044" w:rsidRDefault="009150CD" w:rsidP="009150CD">
      <w:pPr>
        <w:ind w:left="720"/>
      </w:pPr>
    </w:p>
    <w:p w14:paraId="6140C841" w14:textId="7E89F7E5" w:rsidR="009150CD" w:rsidRPr="00BE3044" w:rsidRDefault="009150CD" w:rsidP="009150CD">
      <w:pPr>
        <w:pStyle w:val="ListParagraph"/>
        <w:numPr>
          <w:ilvl w:val="0"/>
          <w:numId w:val="3"/>
        </w:numPr>
      </w:pPr>
      <w:r w:rsidRPr="00BE3044">
        <w:t xml:space="preserve">Notify FPD to issue two additional invoices to the </w:t>
      </w:r>
      <w:r w:rsidRPr="006A7969">
        <w:rPr>
          <w:bCs/>
          <w:iCs/>
        </w:rPr>
        <w:t xml:space="preserve">awarding agency </w:t>
      </w:r>
      <w:r w:rsidRPr="00FB23C3">
        <w:rPr>
          <w:bCs/>
          <w:iCs/>
        </w:rPr>
        <w:t>subrecipient</w:t>
      </w:r>
      <w:r w:rsidRPr="0066516E">
        <w:t xml:space="preserve"> </w:t>
      </w:r>
      <w:r w:rsidRPr="00FB23C3">
        <w:t>at 30</w:t>
      </w:r>
      <w:r w:rsidRPr="00BE3044">
        <w:t xml:space="preserve"> calendar day intervals, when payment has not been </w:t>
      </w:r>
      <w:proofErr w:type="gramStart"/>
      <w:r w:rsidRPr="00BE3044">
        <w:t>received</w:t>
      </w:r>
      <w:proofErr w:type="gramEnd"/>
      <w:r w:rsidRPr="00BE3044">
        <w:t xml:space="preserve"> or a satisfactory alternative repayment plan has not been negotiated.</w:t>
      </w:r>
    </w:p>
    <w:p w14:paraId="0D4F4BAB" w14:textId="77777777" w:rsidR="009150CD" w:rsidRPr="00BE3044" w:rsidRDefault="009150CD" w:rsidP="009150CD">
      <w:pPr>
        <w:ind w:left="720"/>
      </w:pPr>
    </w:p>
    <w:p w14:paraId="3616A1BC" w14:textId="0D2D3B26" w:rsidR="009150CD" w:rsidRDefault="009150CD" w:rsidP="009150CD">
      <w:pPr>
        <w:pStyle w:val="ListParagraph"/>
        <w:numPr>
          <w:ilvl w:val="0"/>
          <w:numId w:val="3"/>
        </w:numPr>
      </w:pPr>
      <w:r w:rsidRPr="00BE3044">
        <w:t>Determine whether to use another method of collection if the debt is still outstanding after 90 calendar days. In making the determination, consideration will be given to the amount of the debt, the cost of further debt collection, the amount collected to date, and the probable success of pursuing further collection action.</w:t>
      </w:r>
    </w:p>
    <w:p w14:paraId="1D476F22" w14:textId="77777777" w:rsidR="009150CD" w:rsidRDefault="009150CD" w:rsidP="009150CD">
      <w:pPr>
        <w:pStyle w:val="ListParagraph"/>
      </w:pPr>
    </w:p>
    <w:p w14:paraId="587F29EA" w14:textId="77777777" w:rsidR="009150CD" w:rsidRDefault="009150CD" w:rsidP="009150CD">
      <w:pPr>
        <w:pStyle w:val="ListParagraph"/>
        <w:numPr>
          <w:ilvl w:val="0"/>
          <w:numId w:val="3"/>
        </w:numPr>
      </w:pPr>
      <w:r w:rsidRPr="00BE3044">
        <w:t>Notify the Chief Elected Official of each relevant unit of general local government</w:t>
      </w:r>
      <w:r>
        <w:t xml:space="preserve"> (Local Boards)</w:t>
      </w:r>
      <w:r w:rsidRPr="00BE3044">
        <w:t xml:space="preserve">, </w:t>
      </w:r>
      <w:r>
        <w:t xml:space="preserve">or the head of an organization (non-Local Boards), </w:t>
      </w:r>
      <w:r w:rsidRPr="00BE3044">
        <w:t xml:space="preserve">if the agreed upon payment is not received within the 90 calendar days after the date of the third invoice. </w:t>
      </w:r>
      <w:r>
        <w:t>For Local Boards, w</w:t>
      </w:r>
      <w:r w:rsidRPr="00BE3044">
        <w:t xml:space="preserve">hen multiple units of general local government are designated as the Local Area, the liability of the individual jurisdictions must be specified in a written agreement between the </w:t>
      </w:r>
      <w:r>
        <w:t>C</w:t>
      </w:r>
      <w:r w:rsidRPr="00BE3044">
        <w:t xml:space="preserve">hief </w:t>
      </w:r>
      <w:r>
        <w:t>E</w:t>
      </w:r>
      <w:r w:rsidRPr="00BE3044">
        <w:t xml:space="preserve">lected </w:t>
      </w:r>
      <w:r>
        <w:t>O</w:t>
      </w:r>
      <w:r w:rsidRPr="00BE3044">
        <w:t>fficials.</w:t>
      </w:r>
    </w:p>
    <w:p w14:paraId="2177E98D" w14:textId="77777777" w:rsidR="009150CD" w:rsidRDefault="009150CD" w:rsidP="009150CD">
      <w:pPr>
        <w:pStyle w:val="Heading3"/>
      </w:pPr>
    </w:p>
    <w:p w14:paraId="10477D26" w14:textId="77777777" w:rsidR="009150CD" w:rsidRPr="001E5F7E" w:rsidRDefault="009150CD" w:rsidP="00D15360">
      <w:pPr>
        <w:pStyle w:val="Heading4"/>
      </w:pPr>
      <w:r w:rsidRPr="001E5F7E">
        <w:t>Debt Collection Remittance</w:t>
      </w:r>
    </w:p>
    <w:p w14:paraId="2198D3C1" w14:textId="77777777" w:rsidR="009150CD" w:rsidRPr="005D2A6A" w:rsidRDefault="009150CD" w:rsidP="009150CD"/>
    <w:p w14:paraId="7F004862" w14:textId="3A933195" w:rsidR="009150CD" w:rsidRPr="002716A8" w:rsidRDefault="009150CD" w:rsidP="009150CD">
      <w:pPr>
        <w:rPr>
          <w:rFonts w:ascii="Calibri" w:hAnsi="Calibri"/>
          <w:sz w:val="22"/>
          <w:szCs w:val="22"/>
        </w:rPr>
      </w:pPr>
      <w:r w:rsidRPr="0066516E">
        <w:t>All debt settlements resulting from fraud, malfeasance, misapplication of funds</w:t>
      </w:r>
      <w:r>
        <w:t xml:space="preserve">, </w:t>
      </w:r>
      <w:r w:rsidRPr="0066516E">
        <w:t xml:space="preserve">or other serious violations or illegal acts must be made in cash from nonfederal sources. </w:t>
      </w:r>
      <w:r w:rsidRPr="002716A8">
        <w:rPr>
          <w:b/>
          <w:bCs/>
          <w:i/>
          <w:iCs/>
        </w:rPr>
        <w:t>Debt settlement funds collected by an awarding agency subrecipient</w:t>
      </w:r>
      <w:r w:rsidRPr="0066516E">
        <w:t xml:space="preserve"> </w:t>
      </w:r>
      <w:r w:rsidRPr="002716A8">
        <w:rPr>
          <w:b/>
          <w:bCs/>
          <w:i/>
          <w:iCs/>
        </w:rPr>
        <w:t xml:space="preserve">debts must be returned to the EDD immediately upon their receipt. </w:t>
      </w:r>
      <w:r w:rsidRPr="00F93756">
        <w:rPr>
          <w:b/>
          <w:bCs/>
          <w:i/>
          <w:iCs/>
        </w:rPr>
        <w:t xml:space="preserve">A Payment Advice </w:t>
      </w:r>
      <w:r w:rsidR="00AA1A5E">
        <w:rPr>
          <w:b/>
          <w:bCs/>
          <w:i/>
          <w:iCs/>
        </w:rPr>
        <w:t>F</w:t>
      </w:r>
      <w:r w:rsidRPr="00F93756">
        <w:rPr>
          <w:b/>
          <w:bCs/>
          <w:i/>
          <w:iCs/>
        </w:rPr>
        <w:t xml:space="preserve">orm </w:t>
      </w:r>
      <w:r w:rsidRPr="002716A8">
        <w:rPr>
          <w:b/>
          <w:bCs/>
          <w:i/>
          <w:iCs/>
        </w:rPr>
        <w:t xml:space="preserve">(Attachment </w:t>
      </w:r>
      <w:r w:rsidR="00A87CE1">
        <w:rPr>
          <w:b/>
          <w:bCs/>
          <w:i/>
          <w:iCs/>
        </w:rPr>
        <w:t>2</w:t>
      </w:r>
      <w:r w:rsidRPr="002716A8">
        <w:rPr>
          <w:b/>
          <w:bCs/>
          <w:i/>
          <w:iCs/>
        </w:rPr>
        <w:t>), which details the program year, subgrant number, project name, and grant code associated with the debt settlement funds, must be remitted with a check or warrant made payable to the Employment Development Department to the EDD’s Fiscal Program Division (FPD):</w:t>
      </w:r>
    </w:p>
    <w:p w14:paraId="48E5DD6C" w14:textId="77777777" w:rsidR="009150CD" w:rsidRDefault="009150CD" w:rsidP="009150CD">
      <w:pPr>
        <w:ind w:left="720"/>
      </w:pPr>
    </w:p>
    <w:p w14:paraId="356C61F6" w14:textId="77777777" w:rsidR="009150CD" w:rsidRPr="0066516E" w:rsidRDefault="009150CD" w:rsidP="009150CD">
      <w:pPr>
        <w:ind w:firstLine="720"/>
      </w:pPr>
      <w:r w:rsidRPr="00F93756">
        <w:rPr>
          <w:b/>
        </w:rPr>
        <w:t>Mail</w:t>
      </w:r>
      <w:r>
        <w:tab/>
      </w:r>
      <w:r w:rsidRPr="0066516E">
        <w:t>Employment Development Department</w:t>
      </w:r>
    </w:p>
    <w:p w14:paraId="19F6D929" w14:textId="5C1657A9" w:rsidR="009150CD" w:rsidRDefault="009150CD" w:rsidP="009150CD">
      <w:pPr>
        <w:ind w:left="720" w:firstLine="720"/>
      </w:pPr>
      <w:r w:rsidRPr="0066516E">
        <w:t>Fiscal Programs Division</w:t>
      </w:r>
    </w:p>
    <w:p w14:paraId="2DF5B59D" w14:textId="77777777" w:rsidR="009150CD" w:rsidRPr="0066516E" w:rsidRDefault="009150CD" w:rsidP="009150CD">
      <w:pPr>
        <w:ind w:left="720" w:firstLine="720"/>
      </w:pPr>
      <w:r>
        <w:t>ATTN: MIC 70, Administration and Grants Unit</w:t>
      </w:r>
    </w:p>
    <w:p w14:paraId="464518F5" w14:textId="77777777" w:rsidR="009150CD" w:rsidRPr="0066516E" w:rsidRDefault="009150CD" w:rsidP="009150CD">
      <w:pPr>
        <w:ind w:left="720" w:firstLine="720"/>
      </w:pPr>
      <w:r w:rsidRPr="0066516E">
        <w:t>PO Box 826217</w:t>
      </w:r>
    </w:p>
    <w:p w14:paraId="63DB4F6F" w14:textId="716D2064" w:rsidR="009150CD" w:rsidRDefault="009150CD" w:rsidP="009150CD">
      <w:pPr>
        <w:ind w:left="720" w:firstLine="720"/>
      </w:pPr>
      <w:r w:rsidRPr="0066516E">
        <w:t>Sacramento, CA 94230-6217</w:t>
      </w:r>
    </w:p>
    <w:p w14:paraId="1BED948D" w14:textId="77777777" w:rsidR="009150CD" w:rsidRPr="0066516E" w:rsidRDefault="009150CD" w:rsidP="009150CD"/>
    <w:p w14:paraId="6F834CC2" w14:textId="0F2E86DB" w:rsidR="009150CD" w:rsidRPr="0066516E" w:rsidRDefault="009150CD" w:rsidP="009150CD">
      <w:pPr>
        <w:outlineLvl w:val="9"/>
      </w:pPr>
      <w:r w:rsidRPr="00F93756">
        <w:rPr>
          <w:b/>
          <w:bCs/>
          <w:i/>
          <w:iCs/>
        </w:rPr>
        <w:lastRenderedPageBreak/>
        <w:t>The FPD will inform and coordinate with the CR</w:t>
      </w:r>
      <w:r>
        <w:rPr>
          <w:b/>
          <w:bCs/>
          <w:i/>
          <w:iCs/>
        </w:rPr>
        <w:t>O</w:t>
      </w:r>
      <w:r w:rsidRPr="00F93756">
        <w:rPr>
          <w:b/>
          <w:bCs/>
          <w:i/>
          <w:iCs/>
        </w:rPr>
        <w:t xml:space="preserve"> when </w:t>
      </w:r>
      <w:r>
        <w:rPr>
          <w:b/>
          <w:bCs/>
          <w:i/>
          <w:iCs/>
        </w:rPr>
        <w:t xml:space="preserve">the </w:t>
      </w:r>
      <w:r w:rsidRPr="00F93756">
        <w:rPr>
          <w:b/>
          <w:bCs/>
          <w:i/>
          <w:iCs/>
        </w:rPr>
        <w:t xml:space="preserve">payment </w:t>
      </w:r>
      <w:r>
        <w:rPr>
          <w:b/>
          <w:bCs/>
          <w:i/>
          <w:iCs/>
        </w:rPr>
        <w:t xml:space="preserve">is </w:t>
      </w:r>
      <w:r w:rsidRPr="00F93756">
        <w:rPr>
          <w:b/>
          <w:bCs/>
          <w:i/>
          <w:iCs/>
        </w:rPr>
        <w:t>received and posted. Onc</w:t>
      </w:r>
      <w:r>
        <w:rPr>
          <w:b/>
          <w:bCs/>
          <w:i/>
          <w:iCs/>
        </w:rPr>
        <w:t>e the payment is posted, the CRO</w:t>
      </w:r>
      <w:r w:rsidRPr="00F93756">
        <w:rPr>
          <w:b/>
          <w:bCs/>
          <w:i/>
          <w:iCs/>
        </w:rPr>
        <w:t xml:space="preserve"> will notify the subrecipient. </w:t>
      </w:r>
      <w:r>
        <w:rPr>
          <w:b/>
          <w:bCs/>
          <w:i/>
          <w:iCs/>
        </w:rPr>
        <w:t>T</w:t>
      </w:r>
      <w:r w:rsidRPr="00F93756">
        <w:rPr>
          <w:b/>
          <w:bCs/>
          <w:i/>
          <w:iCs/>
        </w:rPr>
        <w:t>he awarding agency subrecipient must maintain records that document the actions taken with respect to debt collection, restoration, or other debt resolution activities and why the actions were taken to support their decisions.</w:t>
      </w:r>
    </w:p>
    <w:p w14:paraId="1B249CD9" w14:textId="77777777" w:rsidR="009150CD" w:rsidRPr="005D2A6A" w:rsidRDefault="009150CD" w:rsidP="009150CD"/>
    <w:p w14:paraId="7346F350" w14:textId="77777777" w:rsidR="00D454EB" w:rsidRDefault="009150CD" w:rsidP="009150CD">
      <w:pPr>
        <w:outlineLvl w:val="9"/>
      </w:pPr>
      <w:r w:rsidRPr="005D2A6A">
        <w:t xml:space="preserve">When the debt </w:t>
      </w:r>
      <w:r>
        <w:t>i</w:t>
      </w:r>
      <w:r w:rsidRPr="005D2A6A">
        <w:t>s not a result of fraud, malfeasance, misapplication of funds or other serious violations or illegal acts, the cash repayment of the disallowance is a credit to the title and year to which it was originally charged. The credit reduces the expenditures of the period of the cost that was refunded. If the year o</w:t>
      </w:r>
      <w:r>
        <w:t>f allocation is still open, awarding agency subrecipients</w:t>
      </w:r>
      <w:r w:rsidRPr="005D2A6A">
        <w:t xml:space="preserve"> may expend the funds within the cost limits. Cash payments received after the fund availabilit</w:t>
      </w:r>
      <w:r>
        <w:t>y period must be remitted to the EDD</w:t>
      </w:r>
      <w:r w:rsidRPr="005D2A6A">
        <w:t>.</w:t>
      </w:r>
    </w:p>
    <w:p w14:paraId="5F894A49" w14:textId="2F76F0C9" w:rsidR="00BA060D" w:rsidRPr="009459F5" w:rsidRDefault="00BA060D" w:rsidP="009150CD">
      <w:pPr>
        <w:outlineLvl w:val="9"/>
        <w:rPr>
          <w:sz w:val="32"/>
          <w:szCs w:val="32"/>
        </w:rPr>
      </w:pPr>
    </w:p>
    <w:p w14:paraId="30F3C144" w14:textId="166A57A0" w:rsidR="00BA060D" w:rsidRPr="005C0EFE" w:rsidRDefault="00BA060D" w:rsidP="00821F43">
      <w:pPr>
        <w:pStyle w:val="Heading3"/>
      </w:pPr>
      <w:r w:rsidRPr="005C0EFE">
        <w:t>A</w:t>
      </w:r>
      <w:r w:rsidR="00821F43">
        <w:t>ction</w:t>
      </w:r>
    </w:p>
    <w:p w14:paraId="124A1304" w14:textId="77777777" w:rsidR="00BA060D" w:rsidRDefault="00BA060D" w:rsidP="00BA060D">
      <w:pPr>
        <w:pBdr>
          <w:bottom w:val="double" w:sz="12" w:space="1" w:color="E58E1A"/>
        </w:pBdr>
        <w:outlineLvl w:val="9"/>
      </w:pPr>
    </w:p>
    <w:p w14:paraId="70013761" w14:textId="77777777" w:rsidR="009150CD" w:rsidRPr="00ED2AB4" w:rsidRDefault="009150CD" w:rsidP="009150CD">
      <w:pPr>
        <w:outlineLvl w:val="9"/>
      </w:pPr>
      <w:r>
        <w:t>Bring this Directive to the attention of all affected staff and subrecipients.</w:t>
      </w:r>
    </w:p>
    <w:p w14:paraId="2196E1F9" w14:textId="757DF4BF" w:rsidR="00BA060D" w:rsidRPr="009459F5" w:rsidRDefault="00BA060D" w:rsidP="00BA060D">
      <w:pPr>
        <w:outlineLvl w:val="9"/>
        <w:rPr>
          <w:sz w:val="32"/>
          <w:szCs w:val="32"/>
        </w:rPr>
      </w:pPr>
    </w:p>
    <w:p w14:paraId="3467C1C2" w14:textId="58571D27" w:rsidR="00BA060D" w:rsidRPr="005C0EFE" w:rsidRDefault="00BA060D" w:rsidP="00821F43">
      <w:pPr>
        <w:pStyle w:val="Heading3"/>
      </w:pPr>
      <w:r w:rsidRPr="005C0EFE">
        <w:t>I</w:t>
      </w:r>
      <w:r w:rsidR="00821F43">
        <w:t>nquir</w:t>
      </w:r>
      <w:r w:rsidR="000D41F2">
        <w:t>i</w:t>
      </w:r>
      <w:r w:rsidR="00821F43">
        <w:t>es</w:t>
      </w:r>
    </w:p>
    <w:p w14:paraId="0B810114" w14:textId="77777777" w:rsidR="00BA060D" w:rsidRDefault="00BA060D" w:rsidP="00BA060D">
      <w:pPr>
        <w:pBdr>
          <w:bottom w:val="double" w:sz="12" w:space="1" w:color="E58E1A"/>
        </w:pBdr>
        <w:outlineLvl w:val="9"/>
      </w:pPr>
    </w:p>
    <w:p w14:paraId="77293576" w14:textId="77777777" w:rsidR="009150CD" w:rsidRDefault="009150CD" w:rsidP="00896BE5">
      <w:pPr>
        <w:outlineLvl w:val="9"/>
        <w:rPr>
          <w:bCs/>
        </w:rPr>
      </w:pPr>
      <w:r w:rsidRPr="009150CD">
        <w:rPr>
          <w:bCs/>
        </w:rPr>
        <w:t>If you have any questions, contact your assigned Regional Advisor.</w:t>
      </w:r>
    </w:p>
    <w:p w14:paraId="48332A80" w14:textId="02F4DC71" w:rsidR="00BA060D" w:rsidRPr="00896BE5" w:rsidRDefault="00BA060D" w:rsidP="00896BE5">
      <w:pPr>
        <w:outlineLvl w:val="9"/>
        <w:rPr>
          <w:rFonts w:cs="Arial"/>
          <w:sz w:val="96"/>
          <w:szCs w:val="96"/>
        </w:rPr>
      </w:pPr>
    </w:p>
    <w:p w14:paraId="23558DD3" w14:textId="25F6538E" w:rsidR="00D454EB" w:rsidRDefault="0017396E" w:rsidP="00BA060D">
      <w:r>
        <w:t xml:space="preserve">/s/ </w:t>
      </w:r>
      <w:r w:rsidR="00BA060D" w:rsidRPr="000B4E89">
        <w:t>JAVIER ROMERO, Deputy Director</w:t>
      </w:r>
    </w:p>
    <w:p w14:paraId="1D55854E" w14:textId="77777777" w:rsidR="00D454EB" w:rsidRDefault="00BA060D" w:rsidP="00BA060D">
      <w:r w:rsidRPr="00DE5EB4">
        <w:t xml:space="preserve">Workforce Services </w:t>
      </w:r>
      <w:r>
        <w:t>Branch</w:t>
      </w:r>
    </w:p>
    <w:p w14:paraId="37A10DFB" w14:textId="055052D3" w:rsidR="00D454EB" w:rsidRDefault="00D454EB" w:rsidP="00BA060D"/>
    <w:p w14:paraId="3BD404FA" w14:textId="42D0505E" w:rsidR="00D454EB" w:rsidRDefault="00BA060D" w:rsidP="00BA060D">
      <w:r>
        <w:t>Attachments:</w:t>
      </w:r>
    </w:p>
    <w:p w14:paraId="61575932" w14:textId="03E2767C" w:rsidR="00BA060D" w:rsidRDefault="00BA060D" w:rsidP="00BA060D"/>
    <w:p w14:paraId="6EA734FD" w14:textId="528CE8CA" w:rsidR="00D454EB" w:rsidRDefault="00D454EB" w:rsidP="00D454EB">
      <w:pPr>
        <w:pStyle w:val="ListParagraph"/>
        <w:numPr>
          <w:ilvl w:val="0"/>
          <w:numId w:val="5"/>
        </w:numPr>
        <w:pBdr>
          <w:bottom w:val="single" w:sz="4" w:space="1" w:color="auto"/>
        </w:pBdr>
      </w:pPr>
      <w:hyperlink r:id="rId14" w:history="1">
        <w:r w:rsidRPr="003121B4">
          <w:rPr>
            <w:rStyle w:val="Hyperlink"/>
          </w:rPr>
          <w:t>Instructions for Payment Advice Form (DOCX)</w:t>
        </w:r>
      </w:hyperlink>
    </w:p>
    <w:p w14:paraId="122A06EE" w14:textId="4DE826C7" w:rsidR="004F7CB1" w:rsidRDefault="00D454EB">
      <w:pPr>
        <w:pStyle w:val="ListParagraph"/>
        <w:numPr>
          <w:ilvl w:val="0"/>
          <w:numId w:val="5"/>
        </w:numPr>
        <w:pBdr>
          <w:bottom w:val="single" w:sz="4" w:space="1" w:color="auto"/>
        </w:pBdr>
      </w:pPr>
      <w:hyperlink r:id="rId15" w:history="1">
        <w:r w:rsidRPr="003121B4">
          <w:rPr>
            <w:rStyle w:val="Hyperlink"/>
          </w:rPr>
          <w:t>Payment Advice Form</w:t>
        </w:r>
        <w:bookmarkEnd w:id="1"/>
        <w:r w:rsidRPr="003121B4">
          <w:rPr>
            <w:rStyle w:val="Hyperlink"/>
          </w:rPr>
          <w:t xml:space="preserve"> (DOCX)</w:t>
        </w:r>
      </w:hyperlink>
    </w:p>
    <w:p w14:paraId="3436D258" w14:textId="7B72E834" w:rsidR="00C30BD7" w:rsidRDefault="004F7CB1" w:rsidP="00AA1A5E">
      <w:pPr>
        <w:pStyle w:val="ListParagraph"/>
        <w:numPr>
          <w:ilvl w:val="0"/>
          <w:numId w:val="5"/>
        </w:numPr>
        <w:pBdr>
          <w:bottom w:val="single" w:sz="4" w:space="1" w:color="auto"/>
        </w:pBdr>
      </w:pPr>
      <w:hyperlink r:id="rId16" w:history="1">
        <w:r w:rsidRPr="003121B4">
          <w:rPr>
            <w:rStyle w:val="Hyperlink"/>
          </w:rPr>
          <w:t>Amendment Chronology (DOCX)</w:t>
        </w:r>
      </w:hyperlink>
      <w:r w:rsidR="00C30BD7">
        <w:br/>
      </w:r>
      <w:bookmarkStart w:id="4" w:name="_Hlk146796638"/>
    </w:p>
    <w:p w14:paraId="029C3623" w14:textId="1EF33336" w:rsidR="00C30BD7" w:rsidRDefault="00C30BD7" w:rsidP="00C30BD7">
      <w:pPr>
        <w:spacing w:before="240"/>
        <w:jc w:val="center"/>
        <w:rPr>
          <w:i/>
          <w:iCs/>
        </w:rPr>
      </w:pPr>
      <w:proofErr w:type="gramStart"/>
      <w:r w:rsidRPr="00C30BD7">
        <w:rPr>
          <w:i/>
          <w:iCs/>
        </w:rPr>
        <w:t>The EDD</w:t>
      </w:r>
      <w:proofErr w:type="gramEnd"/>
      <w:r w:rsidRPr="00C30BD7">
        <w:rPr>
          <w:i/>
          <w:iCs/>
        </w:rPr>
        <w:t xml:space="preserve"> is an equal opportunity employer/program. Auxiliary aids and services </w:t>
      </w:r>
      <w:r>
        <w:rPr>
          <w:i/>
          <w:iCs/>
        </w:rPr>
        <w:br/>
      </w:r>
      <w:r w:rsidRPr="00C30BD7">
        <w:rPr>
          <w:i/>
          <w:iCs/>
        </w:rPr>
        <w:t>are available upon request to individuals with disabilities.</w:t>
      </w:r>
    </w:p>
    <w:bookmarkEnd w:id="4"/>
    <w:p w14:paraId="73006C8A" w14:textId="77777777" w:rsidR="00C30BD7" w:rsidRPr="00C30BD7" w:rsidRDefault="00C30BD7" w:rsidP="00C30BD7">
      <w:pPr>
        <w:pBdr>
          <w:top w:val="single" w:sz="4" w:space="1" w:color="auto"/>
        </w:pBdr>
        <w:spacing w:before="240"/>
        <w:jc w:val="center"/>
      </w:pPr>
    </w:p>
    <w:sectPr w:rsidR="00C30BD7" w:rsidRPr="00C30BD7" w:rsidSect="00AA1A5E">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49F0" w14:textId="77777777" w:rsidR="003E4BD3" w:rsidRDefault="003E4BD3" w:rsidP="00BA060D">
      <w:r>
        <w:separator/>
      </w:r>
    </w:p>
  </w:endnote>
  <w:endnote w:type="continuationSeparator" w:id="0">
    <w:p w14:paraId="41CD5C96" w14:textId="77777777" w:rsidR="003E4BD3" w:rsidRDefault="003E4BD3" w:rsidP="00BA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C51A" w14:textId="18C9B9CB" w:rsidR="00BA060D" w:rsidRDefault="00BA060D" w:rsidP="00997124">
    <w:pPr>
      <w:pStyle w:val="Footer"/>
      <w:jc w:val="center"/>
    </w:pPr>
    <w:r w:rsidRPr="00BA060D">
      <w:t xml:space="preserve">Page </w:t>
    </w:r>
    <w:r w:rsidRPr="00BA060D">
      <w:fldChar w:fldCharType="begin"/>
    </w:r>
    <w:r w:rsidRPr="00BA060D">
      <w:instrText xml:space="preserve"> PAGE  \* Arabic  \* MERGEFORMAT </w:instrText>
    </w:r>
    <w:r w:rsidRPr="00BA060D">
      <w:fldChar w:fldCharType="separate"/>
    </w:r>
    <w:r w:rsidRPr="00BA060D">
      <w:rPr>
        <w:noProof/>
      </w:rPr>
      <w:t>2</w:t>
    </w:r>
    <w:r w:rsidRPr="00BA060D">
      <w:fldChar w:fldCharType="end"/>
    </w:r>
    <w:r w:rsidRPr="00BA060D">
      <w:t xml:space="preserve"> of </w:t>
    </w:r>
    <w:fldSimple w:instr=" NUMPAGES  \* Arabic  \* MERGEFORMAT ">
      <w:r w:rsidRPr="00BA060D">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D509" w14:textId="77777777" w:rsidR="001A2E43" w:rsidRPr="00BA060D" w:rsidRDefault="001A2E43" w:rsidP="001A2E43">
    <w:pPr>
      <w:pStyle w:val="Footer"/>
      <w:jc w:val="center"/>
    </w:pPr>
    <w:r w:rsidRPr="00BA060D">
      <w:t xml:space="preserve">Page </w:t>
    </w:r>
    <w:r w:rsidRPr="00BA060D">
      <w:fldChar w:fldCharType="begin"/>
    </w:r>
    <w:r w:rsidRPr="00BA060D">
      <w:instrText xml:space="preserve"> PAGE  \* Arabic  \* MERGEFORMAT </w:instrText>
    </w:r>
    <w:r w:rsidRPr="00BA060D">
      <w:fldChar w:fldCharType="separate"/>
    </w:r>
    <w:r>
      <w:t>1</w:t>
    </w:r>
    <w:r w:rsidRPr="00BA060D">
      <w:fldChar w:fldCharType="end"/>
    </w:r>
    <w:r w:rsidRPr="00BA060D">
      <w:t xml:space="preserve"> of </w:t>
    </w:r>
    <w:fldSimple w:instr=" NUMPAGES  \* Arabic  \* MERGEFORMAT ">
      <w:r>
        <w:t>2</w:t>
      </w:r>
    </w:fldSimple>
  </w:p>
  <w:p w14:paraId="2DE189EB" w14:textId="0DE95F77" w:rsidR="001A2E43" w:rsidRDefault="001A2E43" w:rsidP="001A2E43">
    <w:pPr>
      <w:pStyle w:val="Footer"/>
      <w:jc w:val="right"/>
    </w:pPr>
    <w:r>
      <w:t xml:space="preserve">DIC: </w:t>
    </w:r>
    <w:r w:rsidR="00A87CE1">
      <w:t>31</w:t>
    </w:r>
  </w:p>
  <w:p w14:paraId="530F7F8B" w14:textId="59D57C59" w:rsidR="001A2E43" w:rsidRDefault="00A87CE1">
    <w:pPr>
      <w:pStyle w:val="Footer"/>
    </w:pPr>
    <w:r>
      <w:rPr>
        <w:noProof/>
      </w:rPr>
      <w:t xml:space="preserve">Revised </w:t>
    </w:r>
    <w:r w:rsidR="00D11525">
      <w:rPr>
        <w:noProof/>
      </w:rPr>
      <w:t xml:space="preserve">May </w:t>
    </w:r>
    <w:r w:rsidR="00A36BE4">
      <w:rPr>
        <w:noProof/>
      </w:rPr>
      <w:t>16</w:t>
    </w:r>
    <w:r>
      <w:rPr>
        <w:noProof/>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7C4E0" w14:textId="77777777" w:rsidR="003E4BD3" w:rsidRDefault="003E4BD3" w:rsidP="00BA060D">
      <w:r>
        <w:separator/>
      </w:r>
    </w:p>
  </w:footnote>
  <w:footnote w:type="continuationSeparator" w:id="0">
    <w:p w14:paraId="3DD714ED" w14:textId="77777777" w:rsidR="003E4BD3" w:rsidRDefault="003E4BD3" w:rsidP="00BA0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7E3"/>
    <w:multiLevelType w:val="hybridMultilevel"/>
    <w:tmpl w:val="F090491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496E55F8"/>
    <w:multiLevelType w:val="hybridMultilevel"/>
    <w:tmpl w:val="A4C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84C24"/>
    <w:multiLevelType w:val="hybridMultilevel"/>
    <w:tmpl w:val="9FAC19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764E10"/>
    <w:multiLevelType w:val="hybridMultilevel"/>
    <w:tmpl w:val="1F4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50E44"/>
    <w:multiLevelType w:val="hybridMultilevel"/>
    <w:tmpl w:val="D866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D59AF"/>
    <w:multiLevelType w:val="hybridMultilevel"/>
    <w:tmpl w:val="AE8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484302">
    <w:abstractNumId w:val="3"/>
  </w:num>
  <w:num w:numId="2" w16cid:durableId="257521328">
    <w:abstractNumId w:val="4"/>
  </w:num>
  <w:num w:numId="3" w16cid:durableId="1853952925">
    <w:abstractNumId w:val="1"/>
  </w:num>
  <w:num w:numId="4" w16cid:durableId="607586037">
    <w:abstractNumId w:val="2"/>
  </w:num>
  <w:num w:numId="5" w16cid:durableId="1775438917">
    <w:abstractNumId w:val="5"/>
  </w:num>
  <w:num w:numId="6" w16cid:durableId="115599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07"/>
    <w:rsid w:val="000230C1"/>
    <w:rsid w:val="0002429E"/>
    <w:rsid w:val="00026D42"/>
    <w:rsid w:val="00030788"/>
    <w:rsid w:val="00067DEC"/>
    <w:rsid w:val="000D41F2"/>
    <w:rsid w:val="000E2D88"/>
    <w:rsid w:val="00117850"/>
    <w:rsid w:val="0017396E"/>
    <w:rsid w:val="00193C54"/>
    <w:rsid w:val="001A2E43"/>
    <w:rsid w:val="001B2E90"/>
    <w:rsid w:val="001E009C"/>
    <w:rsid w:val="001E5F7E"/>
    <w:rsid w:val="0023700F"/>
    <w:rsid w:val="00245072"/>
    <w:rsid w:val="00272C75"/>
    <w:rsid w:val="0029459E"/>
    <w:rsid w:val="002D71F6"/>
    <w:rsid w:val="003121B4"/>
    <w:rsid w:val="003351EA"/>
    <w:rsid w:val="0034044B"/>
    <w:rsid w:val="003442A1"/>
    <w:rsid w:val="003459E2"/>
    <w:rsid w:val="00363996"/>
    <w:rsid w:val="003B5578"/>
    <w:rsid w:val="003D0585"/>
    <w:rsid w:val="003E4BD3"/>
    <w:rsid w:val="00412935"/>
    <w:rsid w:val="00425D23"/>
    <w:rsid w:val="004618CB"/>
    <w:rsid w:val="00486025"/>
    <w:rsid w:val="00490306"/>
    <w:rsid w:val="00493BF7"/>
    <w:rsid w:val="004D676B"/>
    <w:rsid w:val="004F1BA1"/>
    <w:rsid w:val="004F7CB1"/>
    <w:rsid w:val="005138F1"/>
    <w:rsid w:val="00575797"/>
    <w:rsid w:val="00604ECB"/>
    <w:rsid w:val="006800C3"/>
    <w:rsid w:val="00711382"/>
    <w:rsid w:val="00712DE2"/>
    <w:rsid w:val="00747D07"/>
    <w:rsid w:val="00793D8A"/>
    <w:rsid w:val="007C2BAD"/>
    <w:rsid w:val="00810B17"/>
    <w:rsid w:val="00821F43"/>
    <w:rsid w:val="00893BBE"/>
    <w:rsid w:val="00896BE5"/>
    <w:rsid w:val="00897983"/>
    <w:rsid w:val="008A4CE2"/>
    <w:rsid w:val="008B3341"/>
    <w:rsid w:val="008E61F1"/>
    <w:rsid w:val="0091237D"/>
    <w:rsid w:val="009150CD"/>
    <w:rsid w:val="009459F5"/>
    <w:rsid w:val="00994212"/>
    <w:rsid w:val="00997124"/>
    <w:rsid w:val="009B2B24"/>
    <w:rsid w:val="009F24EC"/>
    <w:rsid w:val="00A36BE4"/>
    <w:rsid w:val="00A87CE1"/>
    <w:rsid w:val="00AA1A5E"/>
    <w:rsid w:val="00AA49CB"/>
    <w:rsid w:val="00AC4DD0"/>
    <w:rsid w:val="00AD5D9A"/>
    <w:rsid w:val="00B17D68"/>
    <w:rsid w:val="00B32707"/>
    <w:rsid w:val="00B451FE"/>
    <w:rsid w:val="00B4533D"/>
    <w:rsid w:val="00B579A1"/>
    <w:rsid w:val="00B85919"/>
    <w:rsid w:val="00BA060D"/>
    <w:rsid w:val="00BA67F8"/>
    <w:rsid w:val="00BE67E1"/>
    <w:rsid w:val="00C21B58"/>
    <w:rsid w:val="00C30BD7"/>
    <w:rsid w:val="00C63A6E"/>
    <w:rsid w:val="00C86F52"/>
    <w:rsid w:val="00CD1BA4"/>
    <w:rsid w:val="00D11525"/>
    <w:rsid w:val="00D15360"/>
    <w:rsid w:val="00D454EB"/>
    <w:rsid w:val="00D937BE"/>
    <w:rsid w:val="00DC6748"/>
    <w:rsid w:val="00E309A2"/>
    <w:rsid w:val="00E76B05"/>
    <w:rsid w:val="00EF2FB1"/>
    <w:rsid w:val="00F12409"/>
    <w:rsid w:val="00F17946"/>
    <w:rsid w:val="00F44A18"/>
    <w:rsid w:val="00F45600"/>
    <w:rsid w:val="00F510A9"/>
    <w:rsid w:val="00FE1F45"/>
    <w:rsid w:val="00FE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87DC5"/>
  <w15:chartTrackingRefBased/>
  <w15:docId w15:val="{02E457A7-F8D3-4CDA-9D39-D2E5ECC7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BF7"/>
    <w:pPr>
      <w:spacing w:after="0" w:line="240" w:lineRule="auto"/>
      <w:outlineLvl w:val="5"/>
    </w:pPr>
    <w:rPr>
      <w:rFonts w:eastAsia="Times New Roman" w:cs="Times New Roman"/>
      <w:sz w:val="24"/>
      <w:szCs w:val="24"/>
    </w:rPr>
  </w:style>
  <w:style w:type="paragraph" w:styleId="Heading1">
    <w:name w:val="heading 1"/>
    <w:basedOn w:val="Normal"/>
    <w:next w:val="Normal"/>
    <w:link w:val="Heading1Char"/>
    <w:qFormat/>
    <w:rsid w:val="00821F43"/>
    <w:pPr>
      <w:jc w:val="center"/>
      <w:outlineLvl w:val="0"/>
    </w:pPr>
    <w:rPr>
      <w:noProof/>
      <w:color w:val="007DA5"/>
      <w:sz w:val="48"/>
      <w:szCs w:val="48"/>
    </w:rPr>
  </w:style>
  <w:style w:type="paragraph" w:styleId="Heading2">
    <w:name w:val="heading 2"/>
    <w:basedOn w:val="Heading1"/>
    <w:next w:val="Normal"/>
    <w:link w:val="Heading2Char"/>
    <w:qFormat/>
    <w:rsid w:val="00821F43"/>
    <w:pPr>
      <w:outlineLvl w:val="1"/>
    </w:pPr>
    <w:rPr>
      <w:b/>
      <w:color w:val="auto"/>
      <w:sz w:val="32"/>
    </w:rPr>
  </w:style>
  <w:style w:type="paragraph" w:styleId="Heading3">
    <w:name w:val="heading 3"/>
    <w:basedOn w:val="Heading2"/>
    <w:next w:val="Normal"/>
    <w:link w:val="Heading3Char"/>
    <w:qFormat/>
    <w:rsid w:val="00821F43"/>
    <w:pPr>
      <w:jc w:val="left"/>
      <w:outlineLvl w:val="2"/>
    </w:pPr>
    <w:rPr>
      <w:b w:val="0"/>
      <w:bCs/>
      <w:color w:val="007DA5"/>
      <w:szCs w:val="36"/>
    </w:rPr>
  </w:style>
  <w:style w:type="paragraph" w:styleId="Heading4">
    <w:name w:val="heading 4"/>
    <w:basedOn w:val="Normal"/>
    <w:next w:val="Normal"/>
    <w:link w:val="Heading4Char"/>
    <w:uiPriority w:val="9"/>
    <w:unhideWhenUsed/>
    <w:qFormat/>
    <w:rsid w:val="00030788"/>
    <w:pPr>
      <w:keepNext/>
      <w:keepLines/>
      <w:spacing w:before="40"/>
      <w:outlineLvl w:val="3"/>
    </w:pPr>
    <w:rPr>
      <w:rFonts w:ascii="Calibri" w:eastAsiaTheme="majorEastAsia" w:hAnsi="Calibri" w:cstheme="majorBidi"/>
      <w:b/>
      <w:iCs/>
    </w:rPr>
  </w:style>
  <w:style w:type="paragraph" w:styleId="Heading5">
    <w:name w:val="heading 5"/>
    <w:basedOn w:val="Normal"/>
    <w:next w:val="Normal"/>
    <w:link w:val="Heading5Char"/>
    <w:uiPriority w:val="9"/>
    <w:semiHidden/>
    <w:unhideWhenUsed/>
    <w:qFormat/>
    <w:rsid w:val="00BA060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Heading5"/>
    <w:next w:val="Normal"/>
    <w:link w:val="Heading6Char"/>
    <w:qFormat/>
    <w:rsid w:val="00BA060D"/>
    <w:pPr>
      <w:keepNext w:val="0"/>
      <w:keepLines w:val="0"/>
      <w:spacing w:before="0"/>
      <w:outlineLvl w:val="5"/>
    </w:pPr>
    <w:rPr>
      <w:rFonts w:asciiTheme="minorHAnsi" w:eastAsia="Times New Roman" w:hAnsiTheme="minorHAns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F43"/>
    <w:rPr>
      <w:rFonts w:eastAsia="Times New Roman" w:cs="Times New Roman"/>
      <w:noProof/>
      <w:color w:val="007DA5"/>
      <w:sz w:val="48"/>
      <w:szCs w:val="48"/>
    </w:rPr>
  </w:style>
  <w:style w:type="character" w:customStyle="1" w:styleId="Heading2Char">
    <w:name w:val="Heading 2 Char"/>
    <w:basedOn w:val="DefaultParagraphFont"/>
    <w:link w:val="Heading2"/>
    <w:rsid w:val="00821F43"/>
    <w:rPr>
      <w:rFonts w:eastAsia="Times New Roman" w:cs="Times New Roman"/>
      <w:b/>
      <w:noProof/>
      <w:sz w:val="32"/>
      <w:szCs w:val="48"/>
    </w:rPr>
  </w:style>
  <w:style w:type="character" w:customStyle="1" w:styleId="Heading3Char">
    <w:name w:val="Heading 3 Char"/>
    <w:basedOn w:val="DefaultParagraphFont"/>
    <w:link w:val="Heading3"/>
    <w:rsid w:val="00821F43"/>
    <w:rPr>
      <w:rFonts w:eastAsia="Times New Roman" w:cs="Times New Roman"/>
      <w:color w:val="007DA5"/>
      <w:sz w:val="32"/>
      <w:szCs w:val="36"/>
    </w:rPr>
  </w:style>
  <w:style w:type="character" w:customStyle="1" w:styleId="Heading6Char">
    <w:name w:val="Heading 6 Char"/>
    <w:basedOn w:val="DefaultParagraphFont"/>
    <w:link w:val="Heading6"/>
    <w:rsid w:val="00BA060D"/>
    <w:rPr>
      <w:rFonts w:eastAsia="Times New Roman" w:cs="Times New Roman"/>
      <w:sz w:val="24"/>
      <w:szCs w:val="24"/>
    </w:rPr>
  </w:style>
  <w:style w:type="character" w:customStyle="1" w:styleId="Heading5Char">
    <w:name w:val="Heading 5 Char"/>
    <w:basedOn w:val="DefaultParagraphFont"/>
    <w:link w:val="Heading5"/>
    <w:uiPriority w:val="9"/>
    <w:semiHidden/>
    <w:rsid w:val="00BA060D"/>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BA060D"/>
    <w:pPr>
      <w:tabs>
        <w:tab w:val="center" w:pos="4680"/>
        <w:tab w:val="right" w:pos="9360"/>
      </w:tabs>
    </w:pPr>
  </w:style>
  <w:style w:type="character" w:customStyle="1" w:styleId="HeaderChar">
    <w:name w:val="Header Char"/>
    <w:basedOn w:val="DefaultParagraphFont"/>
    <w:link w:val="Header"/>
    <w:uiPriority w:val="99"/>
    <w:rsid w:val="00BA060D"/>
    <w:rPr>
      <w:rFonts w:eastAsia="Times New Roman" w:cs="Times New Roman"/>
      <w:sz w:val="24"/>
      <w:szCs w:val="24"/>
    </w:rPr>
  </w:style>
  <w:style w:type="paragraph" w:styleId="Footer">
    <w:name w:val="footer"/>
    <w:basedOn w:val="Normal"/>
    <w:link w:val="FooterChar"/>
    <w:uiPriority w:val="99"/>
    <w:unhideWhenUsed/>
    <w:rsid w:val="00BA060D"/>
    <w:pPr>
      <w:tabs>
        <w:tab w:val="center" w:pos="4680"/>
        <w:tab w:val="right" w:pos="9360"/>
      </w:tabs>
    </w:pPr>
  </w:style>
  <w:style w:type="character" w:customStyle="1" w:styleId="FooterChar">
    <w:name w:val="Footer Char"/>
    <w:basedOn w:val="DefaultParagraphFont"/>
    <w:link w:val="Footer"/>
    <w:uiPriority w:val="99"/>
    <w:rsid w:val="00BA060D"/>
    <w:rPr>
      <w:rFonts w:eastAsia="Times New Roman" w:cs="Times New Roman"/>
      <w:sz w:val="24"/>
      <w:szCs w:val="24"/>
    </w:rPr>
  </w:style>
  <w:style w:type="character" w:styleId="Hyperlink">
    <w:name w:val="Hyperlink"/>
    <w:basedOn w:val="DefaultParagraphFont"/>
    <w:uiPriority w:val="99"/>
    <w:unhideWhenUsed/>
    <w:rsid w:val="0002429E"/>
    <w:rPr>
      <w:color w:val="0563C1"/>
      <w:u w:val="single"/>
    </w:rPr>
  </w:style>
  <w:style w:type="character" w:styleId="UnresolvedMention">
    <w:name w:val="Unresolved Mention"/>
    <w:basedOn w:val="DefaultParagraphFont"/>
    <w:uiPriority w:val="99"/>
    <w:semiHidden/>
    <w:unhideWhenUsed/>
    <w:rsid w:val="003442A1"/>
    <w:rPr>
      <w:color w:val="605E5C"/>
      <w:shd w:val="clear" w:color="auto" w:fill="E1DFDD"/>
    </w:rPr>
  </w:style>
  <w:style w:type="table" w:styleId="TableGrid">
    <w:name w:val="Table Grid"/>
    <w:basedOn w:val="TableNormal"/>
    <w:uiPriority w:val="39"/>
    <w:rsid w:val="003351EA"/>
    <w:pPr>
      <w:spacing w:after="0" w:line="240" w:lineRule="auto"/>
    </w:pPr>
    <w:rPr>
      <w:rFonts w:ascii="Calibri" w:hAnsi="Calibri" w:cs="Calibri"/>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0CD"/>
    <w:pPr>
      <w:ind w:left="720"/>
      <w:contextualSpacing/>
    </w:pPr>
  </w:style>
  <w:style w:type="paragraph" w:styleId="Revision">
    <w:name w:val="Revision"/>
    <w:hidden/>
    <w:uiPriority w:val="99"/>
    <w:semiHidden/>
    <w:rsid w:val="00D454EB"/>
    <w:pPr>
      <w:spacing w:after="0"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3B5578"/>
    <w:rPr>
      <w:sz w:val="16"/>
      <w:szCs w:val="16"/>
    </w:rPr>
  </w:style>
  <w:style w:type="paragraph" w:styleId="CommentText">
    <w:name w:val="annotation text"/>
    <w:basedOn w:val="Normal"/>
    <w:link w:val="CommentTextChar"/>
    <w:uiPriority w:val="99"/>
    <w:unhideWhenUsed/>
    <w:rsid w:val="003B5578"/>
    <w:rPr>
      <w:sz w:val="20"/>
      <w:szCs w:val="20"/>
    </w:rPr>
  </w:style>
  <w:style w:type="character" w:customStyle="1" w:styleId="CommentTextChar">
    <w:name w:val="Comment Text Char"/>
    <w:basedOn w:val="DefaultParagraphFont"/>
    <w:link w:val="CommentText"/>
    <w:uiPriority w:val="99"/>
    <w:rsid w:val="003B557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5578"/>
    <w:rPr>
      <w:b/>
      <w:bCs/>
    </w:rPr>
  </w:style>
  <w:style w:type="character" w:customStyle="1" w:styleId="CommentSubjectChar">
    <w:name w:val="Comment Subject Char"/>
    <w:basedOn w:val="CommentTextChar"/>
    <w:link w:val="CommentSubject"/>
    <w:uiPriority w:val="99"/>
    <w:semiHidden/>
    <w:rsid w:val="003B5578"/>
    <w:rPr>
      <w:rFonts w:eastAsia="Times New Roman" w:cs="Times New Roman"/>
      <w:b/>
      <w:bCs/>
      <w:sz w:val="20"/>
      <w:szCs w:val="20"/>
    </w:rPr>
  </w:style>
  <w:style w:type="character" w:customStyle="1" w:styleId="Heading4Char">
    <w:name w:val="Heading 4 Char"/>
    <w:basedOn w:val="DefaultParagraphFont"/>
    <w:link w:val="Heading4"/>
    <w:uiPriority w:val="9"/>
    <w:rsid w:val="00030788"/>
    <w:rPr>
      <w:rFonts w:ascii="Calibri" w:eastAsiaTheme="majorEastAsia" w:hAnsi="Calibri" w:cstheme="majorBid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CBCROIncidentReports@edd.ca.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d.ca.gov/siteassets/files/jobs_and_training/pubs/wsd22-07att3.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edd.ca.gov/siteassets/files/jobs_and_training/pubs/wsd22-07att2.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d.ca.gov/siteassets/files/jobs_and_training/pubs/wsd22-07att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irective" ma:contentTypeID="0x01010012F9BFEE42FF354E95F3B449CB393972009A2F73B02CA79544B53E581EFA37E632" ma:contentTypeVersion="10" ma:contentTypeDescription="" ma:contentTypeScope="" ma:versionID="9e6feabc5b9d0cdd09a85fe8b83e3d76">
  <xsd:schema xmlns:xsd="http://www.w3.org/2001/XMLSchema" xmlns:xs="http://www.w3.org/2001/XMLSchema" xmlns:p="http://schemas.microsoft.com/office/2006/metadata/properties" targetNamespace="http://schemas.microsoft.com/office/2006/metadata/properties" ma:root="true" ma:fieldsID="92a620696f3a486d1c15ca9c73122f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9C14E-7521-48DE-B0BD-9149F566B65D}">
  <ds:schemaRefs>
    <ds:schemaRef ds:uri="http://schemas.openxmlformats.org/officeDocument/2006/bibliography"/>
  </ds:schemaRefs>
</ds:datastoreItem>
</file>

<file path=customXml/itemProps2.xml><?xml version="1.0" encoding="utf-8"?>
<ds:datastoreItem xmlns:ds="http://schemas.openxmlformats.org/officeDocument/2006/customXml" ds:itemID="{3E9FBEEF-BCC8-4373-9A89-3FEA6BEEA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E610F6-B4B3-4EE7-A5A4-386854AE5FFD}">
  <ds:schemaRefs>
    <ds:schemaRef ds:uri="http://schemas.microsoft.com/sharepoint/v3/contenttype/forms"/>
  </ds:schemaRefs>
</ds:datastoreItem>
</file>

<file path=customXml/itemProps4.xml><?xml version="1.0" encoding="utf-8"?>
<ds:datastoreItem xmlns:ds="http://schemas.openxmlformats.org/officeDocument/2006/customXml" ds:itemID="{DFC44123-8EBE-4382-A1EB-B46EC37CE128}">
  <ds:schemaRef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Collection</dc:title>
  <dc:subject/>
  <dc:creator>Workforce Services</dc:creator>
  <cp:keywords/>
  <dc:description/>
  <cp:lastModifiedBy>Richardson, Jeffrey@EDD</cp:lastModifiedBy>
  <cp:revision>13</cp:revision>
  <dcterms:created xsi:type="dcterms:W3CDTF">2025-01-17T16:21:00Z</dcterms:created>
  <dcterms:modified xsi:type="dcterms:W3CDTF">2025-05-16T19:57:00Z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0x01010012F9BFEE42FF354E95F3B449CB393972009A2F73B02CA79544B53E581EFA37E632</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