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5CA33" w14:textId="1C4E5B6D" w:rsidR="0015018E" w:rsidRDefault="00534AD0" w:rsidP="004E2FCB">
      <w:pPr>
        <w:pStyle w:val="Header"/>
      </w:pPr>
      <w:r w:rsidRPr="00534AD0">
        <w:rPr>
          <w:rFonts w:ascii="Calibri" w:eastAsia="Times New Roman" w:hAnsi="Calibri" w:cs="Times New Roman"/>
          <w:noProof/>
          <w:sz w:val="24"/>
          <w:szCs w:val="24"/>
        </w:rPr>
        <w:drawing>
          <wp:inline distT="0" distB="0" distL="0" distR="0" wp14:anchorId="59264D21" wp14:editId="0F44FDC5">
            <wp:extent cx="1051560" cy="657225"/>
            <wp:effectExtent l="0" t="0" r="0" b="9525"/>
            <wp:docPr id="1750392694" name="Picture 3" descr="Department Logo: Employment Development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92694" name="Picture 3" descr="Department Logo: Employment Development Depart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0883" cy="688052"/>
                    </a:xfrm>
                    <a:prstGeom prst="rect">
                      <a:avLst/>
                    </a:prstGeom>
                    <a:noFill/>
                    <a:ln>
                      <a:noFill/>
                    </a:ln>
                  </pic:spPr>
                </pic:pic>
              </a:graphicData>
            </a:graphic>
          </wp:inline>
        </w:drawing>
      </w:r>
    </w:p>
    <w:p w14:paraId="24E15A99" w14:textId="53D22DBB" w:rsidR="008C3008" w:rsidRPr="008C3008" w:rsidRDefault="008C3008" w:rsidP="008C3008">
      <w:pPr>
        <w:pStyle w:val="Heading1"/>
        <w:rPr>
          <w:rFonts w:ascii="Aptos" w:hAnsi="Aptos"/>
        </w:rPr>
      </w:pPr>
      <w:r>
        <w:rPr>
          <w:rFonts w:ascii="Aptos" w:hAnsi="Aptos"/>
        </w:rPr>
        <w:t xml:space="preserve">Workforce Innovation </w:t>
      </w:r>
      <w:r w:rsidR="007636FC">
        <w:rPr>
          <w:rFonts w:ascii="Aptos" w:hAnsi="Aptos"/>
        </w:rPr>
        <w:t>a</w:t>
      </w:r>
      <w:r>
        <w:rPr>
          <w:rFonts w:ascii="Aptos" w:hAnsi="Aptos"/>
        </w:rPr>
        <w:t>nd Opportunity Act</w:t>
      </w:r>
    </w:p>
    <w:p w14:paraId="71A7D3E3" w14:textId="37203D71" w:rsidR="0015018E" w:rsidRPr="00A32E33" w:rsidRDefault="008C3008" w:rsidP="002A057F">
      <w:pPr>
        <w:pStyle w:val="Heading1"/>
        <w:rPr>
          <w:rFonts w:ascii="Aptos" w:hAnsi="Aptos"/>
        </w:rPr>
      </w:pPr>
      <w:r>
        <w:rPr>
          <w:rFonts w:ascii="Aptos" w:hAnsi="Aptos"/>
        </w:rPr>
        <w:t>Employment Pathways Technical Assistance</w:t>
      </w:r>
      <w:r w:rsidR="0015018E" w:rsidRPr="00A32E33">
        <w:rPr>
          <w:rFonts w:ascii="Aptos" w:hAnsi="Aptos"/>
        </w:rPr>
        <w:t xml:space="preserve"> PY </w:t>
      </w:r>
      <w:r>
        <w:rPr>
          <w:rFonts w:ascii="Aptos" w:hAnsi="Aptos"/>
        </w:rPr>
        <w:t>2025-26</w:t>
      </w:r>
    </w:p>
    <w:p w14:paraId="23446A20" w14:textId="72469147" w:rsidR="0015018E" w:rsidRPr="00A32E33" w:rsidRDefault="0015018E" w:rsidP="002A057F">
      <w:pPr>
        <w:pStyle w:val="Heading1"/>
        <w:rPr>
          <w:rFonts w:ascii="Aptos" w:hAnsi="Aptos"/>
          <w:lang w:val="en"/>
        </w:rPr>
        <w:sectPr w:rsidR="0015018E" w:rsidRPr="00A32E33" w:rsidSect="00534AD0">
          <w:footerReference w:type="default" r:id="rId11"/>
          <w:footerReference w:type="first" r:id="rId12"/>
          <w:pgSz w:w="12240" w:h="15840"/>
          <w:pgMar w:top="1008" w:right="1008" w:bottom="1008" w:left="1008" w:header="720" w:footer="720" w:gutter="0"/>
          <w:cols w:num="2" w:space="144" w:equalWidth="0">
            <w:col w:w="1872" w:space="144"/>
            <w:col w:w="8208"/>
          </w:cols>
          <w:titlePg/>
          <w:docGrid w:linePitch="360"/>
        </w:sectPr>
      </w:pPr>
      <w:r w:rsidRPr="00A32E33">
        <w:rPr>
          <w:rFonts w:ascii="Aptos" w:hAnsi="Aptos"/>
        </w:rPr>
        <w:t>Award List and Project Summar</w:t>
      </w:r>
      <w:r w:rsidR="008C3008">
        <w:rPr>
          <w:rFonts w:ascii="Aptos" w:hAnsi="Aptos"/>
        </w:rPr>
        <w:t>y</w:t>
      </w:r>
    </w:p>
    <w:p w14:paraId="116FF90C" w14:textId="77777777" w:rsidR="0015018E" w:rsidRPr="00A32E33" w:rsidRDefault="0015018E" w:rsidP="0015018E">
      <w:pPr>
        <w:pBdr>
          <w:bottom w:val="single" w:sz="4" w:space="1" w:color="auto"/>
        </w:pBdr>
        <w:ind w:right="864"/>
        <w:rPr>
          <w:rFonts w:ascii="Aptos" w:hAnsi="Aptos" w:cs="Arial"/>
          <w:sz w:val="16"/>
          <w:szCs w:val="16"/>
        </w:rPr>
      </w:pPr>
    </w:p>
    <w:p w14:paraId="2A7B1A57" w14:textId="71BABDE5" w:rsidR="00C4619D" w:rsidRPr="00115029" w:rsidRDefault="00F9480C" w:rsidP="006A609C">
      <w:pPr>
        <w:ind w:right="864"/>
        <w:rPr>
          <w:rStyle w:val="Hyperlink"/>
          <w:rFonts w:ascii="Aptos" w:hAnsi="Aptos"/>
          <w:sz w:val="24"/>
          <w:szCs w:val="24"/>
        </w:rPr>
      </w:pPr>
      <w:r w:rsidRPr="00115029">
        <w:rPr>
          <w:rFonts w:ascii="Aptos" w:hAnsi="Aptos" w:cs="Arial"/>
          <w:sz w:val="24"/>
          <w:szCs w:val="24"/>
        </w:rPr>
        <w:t xml:space="preserve">On </w:t>
      </w:r>
      <w:r w:rsidR="00471054">
        <w:rPr>
          <w:rFonts w:ascii="Aptos" w:hAnsi="Aptos"/>
          <w:sz w:val="24"/>
          <w:szCs w:val="24"/>
        </w:rPr>
        <w:t>May 14, 2026</w:t>
      </w:r>
      <w:r w:rsidRPr="00115029">
        <w:rPr>
          <w:rFonts w:ascii="Aptos" w:hAnsi="Aptos" w:cs="Arial"/>
          <w:sz w:val="24"/>
          <w:szCs w:val="24"/>
        </w:rPr>
        <w:t>, $</w:t>
      </w:r>
      <w:r w:rsidR="008C3008">
        <w:rPr>
          <w:rFonts w:ascii="Aptos" w:hAnsi="Aptos"/>
          <w:sz w:val="24"/>
          <w:szCs w:val="24"/>
        </w:rPr>
        <w:t>1,500,000.00</w:t>
      </w:r>
      <w:r w:rsidR="00E81F29" w:rsidRPr="00115029">
        <w:rPr>
          <w:rFonts w:ascii="Aptos" w:hAnsi="Aptos"/>
          <w:sz w:val="24"/>
          <w:szCs w:val="24"/>
        </w:rPr>
        <w:t xml:space="preserve"> </w:t>
      </w:r>
      <w:r w:rsidR="00C4619D" w:rsidRPr="00115029">
        <w:rPr>
          <w:rFonts w:ascii="Aptos" w:hAnsi="Aptos" w:cs="Arial"/>
          <w:sz w:val="24"/>
          <w:szCs w:val="24"/>
        </w:rPr>
        <w:t xml:space="preserve">of </w:t>
      </w:r>
      <w:r w:rsidR="008C3008" w:rsidRPr="00357038">
        <w:rPr>
          <w:rFonts w:ascii="Aptos" w:hAnsi="Aptos"/>
          <w:i/>
          <w:iCs/>
          <w:sz w:val="24"/>
          <w:szCs w:val="24"/>
        </w:rPr>
        <w:t>Workforce Innovation and Opportunity Act</w:t>
      </w:r>
      <w:r w:rsidR="00C4619D" w:rsidRPr="00115029">
        <w:rPr>
          <w:rFonts w:ascii="Aptos" w:hAnsi="Aptos" w:cs="Arial"/>
          <w:sz w:val="24"/>
          <w:szCs w:val="24"/>
        </w:rPr>
        <w:t xml:space="preserve">, </w:t>
      </w:r>
      <w:r w:rsidR="008C3008">
        <w:rPr>
          <w:rFonts w:ascii="Aptos" w:hAnsi="Aptos"/>
          <w:sz w:val="24"/>
          <w:szCs w:val="24"/>
        </w:rPr>
        <w:t xml:space="preserve">Title I, Governor’s </w:t>
      </w:r>
      <w:r w:rsidR="009758E8">
        <w:rPr>
          <w:rFonts w:ascii="Aptos" w:hAnsi="Aptos"/>
          <w:sz w:val="24"/>
          <w:szCs w:val="24"/>
        </w:rPr>
        <w:t>d</w:t>
      </w:r>
      <w:r w:rsidR="008C3008">
        <w:rPr>
          <w:rFonts w:ascii="Aptos" w:hAnsi="Aptos"/>
          <w:sz w:val="24"/>
          <w:szCs w:val="24"/>
        </w:rPr>
        <w:t xml:space="preserve">iscretionary </w:t>
      </w:r>
      <w:r w:rsidR="009758E8">
        <w:rPr>
          <w:rFonts w:ascii="Aptos" w:hAnsi="Aptos"/>
          <w:sz w:val="24"/>
          <w:szCs w:val="24"/>
        </w:rPr>
        <w:t>f</w:t>
      </w:r>
      <w:r w:rsidR="008C3008">
        <w:rPr>
          <w:rFonts w:ascii="Aptos" w:hAnsi="Aptos"/>
          <w:sz w:val="24"/>
          <w:szCs w:val="24"/>
        </w:rPr>
        <w:t>unds</w:t>
      </w:r>
      <w:r w:rsidR="000D41F4" w:rsidRPr="00115029">
        <w:rPr>
          <w:rFonts w:ascii="Aptos" w:hAnsi="Aptos" w:cs="Arial"/>
          <w:sz w:val="24"/>
          <w:szCs w:val="24"/>
        </w:rPr>
        <w:t xml:space="preserve"> </w:t>
      </w:r>
      <w:r w:rsidR="008909EA" w:rsidRPr="00115029">
        <w:rPr>
          <w:rFonts w:ascii="Aptos" w:hAnsi="Aptos" w:cs="Arial"/>
          <w:sz w:val="24"/>
          <w:szCs w:val="24"/>
        </w:rPr>
        <w:t>were awarded to</w:t>
      </w:r>
      <w:r w:rsidR="00C4619D" w:rsidRPr="00115029">
        <w:rPr>
          <w:rFonts w:ascii="Aptos" w:hAnsi="Aptos" w:cs="Arial"/>
          <w:sz w:val="24"/>
          <w:szCs w:val="24"/>
        </w:rPr>
        <w:t xml:space="preserve"> </w:t>
      </w:r>
      <w:r w:rsidR="008C3008">
        <w:rPr>
          <w:rFonts w:ascii="Aptos" w:hAnsi="Aptos"/>
          <w:sz w:val="24"/>
          <w:szCs w:val="24"/>
        </w:rPr>
        <w:t>one</w:t>
      </w:r>
      <w:r w:rsidR="000907CE" w:rsidRPr="00115029">
        <w:rPr>
          <w:rFonts w:ascii="Aptos" w:hAnsi="Aptos" w:cs="Arial"/>
          <w:sz w:val="24"/>
          <w:szCs w:val="24"/>
        </w:rPr>
        <w:t xml:space="preserve"> </w:t>
      </w:r>
      <w:r w:rsidR="00C4619D" w:rsidRPr="00115029">
        <w:rPr>
          <w:rFonts w:ascii="Aptos" w:hAnsi="Aptos" w:cs="Arial"/>
          <w:sz w:val="24"/>
          <w:szCs w:val="24"/>
        </w:rPr>
        <w:t>organization</w:t>
      </w:r>
      <w:r w:rsidRPr="00115029">
        <w:rPr>
          <w:rFonts w:ascii="Aptos" w:hAnsi="Aptos" w:cs="Arial"/>
          <w:sz w:val="24"/>
          <w:szCs w:val="24"/>
        </w:rPr>
        <w:t xml:space="preserve"> under the </w:t>
      </w:r>
      <w:r w:rsidR="008C3008">
        <w:rPr>
          <w:rFonts w:ascii="Aptos" w:hAnsi="Aptos"/>
          <w:sz w:val="24"/>
          <w:szCs w:val="24"/>
        </w:rPr>
        <w:t>Employment Pathways Technical Assistance</w:t>
      </w:r>
      <w:r w:rsidR="00A21B60" w:rsidRPr="00115029">
        <w:rPr>
          <w:rFonts w:ascii="Aptos" w:hAnsi="Aptos" w:cs="Arial"/>
          <w:sz w:val="24"/>
          <w:szCs w:val="24"/>
        </w:rPr>
        <w:t xml:space="preserve"> (</w:t>
      </w:r>
      <w:r w:rsidR="008C3008">
        <w:rPr>
          <w:rFonts w:ascii="Aptos" w:hAnsi="Aptos"/>
          <w:sz w:val="24"/>
          <w:szCs w:val="24"/>
        </w:rPr>
        <w:t>EPTA</w:t>
      </w:r>
      <w:r w:rsidR="00A21B60" w:rsidRPr="00115029">
        <w:rPr>
          <w:rFonts w:ascii="Aptos" w:hAnsi="Aptos" w:cs="Arial"/>
          <w:sz w:val="24"/>
          <w:szCs w:val="24"/>
        </w:rPr>
        <w:t>)</w:t>
      </w:r>
      <w:r w:rsidR="002C7F1D">
        <w:rPr>
          <w:rFonts w:ascii="Aptos" w:hAnsi="Aptos" w:cs="Arial"/>
          <w:sz w:val="24"/>
          <w:szCs w:val="24"/>
        </w:rPr>
        <w:t xml:space="preserve"> grant</w:t>
      </w:r>
      <w:r w:rsidRPr="00115029">
        <w:rPr>
          <w:rFonts w:ascii="Aptos" w:hAnsi="Aptos" w:cs="Arial"/>
          <w:sz w:val="24"/>
          <w:szCs w:val="24"/>
        </w:rPr>
        <w:t xml:space="preserve"> </w:t>
      </w:r>
      <w:r w:rsidR="007538F6" w:rsidRPr="00115029">
        <w:rPr>
          <w:rFonts w:ascii="Aptos" w:hAnsi="Aptos" w:cs="Arial"/>
          <w:sz w:val="24"/>
          <w:szCs w:val="24"/>
        </w:rPr>
        <w:t xml:space="preserve">for Program </w:t>
      </w:r>
      <w:r w:rsidRPr="00115029">
        <w:rPr>
          <w:rFonts w:ascii="Aptos" w:hAnsi="Aptos" w:cs="Arial"/>
          <w:sz w:val="24"/>
          <w:szCs w:val="24"/>
        </w:rPr>
        <w:t xml:space="preserve">Year (PY) </w:t>
      </w:r>
      <w:r w:rsidR="008C3008">
        <w:rPr>
          <w:rFonts w:ascii="Aptos" w:hAnsi="Aptos"/>
          <w:sz w:val="24"/>
          <w:szCs w:val="24"/>
        </w:rPr>
        <w:t>2025-26</w:t>
      </w:r>
      <w:r w:rsidR="00E81F29" w:rsidRPr="00115029">
        <w:rPr>
          <w:rFonts w:ascii="Aptos" w:hAnsi="Aptos"/>
          <w:sz w:val="24"/>
          <w:szCs w:val="24"/>
        </w:rPr>
        <w:t xml:space="preserve"> </w:t>
      </w:r>
      <w:r w:rsidR="00C4619D" w:rsidRPr="00115029">
        <w:rPr>
          <w:rFonts w:ascii="Aptos" w:hAnsi="Aptos" w:cs="Arial"/>
          <w:sz w:val="24"/>
          <w:szCs w:val="24"/>
        </w:rPr>
        <w:t>Solic</w:t>
      </w:r>
      <w:r w:rsidRPr="00115029">
        <w:rPr>
          <w:rFonts w:ascii="Aptos" w:hAnsi="Aptos" w:cs="Arial"/>
          <w:sz w:val="24"/>
          <w:szCs w:val="24"/>
        </w:rPr>
        <w:t xml:space="preserve">itation for Proposals. </w:t>
      </w:r>
      <w:r w:rsidR="008C3008">
        <w:rPr>
          <w:rFonts w:ascii="Aptos" w:hAnsi="Aptos" w:cs="Arial"/>
          <w:sz w:val="24"/>
          <w:szCs w:val="24"/>
        </w:rPr>
        <w:t>The a</w:t>
      </w:r>
      <w:r w:rsidRPr="00115029">
        <w:rPr>
          <w:rFonts w:ascii="Aptos" w:hAnsi="Aptos" w:cs="Arial"/>
          <w:sz w:val="24"/>
          <w:szCs w:val="24"/>
        </w:rPr>
        <w:t>warde</w:t>
      </w:r>
      <w:r w:rsidR="00035872">
        <w:rPr>
          <w:rFonts w:ascii="Aptos" w:hAnsi="Aptos" w:cs="Arial"/>
          <w:sz w:val="24"/>
          <w:szCs w:val="24"/>
        </w:rPr>
        <w:t>d</w:t>
      </w:r>
      <w:r w:rsidRPr="00115029">
        <w:rPr>
          <w:rFonts w:ascii="Aptos" w:hAnsi="Aptos" w:cs="Arial"/>
          <w:sz w:val="24"/>
          <w:szCs w:val="24"/>
        </w:rPr>
        <w:t xml:space="preserve"> project and p</w:t>
      </w:r>
      <w:r w:rsidR="00C4619D" w:rsidRPr="00115029">
        <w:rPr>
          <w:rFonts w:ascii="Aptos" w:hAnsi="Aptos" w:cs="Arial"/>
          <w:sz w:val="24"/>
          <w:szCs w:val="24"/>
        </w:rPr>
        <w:t>roject summar</w:t>
      </w:r>
      <w:r w:rsidR="008C3008">
        <w:rPr>
          <w:rFonts w:ascii="Aptos" w:hAnsi="Aptos" w:cs="Arial"/>
          <w:sz w:val="24"/>
          <w:szCs w:val="24"/>
        </w:rPr>
        <w:t>y</w:t>
      </w:r>
      <w:r w:rsidR="00C4619D" w:rsidRPr="00115029">
        <w:rPr>
          <w:rFonts w:ascii="Aptos" w:hAnsi="Aptos" w:cs="Arial"/>
          <w:sz w:val="24"/>
          <w:szCs w:val="24"/>
        </w:rPr>
        <w:t xml:space="preserve"> </w:t>
      </w:r>
      <w:r w:rsidR="007636FC">
        <w:rPr>
          <w:rFonts w:ascii="Aptos" w:hAnsi="Aptos" w:cs="Arial"/>
          <w:sz w:val="24"/>
          <w:szCs w:val="24"/>
        </w:rPr>
        <w:t>are</w:t>
      </w:r>
      <w:r w:rsidR="00C4619D" w:rsidRPr="00115029">
        <w:rPr>
          <w:rFonts w:ascii="Aptos" w:hAnsi="Aptos" w:cs="Arial"/>
          <w:sz w:val="24"/>
          <w:szCs w:val="24"/>
        </w:rPr>
        <w:t xml:space="preserve"> listed below. </w:t>
      </w:r>
      <w:r w:rsidR="002A49F5" w:rsidRPr="00115029">
        <w:rPr>
          <w:rFonts w:ascii="Aptos" w:hAnsi="Aptos" w:cs="Arial"/>
          <w:sz w:val="24"/>
          <w:szCs w:val="24"/>
        </w:rPr>
        <w:t>Funding</w:t>
      </w:r>
      <w:r w:rsidR="00C4619D" w:rsidRPr="00115029">
        <w:rPr>
          <w:rFonts w:ascii="Aptos" w:hAnsi="Aptos" w:cs="Arial"/>
          <w:sz w:val="24"/>
          <w:szCs w:val="24"/>
        </w:rPr>
        <w:t xml:space="preserve"> decisions are final.</w:t>
      </w:r>
    </w:p>
    <w:p w14:paraId="2A7B1A58" w14:textId="34C2F304" w:rsidR="00C4619D" w:rsidRPr="00115029" w:rsidRDefault="00CE79FB" w:rsidP="00C246E9">
      <w:pPr>
        <w:pStyle w:val="Heading2"/>
        <w:rPr>
          <w:rFonts w:ascii="Aptos" w:hAnsi="Aptos"/>
          <w:sz w:val="24"/>
          <w:szCs w:val="24"/>
        </w:rPr>
      </w:pPr>
      <w:r w:rsidRPr="00115029">
        <w:rPr>
          <w:rFonts w:ascii="Aptos" w:hAnsi="Aptos"/>
          <w:sz w:val="24"/>
          <w:szCs w:val="24"/>
        </w:rPr>
        <w:t>Award</w:t>
      </w:r>
      <w:r w:rsidR="00340557" w:rsidRPr="00115029">
        <w:rPr>
          <w:rFonts w:ascii="Aptos" w:hAnsi="Aptos"/>
          <w:sz w:val="24"/>
          <w:szCs w:val="24"/>
        </w:rPr>
        <w:t xml:space="preserve"> List</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0"/>
        <w:gridCol w:w="1980"/>
        <w:gridCol w:w="1980"/>
      </w:tblGrid>
      <w:tr w:rsidR="00F9480C" w:rsidRPr="00115029" w14:paraId="2A7B1A5C" w14:textId="77777777" w:rsidTr="0071078A">
        <w:trPr>
          <w:trHeight w:val="432"/>
        </w:trPr>
        <w:tc>
          <w:tcPr>
            <w:tcW w:w="531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A7B1A59" w14:textId="753BE57C" w:rsidR="00F9480C" w:rsidRPr="00115029" w:rsidRDefault="00340557" w:rsidP="003A6798">
            <w:pPr>
              <w:pStyle w:val="Default"/>
              <w:jc w:val="center"/>
              <w:rPr>
                <w:rFonts w:ascii="Aptos" w:hAnsi="Aptos"/>
                <w:b/>
                <w:bCs/>
              </w:rPr>
            </w:pPr>
            <w:r w:rsidRPr="00115029">
              <w:rPr>
                <w:rFonts w:ascii="Aptos" w:hAnsi="Aptos"/>
                <w:b/>
                <w:bCs/>
              </w:rPr>
              <w:t>A</w:t>
            </w:r>
            <w:r w:rsidR="0090282A">
              <w:rPr>
                <w:rFonts w:ascii="Aptos" w:hAnsi="Aptos"/>
                <w:b/>
                <w:bCs/>
              </w:rPr>
              <w:t>wardee</w:t>
            </w: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A7B1A5A" w14:textId="2D9E0AAA" w:rsidR="00F9480C" w:rsidRPr="00115029" w:rsidRDefault="00340557" w:rsidP="003A6798">
            <w:pPr>
              <w:pStyle w:val="Default"/>
              <w:jc w:val="center"/>
              <w:rPr>
                <w:rFonts w:ascii="Aptos" w:hAnsi="Aptos"/>
                <w:b/>
                <w:bCs/>
              </w:rPr>
            </w:pPr>
            <w:r w:rsidRPr="00115029">
              <w:rPr>
                <w:rFonts w:ascii="Aptos" w:hAnsi="Aptos"/>
                <w:b/>
                <w:bCs/>
              </w:rPr>
              <w:t>County</w:t>
            </w: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A7B1A5B" w14:textId="6C457329" w:rsidR="00F9480C" w:rsidRPr="00115029" w:rsidRDefault="00340557" w:rsidP="003A6798">
            <w:pPr>
              <w:pStyle w:val="Default"/>
              <w:jc w:val="center"/>
              <w:rPr>
                <w:rFonts w:ascii="Aptos" w:hAnsi="Aptos"/>
                <w:b/>
              </w:rPr>
            </w:pPr>
            <w:r w:rsidRPr="00115029">
              <w:rPr>
                <w:rFonts w:ascii="Aptos" w:hAnsi="Aptos"/>
                <w:b/>
              </w:rPr>
              <w:t>Award</w:t>
            </w:r>
          </w:p>
        </w:tc>
      </w:tr>
      <w:tr w:rsidR="00F9480C" w:rsidRPr="00115029" w14:paraId="2A7B1A60" w14:textId="77777777" w:rsidTr="0090282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2A7B1A5D" w14:textId="1C01EDF7" w:rsidR="00F9480C" w:rsidRPr="00115029" w:rsidRDefault="00035872" w:rsidP="0090282A">
            <w:pPr>
              <w:pStyle w:val="Default"/>
              <w:jc w:val="center"/>
              <w:rPr>
                <w:rFonts w:ascii="Aptos" w:hAnsi="Aptos"/>
                <w:bCs/>
              </w:rPr>
            </w:pPr>
            <w:r>
              <w:rPr>
                <w:rFonts w:ascii="Aptos" w:hAnsi="Aptos"/>
              </w:rPr>
              <w:t>Jobs for the Future</w:t>
            </w:r>
          </w:p>
        </w:tc>
        <w:tc>
          <w:tcPr>
            <w:tcW w:w="1980" w:type="dxa"/>
            <w:tcBorders>
              <w:top w:val="single" w:sz="4" w:space="0" w:color="auto"/>
              <w:left w:val="single" w:sz="4" w:space="0" w:color="auto"/>
              <w:bottom w:val="single" w:sz="4" w:space="0" w:color="auto"/>
              <w:right w:val="single" w:sz="4" w:space="0" w:color="auto"/>
            </w:tcBorders>
            <w:vAlign w:val="center"/>
          </w:tcPr>
          <w:p w14:paraId="2A7B1A5E" w14:textId="74695016" w:rsidR="00F9480C" w:rsidRPr="00115029" w:rsidRDefault="008C3008" w:rsidP="003A6798">
            <w:pPr>
              <w:pStyle w:val="Default"/>
              <w:jc w:val="center"/>
              <w:rPr>
                <w:rFonts w:ascii="Aptos" w:hAnsi="Aptos"/>
                <w:bCs/>
              </w:rPr>
            </w:pPr>
            <w:r>
              <w:rPr>
                <w:rFonts w:ascii="Aptos" w:hAnsi="Aptos"/>
              </w:rPr>
              <w:t>Statewide</w:t>
            </w:r>
          </w:p>
        </w:tc>
        <w:tc>
          <w:tcPr>
            <w:tcW w:w="1980" w:type="dxa"/>
            <w:tcBorders>
              <w:top w:val="single" w:sz="4" w:space="0" w:color="auto"/>
              <w:left w:val="single" w:sz="4" w:space="0" w:color="auto"/>
              <w:bottom w:val="single" w:sz="4" w:space="0" w:color="auto"/>
              <w:right w:val="single" w:sz="4" w:space="0" w:color="auto"/>
            </w:tcBorders>
            <w:vAlign w:val="center"/>
          </w:tcPr>
          <w:p w14:paraId="2A7B1A5F" w14:textId="680DCD68" w:rsidR="00F9480C" w:rsidRPr="00115029" w:rsidRDefault="008C3008" w:rsidP="003A6798">
            <w:pPr>
              <w:pStyle w:val="Default"/>
              <w:jc w:val="center"/>
              <w:rPr>
                <w:rFonts w:ascii="Aptos" w:hAnsi="Aptos"/>
              </w:rPr>
            </w:pPr>
            <w:r>
              <w:rPr>
                <w:rFonts w:ascii="Aptos" w:hAnsi="Aptos"/>
              </w:rPr>
              <w:t>$1,500,000.00</w:t>
            </w:r>
          </w:p>
        </w:tc>
      </w:tr>
    </w:tbl>
    <w:p w14:paraId="2A7B1A65" w14:textId="77777777" w:rsidR="004D4E7D" w:rsidRPr="00115029" w:rsidRDefault="004D4E7D" w:rsidP="00C4619D">
      <w:pPr>
        <w:spacing w:after="0" w:line="240" w:lineRule="auto"/>
        <w:rPr>
          <w:rFonts w:ascii="Aptos" w:hAnsi="Aptos" w:cs="Arial"/>
          <w:b/>
          <w:sz w:val="24"/>
          <w:szCs w:val="24"/>
        </w:rPr>
      </w:pPr>
    </w:p>
    <w:p w14:paraId="2A7B1A68" w14:textId="77777777" w:rsidR="003A6798" w:rsidRPr="00115029" w:rsidRDefault="003A6798">
      <w:pPr>
        <w:rPr>
          <w:rFonts w:ascii="Aptos" w:hAnsi="Aptos"/>
          <w:sz w:val="24"/>
          <w:szCs w:val="24"/>
        </w:rPr>
      </w:pPr>
      <w:r w:rsidRPr="00115029">
        <w:rPr>
          <w:rFonts w:ascii="Aptos" w:hAnsi="Aptos"/>
          <w:sz w:val="24"/>
          <w:szCs w:val="24"/>
        </w:rPr>
        <w:br w:type="page"/>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4619D" w:rsidRPr="00A32E33" w14:paraId="2A7B1A6A" w14:textId="77777777" w:rsidTr="0071078A">
        <w:tc>
          <w:tcPr>
            <w:tcW w:w="9350" w:type="dxa"/>
          </w:tcPr>
          <w:p w14:paraId="2A7B1A69" w14:textId="1E79633A" w:rsidR="00C4619D" w:rsidRPr="00A32E33" w:rsidRDefault="0071078A" w:rsidP="00C246E9">
            <w:pPr>
              <w:pStyle w:val="Heading2"/>
              <w:rPr>
                <w:rFonts w:ascii="Aptos" w:hAnsi="Aptos"/>
                <w:szCs w:val="28"/>
              </w:rPr>
            </w:pPr>
            <w:r w:rsidRPr="00A32E33">
              <w:rPr>
                <w:rFonts w:ascii="Aptos" w:hAnsi="Aptos"/>
                <w:szCs w:val="28"/>
              </w:rPr>
              <w:t>Project Summar</w:t>
            </w:r>
            <w:r w:rsidR="00194A2D">
              <w:rPr>
                <w:rFonts w:ascii="Aptos" w:hAnsi="Aptos"/>
                <w:szCs w:val="28"/>
              </w:rPr>
              <w:t>y</w:t>
            </w:r>
          </w:p>
        </w:tc>
      </w:tr>
    </w:tbl>
    <w:p w14:paraId="576979A8" w14:textId="2F9C4C84" w:rsidR="00EF4E2D" w:rsidRPr="00A32E33" w:rsidRDefault="00EF4E2D" w:rsidP="00C4619D">
      <w:pPr>
        <w:spacing w:after="0" w:line="240" w:lineRule="auto"/>
        <w:rPr>
          <w:rFonts w:ascii="Aptos" w:hAnsi="Aptos" w:cs="Arial"/>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C4619D" w:rsidRPr="00115029" w14:paraId="2A7B1A70" w14:textId="77777777" w:rsidTr="007538F6">
        <w:tc>
          <w:tcPr>
            <w:tcW w:w="1975" w:type="dxa"/>
          </w:tcPr>
          <w:p w14:paraId="2A7B1A6C" w14:textId="0E7F4D88" w:rsidR="00C4619D" w:rsidRPr="00115029" w:rsidRDefault="00C4619D" w:rsidP="00B37BB7">
            <w:pPr>
              <w:rPr>
                <w:rFonts w:ascii="Aptos" w:hAnsi="Aptos" w:cs="Arial"/>
                <w:b/>
                <w:sz w:val="24"/>
                <w:szCs w:val="24"/>
              </w:rPr>
            </w:pPr>
            <w:r w:rsidRPr="00115029">
              <w:rPr>
                <w:rFonts w:ascii="Aptos" w:hAnsi="Aptos" w:cs="Arial"/>
                <w:b/>
                <w:sz w:val="24"/>
                <w:szCs w:val="24"/>
              </w:rPr>
              <w:t>A</w:t>
            </w:r>
            <w:r w:rsidR="0018005F">
              <w:rPr>
                <w:rFonts w:ascii="Aptos" w:hAnsi="Aptos" w:cs="Arial"/>
                <w:b/>
                <w:sz w:val="24"/>
                <w:szCs w:val="24"/>
              </w:rPr>
              <w:t>wardee</w:t>
            </w:r>
          </w:p>
        </w:tc>
        <w:tc>
          <w:tcPr>
            <w:tcW w:w="7375" w:type="dxa"/>
          </w:tcPr>
          <w:p w14:paraId="2A7B1A6D" w14:textId="7B0C0C3A" w:rsidR="00E81F29" w:rsidRPr="00115029" w:rsidRDefault="00035872" w:rsidP="007538F6">
            <w:pPr>
              <w:rPr>
                <w:rFonts w:ascii="Aptos" w:hAnsi="Aptos" w:cs="Arial"/>
                <w:sz w:val="24"/>
                <w:szCs w:val="24"/>
              </w:rPr>
            </w:pPr>
            <w:r>
              <w:rPr>
                <w:rFonts w:ascii="Aptos" w:hAnsi="Aptos"/>
                <w:b/>
                <w:sz w:val="24"/>
                <w:szCs w:val="24"/>
              </w:rPr>
              <w:t>Jobs for the Future</w:t>
            </w:r>
          </w:p>
          <w:p w14:paraId="2A7B1A6E" w14:textId="7ADF16C2" w:rsidR="00C4619D" w:rsidRDefault="00035872" w:rsidP="007538F6">
            <w:pPr>
              <w:rPr>
                <w:rFonts w:ascii="Aptos" w:hAnsi="Aptos"/>
                <w:sz w:val="24"/>
                <w:szCs w:val="24"/>
              </w:rPr>
            </w:pPr>
            <w:r>
              <w:rPr>
                <w:rFonts w:ascii="Aptos" w:hAnsi="Aptos"/>
                <w:sz w:val="24"/>
                <w:szCs w:val="24"/>
              </w:rPr>
              <w:t>180 Grand Avenue #1325</w:t>
            </w:r>
          </w:p>
          <w:p w14:paraId="3B3CF7BD" w14:textId="5EEB8AA7" w:rsidR="00035872" w:rsidRPr="00115029" w:rsidRDefault="00035872" w:rsidP="007538F6">
            <w:pPr>
              <w:rPr>
                <w:rFonts w:ascii="Aptos" w:hAnsi="Aptos" w:cs="Arial"/>
                <w:sz w:val="24"/>
                <w:szCs w:val="24"/>
              </w:rPr>
            </w:pPr>
            <w:r>
              <w:rPr>
                <w:rFonts w:ascii="Aptos" w:hAnsi="Aptos" w:cs="Arial"/>
                <w:sz w:val="24"/>
                <w:szCs w:val="24"/>
              </w:rPr>
              <w:t>Oakland, CA 94612</w:t>
            </w:r>
          </w:p>
          <w:p w14:paraId="2A7B1A6F" w14:textId="77777777" w:rsidR="005E57E5" w:rsidRPr="00115029" w:rsidRDefault="005E57E5" w:rsidP="007538F6">
            <w:pPr>
              <w:rPr>
                <w:rFonts w:ascii="Aptos" w:hAnsi="Aptos" w:cs="Arial"/>
                <w:sz w:val="24"/>
                <w:szCs w:val="24"/>
              </w:rPr>
            </w:pPr>
          </w:p>
        </w:tc>
      </w:tr>
      <w:tr w:rsidR="00C4619D" w:rsidRPr="00115029" w14:paraId="2A7B1A76" w14:textId="77777777" w:rsidTr="007538F6">
        <w:tc>
          <w:tcPr>
            <w:tcW w:w="1975" w:type="dxa"/>
          </w:tcPr>
          <w:p w14:paraId="2A7B1A71" w14:textId="0E65436F" w:rsidR="00C4619D" w:rsidRPr="00115029" w:rsidRDefault="00C4619D" w:rsidP="00B37BB7">
            <w:pPr>
              <w:rPr>
                <w:rFonts w:ascii="Aptos" w:hAnsi="Aptos" w:cs="Arial"/>
                <w:b/>
                <w:sz w:val="24"/>
                <w:szCs w:val="24"/>
              </w:rPr>
            </w:pPr>
            <w:r w:rsidRPr="00115029">
              <w:rPr>
                <w:rFonts w:ascii="Aptos" w:hAnsi="Aptos" w:cs="Arial"/>
                <w:b/>
                <w:sz w:val="24"/>
                <w:szCs w:val="24"/>
              </w:rPr>
              <w:t>C</w:t>
            </w:r>
            <w:r w:rsidR="00157D1F" w:rsidRPr="00115029">
              <w:rPr>
                <w:rFonts w:ascii="Aptos" w:hAnsi="Aptos" w:cs="Arial"/>
                <w:b/>
                <w:sz w:val="24"/>
                <w:szCs w:val="24"/>
              </w:rPr>
              <w:t>ontact</w:t>
            </w:r>
          </w:p>
        </w:tc>
        <w:tc>
          <w:tcPr>
            <w:tcW w:w="7375" w:type="dxa"/>
          </w:tcPr>
          <w:p w14:paraId="2A7B1A72" w14:textId="68B10B97" w:rsidR="005C4514" w:rsidRPr="00115029" w:rsidRDefault="00035872" w:rsidP="007538F6">
            <w:pPr>
              <w:rPr>
                <w:rFonts w:ascii="Aptos" w:hAnsi="Aptos"/>
                <w:sz w:val="24"/>
                <w:szCs w:val="24"/>
              </w:rPr>
            </w:pPr>
            <w:r>
              <w:rPr>
                <w:rFonts w:ascii="Aptos" w:hAnsi="Aptos"/>
                <w:sz w:val="24"/>
                <w:szCs w:val="24"/>
              </w:rPr>
              <w:t>Parina Parikh</w:t>
            </w:r>
          </w:p>
          <w:p w14:paraId="2A7B1A73" w14:textId="1B1A6EDC" w:rsidR="00E81F29" w:rsidRPr="00115029" w:rsidRDefault="00357038" w:rsidP="007538F6">
            <w:pPr>
              <w:rPr>
                <w:rFonts w:ascii="Aptos" w:hAnsi="Aptos"/>
                <w:sz w:val="24"/>
                <w:szCs w:val="24"/>
              </w:rPr>
            </w:pPr>
            <w:r>
              <w:rPr>
                <w:rFonts w:ascii="Aptos" w:hAnsi="Aptos"/>
                <w:sz w:val="24"/>
                <w:szCs w:val="24"/>
              </w:rPr>
              <w:t>1-</w:t>
            </w:r>
            <w:r w:rsidR="00035872">
              <w:rPr>
                <w:rFonts w:ascii="Aptos" w:hAnsi="Aptos"/>
                <w:sz w:val="24"/>
                <w:szCs w:val="24"/>
              </w:rPr>
              <w:t>617</w:t>
            </w:r>
            <w:r>
              <w:rPr>
                <w:rFonts w:ascii="Aptos" w:hAnsi="Aptos"/>
                <w:sz w:val="24"/>
                <w:szCs w:val="24"/>
              </w:rPr>
              <w:t>-</w:t>
            </w:r>
            <w:r w:rsidR="00035872">
              <w:rPr>
                <w:rFonts w:ascii="Aptos" w:hAnsi="Aptos"/>
                <w:sz w:val="24"/>
                <w:szCs w:val="24"/>
              </w:rPr>
              <w:t>728-4446</w:t>
            </w:r>
          </w:p>
          <w:p w14:paraId="2A7B1A74" w14:textId="4C53A3BD" w:rsidR="005C4514" w:rsidRPr="00115029" w:rsidRDefault="00035872" w:rsidP="007538F6">
            <w:pPr>
              <w:rPr>
                <w:rFonts w:ascii="Aptos" w:hAnsi="Aptos"/>
                <w:sz w:val="24"/>
                <w:szCs w:val="24"/>
              </w:rPr>
            </w:pPr>
            <w:r>
              <w:rPr>
                <w:rFonts w:ascii="Aptos" w:hAnsi="Aptos"/>
                <w:sz w:val="24"/>
                <w:szCs w:val="24"/>
              </w:rPr>
              <w:t>pparikh@jff.org</w:t>
            </w:r>
          </w:p>
          <w:p w14:paraId="2A7B1A75" w14:textId="77777777" w:rsidR="005C4514" w:rsidRPr="00115029" w:rsidRDefault="005C4514" w:rsidP="007538F6">
            <w:pPr>
              <w:rPr>
                <w:rFonts w:ascii="Aptos" w:hAnsi="Aptos" w:cs="Arial"/>
                <w:sz w:val="24"/>
                <w:szCs w:val="24"/>
              </w:rPr>
            </w:pPr>
          </w:p>
        </w:tc>
      </w:tr>
      <w:tr w:rsidR="00C4619D" w:rsidRPr="00115029" w14:paraId="2A7B1A79" w14:textId="77777777" w:rsidTr="007538F6">
        <w:trPr>
          <w:trHeight w:val="432"/>
        </w:trPr>
        <w:tc>
          <w:tcPr>
            <w:tcW w:w="1975" w:type="dxa"/>
          </w:tcPr>
          <w:p w14:paraId="2A7B1A77" w14:textId="6CB8584B" w:rsidR="00C4619D" w:rsidRPr="00115029" w:rsidRDefault="00C4619D" w:rsidP="00B37BB7">
            <w:pPr>
              <w:rPr>
                <w:rFonts w:ascii="Aptos" w:hAnsi="Aptos" w:cs="Arial"/>
                <w:b/>
                <w:sz w:val="24"/>
                <w:szCs w:val="24"/>
              </w:rPr>
            </w:pPr>
            <w:r w:rsidRPr="00115029">
              <w:rPr>
                <w:rFonts w:ascii="Aptos" w:hAnsi="Aptos" w:cs="Arial"/>
                <w:b/>
                <w:sz w:val="24"/>
                <w:szCs w:val="24"/>
              </w:rPr>
              <w:t>A</w:t>
            </w:r>
            <w:r w:rsidR="00157D1F" w:rsidRPr="00115029">
              <w:rPr>
                <w:rFonts w:ascii="Aptos" w:hAnsi="Aptos" w:cs="Arial"/>
                <w:b/>
                <w:sz w:val="24"/>
                <w:szCs w:val="24"/>
              </w:rPr>
              <w:t>ward</w:t>
            </w:r>
          </w:p>
        </w:tc>
        <w:tc>
          <w:tcPr>
            <w:tcW w:w="7375" w:type="dxa"/>
          </w:tcPr>
          <w:p w14:paraId="2A7B1A78" w14:textId="474CF83B" w:rsidR="00C4619D" w:rsidRPr="00115029" w:rsidRDefault="00E81F29" w:rsidP="00E81F29">
            <w:pPr>
              <w:rPr>
                <w:rFonts w:ascii="Aptos" w:hAnsi="Aptos" w:cs="Arial"/>
                <w:sz w:val="24"/>
                <w:szCs w:val="24"/>
              </w:rPr>
            </w:pPr>
            <w:r w:rsidRPr="00115029">
              <w:rPr>
                <w:rFonts w:ascii="Aptos" w:hAnsi="Aptos" w:cs="Arial"/>
                <w:sz w:val="24"/>
                <w:szCs w:val="24"/>
              </w:rPr>
              <w:t>$</w:t>
            </w:r>
            <w:r w:rsidR="00194A2D">
              <w:rPr>
                <w:rFonts w:ascii="Aptos" w:hAnsi="Aptos"/>
                <w:sz w:val="24"/>
                <w:szCs w:val="24"/>
              </w:rPr>
              <w:t>1,500,000.00</w:t>
            </w:r>
          </w:p>
        </w:tc>
      </w:tr>
      <w:tr w:rsidR="00C4619D" w:rsidRPr="00115029" w14:paraId="2A7B1A7C" w14:textId="77777777" w:rsidTr="007538F6">
        <w:trPr>
          <w:trHeight w:val="567"/>
        </w:trPr>
        <w:tc>
          <w:tcPr>
            <w:tcW w:w="1975" w:type="dxa"/>
          </w:tcPr>
          <w:p w14:paraId="22849228" w14:textId="77777777" w:rsidR="00C4619D" w:rsidRDefault="00194A2D" w:rsidP="00B37BB7">
            <w:pPr>
              <w:rPr>
                <w:rFonts w:ascii="Aptos" w:hAnsi="Aptos" w:cs="Arial"/>
                <w:b/>
                <w:sz w:val="24"/>
                <w:szCs w:val="24"/>
              </w:rPr>
            </w:pPr>
            <w:r>
              <w:rPr>
                <w:rFonts w:ascii="Aptos" w:hAnsi="Aptos" w:cs="Arial"/>
                <w:b/>
                <w:sz w:val="24"/>
                <w:szCs w:val="24"/>
              </w:rPr>
              <w:t>Technical Assistance and Developmental Evaluation Plan</w:t>
            </w:r>
          </w:p>
          <w:p w14:paraId="2A7B1A7A" w14:textId="5DE1F79A" w:rsidR="00194A2D" w:rsidRPr="00115029" w:rsidRDefault="00194A2D" w:rsidP="00B37BB7">
            <w:pPr>
              <w:rPr>
                <w:rFonts w:ascii="Aptos" w:hAnsi="Aptos" w:cs="Arial"/>
                <w:b/>
                <w:sz w:val="24"/>
                <w:szCs w:val="24"/>
              </w:rPr>
            </w:pPr>
          </w:p>
        </w:tc>
        <w:tc>
          <w:tcPr>
            <w:tcW w:w="7375" w:type="dxa"/>
          </w:tcPr>
          <w:p w14:paraId="5D5FD04F" w14:textId="77777777" w:rsidR="00035872" w:rsidRDefault="00035872" w:rsidP="00E81F29">
            <w:pPr>
              <w:rPr>
                <w:rFonts w:ascii="Aptos" w:hAnsi="Aptos"/>
                <w:sz w:val="24"/>
                <w:szCs w:val="24"/>
              </w:rPr>
            </w:pPr>
            <w:r w:rsidRPr="00035872">
              <w:rPr>
                <w:rFonts w:ascii="Aptos" w:hAnsi="Aptos"/>
                <w:sz w:val="24"/>
                <w:szCs w:val="24"/>
              </w:rPr>
              <w:t xml:space="preserve">Jobs for the Future (JFF), in partnership with the International Rescue Committee (IRC) and Social Policy Research Associates (SPR), proposes to provide integrated technical assistance (TA) and developmental evaluation (DE) that will generate learning products, including interactive data dashboards, interim learning briefs, population-specific practice briefs, and a field-facing toolkit, to translate evidence and participant insights into practical guidance for programs serving populations facing systemic barriers. The project combines individualized coaching, population-specific learning labs, cross-cohort </w:t>
            </w:r>
            <w:proofErr w:type="gramStart"/>
            <w:r w:rsidRPr="00035872">
              <w:rPr>
                <w:rFonts w:ascii="Aptos" w:hAnsi="Aptos"/>
                <w:sz w:val="24"/>
                <w:szCs w:val="24"/>
              </w:rPr>
              <w:t>trainings</w:t>
            </w:r>
            <w:proofErr w:type="gramEnd"/>
            <w:r w:rsidRPr="00035872">
              <w:rPr>
                <w:rFonts w:ascii="Aptos" w:hAnsi="Aptos"/>
                <w:sz w:val="24"/>
                <w:szCs w:val="24"/>
              </w:rPr>
              <w:t>, and in-person convenings with a DE framework that balances local customization and participant voice with systemwide relevance. The project will also establish a Cross-Program Community of Practice (COP) of technical assistance (TA) providers that connects learning across major workforce initiatives, enhances alignment with state priorities, and generates shared resources and recommendations that strengthen California’s workforce development system.</w:t>
            </w:r>
          </w:p>
          <w:p w14:paraId="2A7B1A7B" w14:textId="3F8B4842" w:rsidR="00C4619D" w:rsidRPr="00115029" w:rsidRDefault="002A49F5" w:rsidP="00E81F29">
            <w:pPr>
              <w:rPr>
                <w:rFonts w:ascii="Aptos" w:hAnsi="Aptos" w:cs="Arial"/>
                <w:sz w:val="24"/>
                <w:szCs w:val="24"/>
              </w:rPr>
            </w:pPr>
            <w:r w:rsidRPr="00115029">
              <w:rPr>
                <w:rFonts w:ascii="Aptos" w:hAnsi="Aptos" w:cs="Arial"/>
                <w:sz w:val="24"/>
                <w:szCs w:val="24"/>
              </w:rPr>
              <w:t xml:space="preserve"> </w:t>
            </w:r>
          </w:p>
        </w:tc>
      </w:tr>
      <w:tr w:rsidR="00C4619D" w:rsidRPr="00115029" w14:paraId="2A7B1A81" w14:textId="77777777" w:rsidTr="007538F6">
        <w:tc>
          <w:tcPr>
            <w:tcW w:w="1975" w:type="dxa"/>
          </w:tcPr>
          <w:p w14:paraId="22783CF9" w14:textId="1694CA49" w:rsidR="00194A2D" w:rsidRDefault="00194A2D" w:rsidP="00B37BB7">
            <w:pPr>
              <w:rPr>
                <w:rFonts w:ascii="Aptos" w:hAnsi="Aptos" w:cs="Arial"/>
                <w:b/>
                <w:sz w:val="24"/>
                <w:szCs w:val="24"/>
              </w:rPr>
            </w:pPr>
            <w:r>
              <w:rPr>
                <w:rFonts w:ascii="Aptos" w:hAnsi="Aptos" w:cs="Arial"/>
                <w:b/>
                <w:sz w:val="24"/>
                <w:szCs w:val="24"/>
              </w:rPr>
              <w:t>Expertise Providing Technical Assistance and Developmental Evaluation</w:t>
            </w:r>
            <w:r w:rsidR="00157D1F" w:rsidRPr="00115029">
              <w:rPr>
                <w:rFonts w:ascii="Aptos" w:hAnsi="Aptos" w:cs="Arial"/>
                <w:b/>
                <w:sz w:val="24"/>
                <w:szCs w:val="24"/>
              </w:rPr>
              <w:t>s</w:t>
            </w:r>
          </w:p>
          <w:p w14:paraId="2A7B1A7E" w14:textId="77777777" w:rsidR="00194A2D" w:rsidRPr="00115029" w:rsidRDefault="00194A2D" w:rsidP="00B37BB7">
            <w:pPr>
              <w:rPr>
                <w:rFonts w:ascii="Aptos" w:hAnsi="Aptos" w:cs="Arial"/>
                <w:b/>
                <w:sz w:val="24"/>
                <w:szCs w:val="24"/>
              </w:rPr>
            </w:pPr>
          </w:p>
        </w:tc>
        <w:tc>
          <w:tcPr>
            <w:tcW w:w="7375" w:type="dxa"/>
          </w:tcPr>
          <w:p w14:paraId="2A7B1A7F" w14:textId="11A5ED5F" w:rsidR="007538F6" w:rsidRPr="00115029" w:rsidRDefault="00035872" w:rsidP="007538F6">
            <w:pPr>
              <w:rPr>
                <w:rFonts w:ascii="Aptos" w:hAnsi="Aptos" w:cs="Arial"/>
                <w:sz w:val="24"/>
                <w:szCs w:val="24"/>
              </w:rPr>
            </w:pPr>
            <w:r w:rsidRPr="00035872">
              <w:rPr>
                <w:rFonts w:ascii="Aptos" w:hAnsi="Aptos"/>
                <w:sz w:val="24"/>
                <w:szCs w:val="24"/>
              </w:rPr>
              <w:t>JFF and its partners bring decades of experience delivering large-scale TA and DE for workforce initiatives serving opportunity young adults, veterans, justice-involved individuals, English language learners, and other populations with barriers to employment. Together, they have designed and delivered population-specific coaching, peer learning communities, and data-driven evaluation support for initiatives such as the Farmworker Advancement Program and Equity Target Population Fund (JFF), and multiple English Language Learner workforce grants (IRC), with SPR leading mixed-methods developmental evaluations that translate case analysis, participant voice, and large administrative data sets, includ</w:t>
            </w:r>
            <w:r w:rsidR="00A04095">
              <w:rPr>
                <w:rFonts w:ascii="Aptos" w:hAnsi="Aptos"/>
                <w:sz w:val="24"/>
                <w:szCs w:val="24"/>
              </w:rPr>
              <w:t>ing</w:t>
            </w:r>
            <w:r w:rsidRPr="00035872">
              <w:rPr>
                <w:rFonts w:ascii="Aptos" w:hAnsi="Aptos"/>
                <w:sz w:val="24"/>
                <w:szCs w:val="24"/>
              </w:rPr>
              <w:t xml:space="preserve"> from the CalJOBS system, into clear, actionable guidance for practitioners and state partners. This team functions as integrated learning partners supporting data capacity building, inclusive program design, and adaptive implementation</w:t>
            </w:r>
            <w:r w:rsidR="00D11E67">
              <w:rPr>
                <w:rFonts w:ascii="Aptos" w:hAnsi="Aptos"/>
                <w:sz w:val="24"/>
                <w:szCs w:val="24"/>
              </w:rPr>
              <w:t>.</w:t>
            </w:r>
          </w:p>
          <w:p w14:paraId="2A7B1A80" w14:textId="77777777" w:rsidR="007538F6" w:rsidRPr="00115029" w:rsidRDefault="007538F6" w:rsidP="007538F6">
            <w:pPr>
              <w:rPr>
                <w:rFonts w:ascii="Aptos" w:hAnsi="Aptos" w:cs="Arial"/>
                <w:sz w:val="24"/>
                <w:szCs w:val="24"/>
              </w:rPr>
            </w:pPr>
          </w:p>
        </w:tc>
      </w:tr>
      <w:tr w:rsidR="00194A2D" w:rsidRPr="00115029" w14:paraId="5F7E97DC" w14:textId="77777777" w:rsidTr="00E24341">
        <w:tc>
          <w:tcPr>
            <w:tcW w:w="1975" w:type="dxa"/>
          </w:tcPr>
          <w:p w14:paraId="30EA2B8F" w14:textId="09CDC344" w:rsidR="00194A2D" w:rsidRPr="00115029" w:rsidRDefault="00194A2D" w:rsidP="00E24341">
            <w:pPr>
              <w:rPr>
                <w:rFonts w:ascii="Aptos" w:hAnsi="Aptos" w:cs="Arial"/>
                <w:b/>
                <w:sz w:val="24"/>
                <w:szCs w:val="24"/>
              </w:rPr>
            </w:pPr>
            <w:r>
              <w:rPr>
                <w:rFonts w:ascii="Aptos" w:hAnsi="Aptos" w:cs="Arial"/>
                <w:b/>
                <w:sz w:val="24"/>
                <w:szCs w:val="24"/>
              </w:rPr>
              <w:t>Service</w:t>
            </w:r>
            <w:r w:rsidRPr="00115029">
              <w:rPr>
                <w:rFonts w:ascii="Aptos" w:hAnsi="Aptos" w:cs="Arial"/>
                <w:b/>
                <w:sz w:val="24"/>
                <w:szCs w:val="24"/>
              </w:rPr>
              <w:t xml:space="preserve"> </w:t>
            </w:r>
            <w:r>
              <w:rPr>
                <w:rFonts w:ascii="Aptos" w:hAnsi="Aptos" w:cs="Arial"/>
                <w:b/>
                <w:sz w:val="24"/>
                <w:szCs w:val="24"/>
              </w:rPr>
              <w:t>Model</w:t>
            </w:r>
          </w:p>
        </w:tc>
        <w:tc>
          <w:tcPr>
            <w:tcW w:w="7375" w:type="dxa"/>
          </w:tcPr>
          <w:p w14:paraId="071502B1" w14:textId="77777777" w:rsidR="00035872" w:rsidRPr="00035872" w:rsidRDefault="00035872" w:rsidP="00035872">
            <w:pPr>
              <w:rPr>
                <w:rFonts w:ascii="Aptos" w:hAnsi="Aptos"/>
                <w:sz w:val="24"/>
                <w:szCs w:val="24"/>
              </w:rPr>
            </w:pPr>
            <w:r w:rsidRPr="00035872">
              <w:rPr>
                <w:rFonts w:ascii="Aptos" w:hAnsi="Aptos"/>
                <w:sz w:val="24"/>
                <w:szCs w:val="24"/>
              </w:rPr>
              <w:t>The TA model combines individualized, population-specific coaching with cross-cohort peer learning sessions, population-specific peer learning labs, and in-person convenings, ensuring differentiated support as well as leveraging cross-cutting strategies and shared problem-solving.</w:t>
            </w:r>
          </w:p>
          <w:p w14:paraId="4C150157" w14:textId="77777777" w:rsidR="00035872" w:rsidRPr="00035872" w:rsidRDefault="00035872" w:rsidP="00035872">
            <w:pPr>
              <w:rPr>
                <w:rFonts w:ascii="Aptos" w:hAnsi="Aptos"/>
                <w:sz w:val="24"/>
                <w:szCs w:val="24"/>
              </w:rPr>
            </w:pPr>
            <w:r w:rsidRPr="00035872">
              <w:rPr>
                <w:rFonts w:ascii="Aptos" w:hAnsi="Aptos"/>
                <w:sz w:val="24"/>
                <w:szCs w:val="24"/>
              </w:rPr>
              <w:t xml:space="preserve">Discovery calls and needs assessments will be used to co-design customized TA and evaluation plans for each grantee, and ongoing coaching calls will draw on CalJOBS data dashboards, interim evaluation findings, and qualitative feedback, adjusting both individual support and peer learning agendas as needed to meet outcomes. </w:t>
            </w:r>
          </w:p>
          <w:p w14:paraId="2295DFAC" w14:textId="343F869A" w:rsidR="00194A2D" w:rsidRPr="00115029" w:rsidRDefault="00035872" w:rsidP="00035872">
            <w:pPr>
              <w:rPr>
                <w:rFonts w:ascii="Aptos" w:hAnsi="Aptos"/>
                <w:sz w:val="24"/>
                <w:szCs w:val="24"/>
              </w:rPr>
            </w:pPr>
            <w:r w:rsidRPr="00035872">
              <w:rPr>
                <w:rFonts w:ascii="Aptos" w:hAnsi="Aptos"/>
                <w:sz w:val="24"/>
                <w:szCs w:val="24"/>
              </w:rPr>
              <w:t>The Cross-Program COP of TA Providers will include quarterly convenings (virtual, with the option for one in-person session), leveraging accessible digital learning tools and strategies for highly interactive virtual facilitation, such as polls, collaborating note-taking, and virtual whiteboarding tools, as well as a regular Cross-Program COP Newsletter.</w:t>
            </w:r>
          </w:p>
          <w:p w14:paraId="6AB29157" w14:textId="77777777" w:rsidR="00194A2D" w:rsidRPr="00115029" w:rsidRDefault="00194A2D" w:rsidP="00E24341">
            <w:pPr>
              <w:rPr>
                <w:rFonts w:ascii="Aptos" w:hAnsi="Aptos" w:cs="Arial"/>
                <w:sz w:val="24"/>
                <w:szCs w:val="24"/>
              </w:rPr>
            </w:pPr>
          </w:p>
        </w:tc>
      </w:tr>
      <w:tr w:rsidR="00C4619D" w:rsidRPr="00115029" w14:paraId="2A7B1A85" w14:textId="77777777" w:rsidTr="007538F6">
        <w:tc>
          <w:tcPr>
            <w:tcW w:w="1975" w:type="dxa"/>
          </w:tcPr>
          <w:p w14:paraId="2A7B1A82" w14:textId="771C05EB" w:rsidR="00C4619D" w:rsidRPr="00115029" w:rsidRDefault="00C4619D" w:rsidP="00B37BB7">
            <w:pPr>
              <w:rPr>
                <w:rFonts w:ascii="Aptos" w:hAnsi="Aptos" w:cs="Arial"/>
                <w:b/>
                <w:sz w:val="24"/>
                <w:szCs w:val="24"/>
              </w:rPr>
            </w:pPr>
            <w:r w:rsidRPr="00115029">
              <w:rPr>
                <w:rFonts w:ascii="Aptos" w:hAnsi="Aptos" w:cs="Arial"/>
                <w:b/>
                <w:sz w:val="24"/>
                <w:szCs w:val="24"/>
              </w:rPr>
              <w:t>K</w:t>
            </w:r>
            <w:r w:rsidR="00157D1F" w:rsidRPr="00115029">
              <w:rPr>
                <w:rFonts w:ascii="Aptos" w:hAnsi="Aptos" w:cs="Arial"/>
                <w:b/>
                <w:sz w:val="24"/>
                <w:szCs w:val="24"/>
              </w:rPr>
              <w:t>ey Partners</w:t>
            </w:r>
          </w:p>
        </w:tc>
        <w:tc>
          <w:tcPr>
            <w:tcW w:w="7375" w:type="dxa"/>
          </w:tcPr>
          <w:p w14:paraId="2E4A19FA" w14:textId="5DCB72CB" w:rsidR="00035872" w:rsidRPr="00035872" w:rsidRDefault="00035872" w:rsidP="00035872">
            <w:pPr>
              <w:pStyle w:val="ListParagraph"/>
              <w:numPr>
                <w:ilvl w:val="0"/>
                <w:numId w:val="2"/>
              </w:numPr>
              <w:rPr>
                <w:rFonts w:ascii="Aptos" w:hAnsi="Aptos"/>
                <w:sz w:val="24"/>
                <w:szCs w:val="24"/>
              </w:rPr>
            </w:pPr>
            <w:r w:rsidRPr="00035872">
              <w:rPr>
                <w:rFonts w:ascii="Aptos" w:hAnsi="Aptos"/>
                <w:sz w:val="24"/>
                <w:szCs w:val="24"/>
              </w:rPr>
              <w:t xml:space="preserve">International Rescue Committee (IRC) </w:t>
            </w:r>
          </w:p>
          <w:p w14:paraId="2A7B1A83" w14:textId="5C92B1C7" w:rsidR="007538F6" w:rsidRPr="00035872" w:rsidRDefault="00035872" w:rsidP="00035872">
            <w:pPr>
              <w:pStyle w:val="ListParagraph"/>
              <w:numPr>
                <w:ilvl w:val="0"/>
                <w:numId w:val="2"/>
              </w:numPr>
              <w:rPr>
                <w:rFonts w:ascii="Aptos" w:hAnsi="Aptos"/>
                <w:sz w:val="24"/>
                <w:szCs w:val="24"/>
              </w:rPr>
            </w:pPr>
            <w:r w:rsidRPr="00035872">
              <w:rPr>
                <w:rFonts w:ascii="Aptos" w:hAnsi="Aptos"/>
                <w:sz w:val="24"/>
                <w:szCs w:val="24"/>
              </w:rPr>
              <w:t>Social Policy Research Associates (SPR)</w:t>
            </w:r>
          </w:p>
          <w:p w14:paraId="2A7B1A84" w14:textId="77777777" w:rsidR="00E81F29" w:rsidRPr="00115029" w:rsidRDefault="00E81F29" w:rsidP="007538F6">
            <w:pPr>
              <w:rPr>
                <w:rFonts w:ascii="Aptos" w:hAnsi="Aptos" w:cs="Arial"/>
                <w:sz w:val="24"/>
                <w:szCs w:val="24"/>
              </w:rPr>
            </w:pPr>
          </w:p>
        </w:tc>
      </w:tr>
      <w:tr w:rsidR="00C4619D" w:rsidRPr="00115029" w14:paraId="2A7B1A8A" w14:textId="77777777" w:rsidTr="007538F6">
        <w:tc>
          <w:tcPr>
            <w:tcW w:w="1975" w:type="dxa"/>
          </w:tcPr>
          <w:p w14:paraId="54AA3ADF" w14:textId="77777777" w:rsidR="00C4619D" w:rsidRDefault="00194A2D" w:rsidP="00B37BB7">
            <w:pPr>
              <w:rPr>
                <w:rFonts w:ascii="Aptos" w:hAnsi="Aptos" w:cs="Arial"/>
                <w:b/>
                <w:sz w:val="24"/>
                <w:szCs w:val="24"/>
              </w:rPr>
            </w:pPr>
            <w:r>
              <w:rPr>
                <w:rFonts w:ascii="Aptos" w:hAnsi="Aptos" w:cs="Arial"/>
                <w:b/>
                <w:sz w:val="24"/>
                <w:szCs w:val="24"/>
              </w:rPr>
              <w:t>Key Goal Measurement Methodology</w:t>
            </w:r>
          </w:p>
          <w:p w14:paraId="2A7B1A86" w14:textId="513CF56B" w:rsidR="00194A2D" w:rsidRPr="00115029" w:rsidRDefault="00194A2D" w:rsidP="00B37BB7">
            <w:pPr>
              <w:rPr>
                <w:rFonts w:ascii="Aptos" w:hAnsi="Aptos" w:cs="Arial"/>
                <w:b/>
                <w:sz w:val="24"/>
                <w:szCs w:val="24"/>
              </w:rPr>
            </w:pPr>
          </w:p>
        </w:tc>
        <w:tc>
          <w:tcPr>
            <w:tcW w:w="7375" w:type="dxa"/>
          </w:tcPr>
          <w:p w14:paraId="316DF894" w14:textId="61E89F98" w:rsidR="00035872" w:rsidRPr="00035872" w:rsidRDefault="00035872" w:rsidP="00035872">
            <w:pPr>
              <w:rPr>
                <w:rFonts w:ascii="Aptos" w:hAnsi="Aptos"/>
                <w:sz w:val="24"/>
                <w:szCs w:val="24"/>
              </w:rPr>
            </w:pPr>
            <w:r w:rsidRPr="00035872">
              <w:rPr>
                <w:rFonts w:ascii="Aptos" w:hAnsi="Aptos"/>
                <w:sz w:val="24"/>
                <w:szCs w:val="24"/>
              </w:rPr>
              <w:t>The TADE team will integrate state workforce administrative data (e.g., CalJOBS), grantee proposal exhibits, and narrative reports into interactive, quarterly performance dashboards. We will also conduct site visits with a purposive sample of grantees, including participant, employer, and partner interviews, and follow</w:t>
            </w:r>
            <w:r w:rsidR="00A04095">
              <w:rPr>
                <w:rFonts w:ascii="Aptos" w:hAnsi="Aptos"/>
                <w:sz w:val="24"/>
                <w:szCs w:val="24"/>
              </w:rPr>
              <w:t>-</w:t>
            </w:r>
            <w:r w:rsidRPr="00035872">
              <w:rPr>
                <w:rFonts w:ascii="Aptos" w:hAnsi="Aptos"/>
                <w:sz w:val="24"/>
                <w:szCs w:val="24"/>
              </w:rPr>
              <w:t>up phone interviews with all grantees, along with TA pulse surveys, integrating all data sources into recurring sense-making and reflection cycles that inform real-time adjustments, guide program improvement, and surface cross-program patterns and lessons.</w:t>
            </w:r>
          </w:p>
          <w:p w14:paraId="62E607C7" w14:textId="77777777" w:rsidR="00035872" w:rsidRPr="00035872" w:rsidRDefault="00035872" w:rsidP="00035872">
            <w:pPr>
              <w:rPr>
                <w:rFonts w:ascii="Aptos" w:hAnsi="Aptos"/>
                <w:sz w:val="24"/>
                <w:szCs w:val="24"/>
              </w:rPr>
            </w:pPr>
            <w:r w:rsidRPr="00035872">
              <w:rPr>
                <w:rFonts w:ascii="Aptos" w:hAnsi="Aptos"/>
                <w:sz w:val="24"/>
                <w:szCs w:val="24"/>
              </w:rPr>
              <w:t>Group TA activities will be documented through attendance logs, collaborative worksheets, and post-event surveys; individual coaching sessions will be documented using a note-taking protocol aligned with each grantee’s individualized evaluation plan.</w:t>
            </w:r>
          </w:p>
          <w:p w14:paraId="2DC5381C" w14:textId="54FADD79" w:rsidR="00035872" w:rsidRPr="00035872" w:rsidRDefault="00035872" w:rsidP="00035872">
            <w:pPr>
              <w:rPr>
                <w:rFonts w:ascii="Aptos" w:hAnsi="Aptos"/>
                <w:sz w:val="24"/>
                <w:szCs w:val="24"/>
              </w:rPr>
            </w:pPr>
            <w:r w:rsidRPr="00035872">
              <w:rPr>
                <w:rFonts w:ascii="Aptos" w:hAnsi="Aptos"/>
                <w:sz w:val="24"/>
                <w:szCs w:val="24"/>
              </w:rPr>
              <w:t>Baselines will be established using initial assessments, grantee proposals, and early CalJOBS data as well as grantees’ local data systems, resulting</w:t>
            </w:r>
            <w:r w:rsidR="00A04095">
              <w:rPr>
                <w:rFonts w:ascii="Aptos" w:hAnsi="Aptos"/>
                <w:sz w:val="24"/>
                <w:szCs w:val="24"/>
              </w:rPr>
              <w:t xml:space="preserve"> in</w:t>
            </w:r>
            <w:r w:rsidRPr="00035872">
              <w:rPr>
                <w:rFonts w:ascii="Aptos" w:hAnsi="Aptos"/>
                <w:sz w:val="24"/>
                <w:szCs w:val="24"/>
              </w:rPr>
              <w:t xml:space="preserve"> program-specific evaluation plans tailored to </w:t>
            </w:r>
            <w:r w:rsidR="00A04095">
              <w:rPr>
                <w:rFonts w:ascii="Aptos" w:hAnsi="Aptos"/>
                <w:sz w:val="24"/>
                <w:szCs w:val="24"/>
              </w:rPr>
              <w:t xml:space="preserve">the </w:t>
            </w:r>
            <w:r w:rsidRPr="00035872">
              <w:rPr>
                <w:rFonts w:ascii="Aptos" w:hAnsi="Aptos"/>
                <w:sz w:val="24"/>
                <w:szCs w:val="24"/>
              </w:rPr>
              <w:t>unique context and outcomes (e.g., strategies and custom indicators for specific priority populations like recidivism reduction for justice-involved populations).</w:t>
            </w:r>
          </w:p>
          <w:p w14:paraId="2A7B1A87" w14:textId="02064359" w:rsidR="007538F6" w:rsidRPr="00115029" w:rsidRDefault="00035872" w:rsidP="00035872">
            <w:pPr>
              <w:rPr>
                <w:rFonts w:ascii="Aptos" w:hAnsi="Aptos"/>
                <w:sz w:val="24"/>
                <w:szCs w:val="24"/>
              </w:rPr>
            </w:pPr>
            <w:r w:rsidRPr="00035872">
              <w:rPr>
                <w:rFonts w:ascii="Aptos" w:hAnsi="Aptos"/>
                <w:sz w:val="24"/>
                <w:szCs w:val="24"/>
              </w:rPr>
              <w:t>The CoP will convene quarterly and will draw on human-centered design methodologies, such as journey mapping, action planning, and peer consultancies for collaborative problem solving. Participants will identify shared challenges, emerging best practices, and guiding principles through small group breakouts and structured consensus-building workshops that distill areas of alignment and help disparate groups reach agreement on priorities.</w:t>
            </w:r>
          </w:p>
          <w:p w14:paraId="2A7B1A88" w14:textId="77777777" w:rsidR="00E81F29" w:rsidRPr="00115029" w:rsidRDefault="00E81F29" w:rsidP="007538F6">
            <w:pPr>
              <w:rPr>
                <w:rFonts w:ascii="Aptos" w:hAnsi="Aptos"/>
                <w:sz w:val="24"/>
                <w:szCs w:val="24"/>
              </w:rPr>
            </w:pPr>
          </w:p>
          <w:p w14:paraId="2A7B1A89" w14:textId="77777777" w:rsidR="00E81F29" w:rsidRPr="00115029" w:rsidRDefault="00E81F29" w:rsidP="007538F6">
            <w:pPr>
              <w:rPr>
                <w:rFonts w:ascii="Aptos" w:hAnsi="Aptos" w:cs="Arial"/>
                <w:sz w:val="24"/>
                <w:szCs w:val="24"/>
              </w:rPr>
            </w:pPr>
          </w:p>
        </w:tc>
      </w:tr>
      <w:tr w:rsidR="00C4619D" w:rsidRPr="00115029" w14:paraId="2A7B1A8D" w14:textId="77777777" w:rsidTr="007538F6">
        <w:tc>
          <w:tcPr>
            <w:tcW w:w="1975" w:type="dxa"/>
          </w:tcPr>
          <w:p w14:paraId="2A7B1A8B" w14:textId="53F2E7C3" w:rsidR="00C4619D" w:rsidRPr="00115029" w:rsidRDefault="00194A2D" w:rsidP="00B37BB7">
            <w:pPr>
              <w:rPr>
                <w:rFonts w:ascii="Aptos" w:hAnsi="Aptos" w:cs="Arial"/>
                <w:b/>
                <w:sz w:val="24"/>
                <w:szCs w:val="24"/>
              </w:rPr>
            </w:pPr>
            <w:r>
              <w:rPr>
                <w:rFonts w:ascii="Aptos" w:hAnsi="Aptos" w:cs="Arial"/>
                <w:b/>
                <w:sz w:val="24"/>
                <w:szCs w:val="24"/>
              </w:rPr>
              <w:t>Propos</w:t>
            </w:r>
            <w:r w:rsidR="00157D1F" w:rsidRPr="00115029">
              <w:rPr>
                <w:rFonts w:ascii="Aptos" w:hAnsi="Aptos" w:cs="Arial"/>
                <w:b/>
                <w:sz w:val="24"/>
                <w:szCs w:val="24"/>
              </w:rPr>
              <w:t>ed Outcomes</w:t>
            </w:r>
          </w:p>
        </w:tc>
        <w:tc>
          <w:tcPr>
            <w:tcW w:w="7375" w:type="dxa"/>
          </w:tcPr>
          <w:p w14:paraId="2A7B1A8C" w14:textId="1C0F4DF6" w:rsidR="00C4619D" w:rsidRPr="00115029" w:rsidRDefault="00035872" w:rsidP="00EE6F6A">
            <w:pPr>
              <w:rPr>
                <w:rFonts w:ascii="Aptos" w:hAnsi="Aptos" w:cs="Arial"/>
                <w:sz w:val="24"/>
                <w:szCs w:val="24"/>
              </w:rPr>
            </w:pPr>
            <w:r w:rsidRPr="00035872">
              <w:rPr>
                <w:rFonts w:ascii="Aptos" w:hAnsi="Aptos"/>
                <w:sz w:val="24"/>
                <w:szCs w:val="24"/>
              </w:rPr>
              <w:t>By the end of the grant period, ETPP grantees will consistently use customized data tools and interactive dashboards to monitor progress, interpret results, and make concrete program adjustments that improve access, retention, and outcomes for participants facing systemic barriers. Grantees will have co-developed evaluation plans that embed participant and community voice, leading to more inclusive, responsive practices and documented changes to program design, employer engagement, and supportive services. In addition, the Cross-Program Community of Practice (COP) and associated learning products will strengthen alignment and shared learning across workforce initiatives, informing state-level policy and investment decisions.</w:t>
            </w:r>
          </w:p>
        </w:tc>
      </w:tr>
    </w:tbl>
    <w:p w14:paraId="2A7B1A8E" w14:textId="4A3B49DE" w:rsidR="00E81F29" w:rsidRPr="00115029" w:rsidRDefault="00E81F29">
      <w:pPr>
        <w:rPr>
          <w:rFonts w:ascii="Aptos" w:hAnsi="Aptos"/>
          <w:sz w:val="24"/>
          <w:szCs w:val="24"/>
        </w:rPr>
      </w:pPr>
    </w:p>
    <w:sectPr w:rsidR="00E81F29" w:rsidRPr="00115029" w:rsidSect="0015018E">
      <w:type w:val="continuous"/>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D0D90" w14:textId="77777777" w:rsidR="009E740E" w:rsidRDefault="009E740E" w:rsidP="00C4619D">
      <w:pPr>
        <w:spacing w:after="0" w:line="240" w:lineRule="auto"/>
      </w:pPr>
      <w:r>
        <w:separator/>
      </w:r>
    </w:p>
  </w:endnote>
  <w:endnote w:type="continuationSeparator" w:id="0">
    <w:p w14:paraId="7AA47DB4" w14:textId="77777777" w:rsidR="009E740E" w:rsidRDefault="009E740E" w:rsidP="00C46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320865509"/>
      <w:docPartObj>
        <w:docPartGallery w:val="Page Numbers (Bottom of Page)"/>
        <w:docPartUnique/>
      </w:docPartObj>
    </w:sdtPr>
    <w:sdtEndPr>
      <w:rPr>
        <w:rFonts w:ascii="Aptos" w:hAnsi="Aptos"/>
      </w:rPr>
    </w:sdtEndPr>
    <w:sdtContent>
      <w:sdt>
        <w:sdtPr>
          <w:rPr>
            <w:rFonts w:ascii="Aptos" w:hAnsi="Aptos"/>
            <w:sz w:val="24"/>
            <w:szCs w:val="24"/>
          </w:rPr>
          <w:id w:val="1728636285"/>
          <w:docPartObj>
            <w:docPartGallery w:val="Page Numbers (Top of Page)"/>
            <w:docPartUnique/>
          </w:docPartObj>
        </w:sdtPr>
        <w:sdtEndPr/>
        <w:sdtContent>
          <w:p w14:paraId="2A7B1AB8" w14:textId="66B77AAE" w:rsidR="005E57E5" w:rsidRPr="00115029" w:rsidRDefault="00194A2D" w:rsidP="003A6798">
            <w:pPr>
              <w:pStyle w:val="Footer"/>
              <w:rPr>
                <w:rFonts w:ascii="Aptos" w:hAnsi="Aptos"/>
                <w:sz w:val="24"/>
                <w:szCs w:val="24"/>
              </w:rPr>
            </w:pPr>
            <w:r>
              <w:rPr>
                <w:rFonts w:ascii="Aptos" w:hAnsi="Aptos"/>
                <w:sz w:val="24"/>
                <w:szCs w:val="24"/>
              </w:rPr>
              <w:t>EPTA</w:t>
            </w:r>
            <w:r w:rsidR="00E81F29" w:rsidRPr="00115029">
              <w:rPr>
                <w:rFonts w:ascii="Aptos" w:hAnsi="Aptos"/>
                <w:sz w:val="24"/>
                <w:szCs w:val="24"/>
              </w:rPr>
              <w:t xml:space="preserve"> SFP </w:t>
            </w:r>
            <w:r w:rsidR="00011FF6" w:rsidRPr="00115029">
              <w:rPr>
                <w:rFonts w:ascii="Aptos" w:hAnsi="Aptos"/>
                <w:sz w:val="24"/>
                <w:szCs w:val="24"/>
              </w:rPr>
              <w:t xml:space="preserve">PY </w:t>
            </w:r>
            <w:r w:rsidR="00E81F29" w:rsidRPr="00115029">
              <w:rPr>
                <w:rFonts w:ascii="Aptos" w:hAnsi="Aptos"/>
                <w:sz w:val="24"/>
                <w:szCs w:val="24"/>
              </w:rPr>
              <w:t>20</w:t>
            </w:r>
            <w:r>
              <w:rPr>
                <w:rFonts w:ascii="Aptos" w:hAnsi="Aptos"/>
                <w:sz w:val="24"/>
                <w:szCs w:val="24"/>
              </w:rPr>
              <w:t>25</w:t>
            </w:r>
            <w:r w:rsidR="003A6798" w:rsidRPr="00115029">
              <w:rPr>
                <w:rFonts w:ascii="Aptos" w:hAnsi="Aptos"/>
                <w:sz w:val="24"/>
                <w:szCs w:val="24"/>
              </w:rPr>
              <w:t>-</w:t>
            </w:r>
            <w:r>
              <w:rPr>
                <w:rFonts w:ascii="Aptos" w:hAnsi="Aptos"/>
                <w:sz w:val="24"/>
                <w:szCs w:val="24"/>
              </w:rPr>
              <w:t>26</w:t>
            </w:r>
            <w:r w:rsidR="003A6798" w:rsidRPr="00115029">
              <w:rPr>
                <w:rFonts w:ascii="Aptos" w:hAnsi="Aptos"/>
                <w:sz w:val="24"/>
                <w:szCs w:val="24"/>
              </w:rPr>
              <w:tab/>
            </w:r>
            <w:r w:rsidR="003A6798" w:rsidRPr="00115029">
              <w:rPr>
                <w:rFonts w:ascii="Aptos" w:hAnsi="Aptos"/>
                <w:sz w:val="24"/>
                <w:szCs w:val="24"/>
              </w:rPr>
              <w:tab/>
            </w:r>
            <w:r w:rsidR="005E57E5" w:rsidRPr="00115029">
              <w:rPr>
                <w:rFonts w:ascii="Aptos" w:hAnsi="Aptos"/>
                <w:sz w:val="24"/>
                <w:szCs w:val="24"/>
              </w:rPr>
              <w:t xml:space="preserve">Page </w:t>
            </w:r>
            <w:r w:rsidR="005E57E5" w:rsidRPr="00115029">
              <w:rPr>
                <w:rFonts w:ascii="Aptos" w:hAnsi="Aptos"/>
                <w:bCs/>
                <w:sz w:val="24"/>
                <w:szCs w:val="24"/>
              </w:rPr>
              <w:fldChar w:fldCharType="begin"/>
            </w:r>
            <w:r w:rsidR="005E57E5" w:rsidRPr="00115029">
              <w:rPr>
                <w:rFonts w:ascii="Aptos" w:hAnsi="Aptos"/>
                <w:bCs/>
                <w:sz w:val="24"/>
                <w:szCs w:val="24"/>
              </w:rPr>
              <w:instrText xml:space="preserve"> PAGE </w:instrText>
            </w:r>
            <w:r w:rsidR="005E57E5" w:rsidRPr="00115029">
              <w:rPr>
                <w:rFonts w:ascii="Aptos" w:hAnsi="Aptos"/>
                <w:bCs/>
                <w:sz w:val="24"/>
                <w:szCs w:val="24"/>
              </w:rPr>
              <w:fldChar w:fldCharType="separate"/>
            </w:r>
            <w:r w:rsidR="00350EB7" w:rsidRPr="00115029">
              <w:rPr>
                <w:rFonts w:ascii="Aptos" w:hAnsi="Aptos"/>
                <w:bCs/>
                <w:noProof/>
                <w:sz w:val="24"/>
                <w:szCs w:val="24"/>
              </w:rPr>
              <w:t>3</w:t>
            </w:r>
            <w:r w:rsidR="005E57E5" w:rsidRPr="00115029">
              <w:rPr>
                <w:rFonts w:ascii="Aptos" w:hAnsi="Aptos"/>
                <w:bCs/>
                <w:sz w:val="24"/>
                <w:szCs w:val="24"/>
              </w:rPr>
              <w:fldChar w:fldCharType="end"/>
            </w:r>
            <w:r w:rsidR="005E57E5" w:rsidRPr="00115029">
              <w:rPr>
                <w:rFonts w:ascii="Aptos" w:hAnsi="Aptos"/>
                <w:sz w:val="24"/>
                <w:szCs w:val="24"/>
              </w:rPr>
              <w:t xml:space="preserve"> of </w:t>
            </w:r>
            <w:r w:rsidR="005E57E5" w:rsidRPr="00115029">
              <w:rPr>
                <w:rFonts w:ascii="Aptos" w:hAnsi="Aptos"/>
                <w:bCs/>
                <w:sz w:val="24"/>
                <w:szCs w:val="24"/>
              </w:rPr>
              <w:fldChar w:fldCharType="begin"/>
            </w:r>
            <w:r w:rsidR="005E57E5" w:rsidRPr="00115029">
              <w:rPr>
                <w:rFonts w:ascii="Aptos" w:hAnsi="Aptos"/>
                <w:bCs/>
                <w:sz w:val="24"/>
                <w:szCs w:val="24"/>
              </w:rPr>
              <w:instrText xml:space="preserve"> NUMPAGES  </w:instrText>
            </w:r>
            <w:r w:rsidR="005E57E5" w:rsidRPr="00115029">
              <w:rPr>
                <w:rFonts w:ascii="Aptos" w:hAnsi="Aptos"/>
                <w:bCs/>
                <w:sz w:val="24"/>
                <w:szCs w:val="24"/>
              </w:rPr>
              <w:fldChar w:fldCharType="separate"/>
            </w:r>
            <w:r w:rsidR="00350EB7" w:rsidRPr="00115029">
              <w:rPr>
                <w:rFonts w:ascii="Aptos" w:hAnsi="Aptos"/>
                <w:bCs/>
                <w:noProof/>
                <w:sz w:val="24"/>
                <w:szCs w:val="24"/>
              </w:rPr>
              <w:t>3</w:t>
            </w:r>
            <w:r w:rsidR="005E57E5" w:rsidRPr="00115029">
              <w:rPr>
                <w:rFonts w:ascii="Aptos" w:hAnsi="Aptos"/>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4"/>
        <w:szCs w:val="24"/>
      </w:rPr>
      <w:id w:val="2011946887"/>
      <w:docPartObj>
        <w:docPartGallery w:val="Page Numbers (Top of Page)"/>
        <w:docPartUnique/>
      </w:docPartObj>
    </w:sdtPr>
    <w:sdtEndPr/>
    <w:sdtContent>
      <w:p w14:paraId="4CE14D80" w14:textId="0ACCE25A" w:rsidR="00C246E9" w:rsidRPr="00115029" w:rsidRDefault="00194A2D" w:rsidP="00C246E9">
        <w:pPr>
          <w:pStyle w:val="Footer"/>
          <w:rPr>
            <w:rFonts w:ascii="Aptos" w:hAnsi="Aptos"/>
            <w:sz w:val="24"/>
            <w:szCs w:val="24"/>
          </w:rPr>
        </w:pPr>
        <w:r>
          <w:rPr>
            <w:rFonts w:ascii="Aptos" w:hAnsi="Aptos"/>
            <w:sz w:val="24"/>
            <w:szCs w:val="24"/>
          </w:rPr>
          <w:t>EPTA</w:t>
        </w:r>
        <w:r w:rsidR="00C246E9" w:rsidRPr="00115029">
          <w:rPr>
            <w:rFonts w:ascii="Aptos" w:hAnsi="Aptos"/>
            <w:sz w:val="24"/>
            <w:szCs w:val="24"/>
          </w:rPr>
          <w:t xml:space="preserve"> SFP PY 20</w:t>
        </w:r>
        <w:r>
          <w:rPr>
            <w:rFonts w:ascii="Aptos" w:hAnsi="Aptos"/>
            <w:sz w:val="24"/>
            <w:szCs w:val="24"/>
          </w:rPr>
          <w:t>25</w:t>
        </w:r>
        <w:r w:rsidR="00C246E9" w:rsidRPr="00115029">
          <w:rPr>
            <w:rFonts w:ascii="Aptos" w:hAnsi="Aptos"/>
            <w:sz w:val="24"/>
            <w:szCs w:val="24"/>
          </w:rPr>
          <w:t>-</w:t>
        </w:r>
        <w:r>
          <w:rPr>
            <w:rFonts w:ascii="Aptos" w:hAnsi="Aptos"/>
            <w:sz w:val="24"/>
            <w:szCs w:val="24"/>
          </w:rPr>
          <w:t>26</w:t>
        </w:r>
        <w:r w:rsidR="00C246E9" w:rsidRPr="00115029">
          <w:rPr>
            <w:rFonts w:ascii="Aptos" w:hAnsi="Aptos"/>
            <w:sz w:val="24"/>
            <w:szCs w:val="24"/>
          </w:rPr>
          <w:tab/>
        </w:r>
        <w:r w:rsidR="00C246E9" w:rsidRPr="00115029">
          <w:rPr>
            <w:rFonts w:ascii="Aptos" w:hAnsi="Aptos"/>
            <w:sz w:val="24"/>
            <w:szCs w:val="24"/>
          </w:rPr>
          <w:tab/>
          <w:t xml:space="preserve">Page </w:t>
        </w:r>
        <w:r w:rsidR="00C246E9" w:rsidRPr="00115029">
          <w:rPr>
            <w:rFonts w:ascii="Aptos" w:hAnsi="Aptos"/>
            <w:bCs/>
            <w:sz w:val="24"/>
            <w:szCs w:val="24"/>
          </w:rPr>
          <w:fldChar w:fldCharType="begin"/>
        </w:r>
        <w:r w:rsidR="00C246E9" w:rsidRPr="00115029">
          <w:rPr>
            <w:rFonts w:ascii="Aptos" w:hAnsi="Aptos"/>
            <w:bCs/>
            <w:sz w:val="24"/>
            <w:szCs w:val="24"/>
          </w:rPr>
          <w:instrText xml:space="preserve"> PAGE </w:instrText>
        </w:r>
        <w:r w:rsidR="00C246E9" w:rsidRPr="00115029">
          <w:rPr>
            <w:rFonts w:ascii="Aptos" w:hAnsi="Aptos"/>
            <w:bCs/>
            <w:sz w:val="24"/>
            <w:szCs w:val="24"/>
          </w:rPr>
          <w:fldChar w:fldCharType="separate"/>
        </w:r>
        <w:r w:rsidR="00350EB7" w:rsidRPr="00115029">
          <w:rPr>
            <w:rFonts w:ascii="Aptos" w:hAnsi="Aptos"/>
            <w:bCs/>
            <w:noProof/>
            <w:sz w:val="24"/>
            <w:szCs w:val="24"/>
          </w:rPr>
          <w:t>1</w:t>
        </w:r>
        <w:r w:rsidR="00C246E9" w:rsidRPr="00115029">
          <w:rPr>
            <w:rFonts w:ascii="Aptos" w:hAnsi="Aptos"/>
            <w:bCs/>
            <w:sz w:val="24"/>
            <w:szCs w:val="24"/>
          </w:rPr>
          <w:fldChar w:fldCharType="end"/>
        </w:r>
        <w:r w:rsidR="00C246E9" w:rsidRPr="00115029">
          <w:rPr>
            <w:rFonts w:ascii="Aptos" w:hAnsi="Aptos"/>
            <w:sz w:val="24"/>
            <w:szCs w:val="24"/>
          </w:rPr>
          <w:t xml:space="preserve"> of </w:t>
        </w:r>
        <w:r w:rsidR="00C246E9" w:rsidRPr="00115029">
          <w:rPr>
            <w:rFonts w:ascii="Aptos" w:hAnsi="Aptos"/>
            <w:bCs/>
            <w:sz w:val="24"/>
            <w:szCs w:val="24"/>
          </w:rPr>
          <w:fldChar w:fldCharType="begin"/>
        </w:r>
        <w:r w:rsidR="00C246E9" w:rsidRPr="00115029">
          <w:rPr>
            <w:rFonts w:ascii="Aptos" w:hAnsi="Aptos"/>
            <w:bCs/>
            <w:sz w:val="24"/>
            <w:szCs w:val="24"/>
          </w:rPr>
          <w:instrText xml:space="preserve"> NUMPAGES  </w:instrText>
        </w:r>
        <w:r w:rsidR="00C246E9" w:rsidRPr="00115029">
          <w:rPr>
            <w:rFonts w:ascii="Aptos" w:hAnsi="Aptos"/>
            <w:bCs/>
            <w:sz w:val="24"/>
            <w:szCs w:val="24"/>
          </w:rPr>
          <w:fldChar w:fldCharType="separate"/>
        </w:r>
        <w:r w:rsidR="00350EB7" w:rsidRPr="00115029">
          <w:rPr>
            <w:rFonts w:ascii="Aptos" w:hAnsi="Aptos"/>
            <w:bCs/>
            <w:noProof/>
            <w:sz w:val="24"/>
            <w:szCs w:val="24"/>
          </w:rPr>
          <w:t>3</w:t>
        </w:r>
        <w:r w:rsidR="00C246E9" w:rsidRPr="00115029">
          <w:rPr>
            <w:rFonts w:ascii="Aptos" w:hAnsi="Aptos"/>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418B6" w14:textId="77777777" w:rsidR="009E740E" w:rsidRDefault="009E740E" w:rsidP="00C4619D">
      <w:pPr>
        <w:spacing w:after="0" w:line="240" w:lineRule="auto"/>
      </w:pPr>
      <w:r>
        <w:separator/>
      </w:r>
    </w:p>
  </w:footnote>
  <w:footnote w:type="continuationSeparator" w:id="0">
    <w:p w14:paraId="064400E8" w14:textId="77777777" w:rsidR="009E740E" w:rsidRDefault="009E740E" w:rsidP="00C461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85B31"/>
    <w:multiLevelType w:val="hybridMultilevel"/>
    <w:tmpl w:val="7E96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5E06D9"/>
    <w:multiLevelType w:val="hybridMultilevel"/>
    <w:tmpl w:val="1A8601C8"/>
    <w:lvl w:ilvl="0" w:tplc="3306BFA8">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5167564">
    <w:abstractNumId w:val="1"/>
  </w:num>
  <w:num w:numId="2" w16cid:durableId="516772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1NDc2NjQwMzAxMDRQ0lEKTi0uzszPAykwqwUAvSMwOCwAAAA="/>
  </w:docVars>
  <w:rsids>
    <w:rsidRoot w:val="00C4619D"/>
    <w:rsid w:val="00011FF6"/>
    <w:rsid w:val="00035872"/>
    <w:rsid w:val="00070957"/>
    <w:rsid w:val="00077074"/>
    <w:rsid w:val="000907CE"/>
    <w:rsid w:val="000D41F4"/>
    <w:rsid w:val="000F1D71"/>
    <w:rsid w:val="00115029"/>
    <w:rsid w:val="0015018E"/>
    <w:rsid w:val="00157D1F"/>
    <w:rsid w:val="00166463"/>
    <w:rsid w:val="0018005F"/>
    <w:rsid w:val="00194A2D"/>
    <w:rsid w:val="001C7691"/>
    <w:rsid w:val="00233C68"/>
    <w:rsid w:val="00243E97"/>
    <w:rsid w:val="0027732C"/>
    <w:rsid w:val="0029566A"/>
    <w:rsid w:val="002A057F"/>
    <w:rsid w:val="002A49F5"/>
    <w:rsid w:val="002C375A"/>
    <w:rsid w:val="002C7F1D"/>
    <w:rsid w:val="002F1B40"/>
    <w:rsid w:val="00340557"/>
    <w:rsid w:val="00350EB7"/>
    <w:rsid w:val="00357038"/>
    <w:rsid w:val="003A6798"/>
    <w:rsid w:val="003C6958"/>
    <w:rsid w:val="003F4960"/>
    <w:rsid w:val="00415337"/>
    <w:rsid w:val="00423AD9"/>
    <w:rsid w:val="00471054"/>
    <w:rsid w:val="004C54B7"/>
    <w:rsid w:val="004C7A9D"/>
    <w:rsid w:val="004D2C52"/>
    <w:rsid w:val="004D4E7D"/>
    <w:rsid w:val="0052216C"/>
    <w:rsid w:val="00534AD0"/>
    <w:rsid w:val="005C4514"/>
    <w:rsid w:val="005E57E5"/>
    <w:rsid w:val="006064AA"/>
    <w:rsid w:val="00643522"/>
    <w:rsid w:val="0064435D"/>
    <w:rsid w:val="00686543"/>
    <w:rsid w:val="00693DDF"/>
    <w:rsid w:val="006A609C"/>
    <w:rsid w:val="006D1667"/>
    <w:rsid w:val="0071078A"/>
    <w:rsid w:val="00716530"/>
    <w:rsid w:val="00716669"/>
    <w:rsid w:val="007524B8"/>
    <w:rsid w:val="007538F6"/>
    <w:rsid w:val="007636FC"/>
    <w:rsid w:val="00771FA8"/>
    <w:rsid w:val="007A02F3"/>
    <w:rsid w:val="007C0F9E"/>
    <w:rsid w:val="007D3711"/>
    <w:rsid w:val="008061A0"/>
    <w:rsid w:val="00861DD5"/>
    <w:rsid w:val="008909EA"/>
    <w:rsid w:val="008C3008"/>
    <w:rsid w:val="008E5177"/>
    <w:rsid w:val="0090282A"/>
    <w:rsid w:val="00942330"/>
    <w:rsid w:val="0095422E"/>
    <w:rsid w:val="009632DF"/>
    <w:rsid w:val="009758E8"/>
    <w:rsid w:val="009C436A"/>
    <w:rsid w:val="009E42A0"/>
    <w:rsid w:val="009E740E"/>
    <w:rsid w:val="00A04095"/>
    <w:rsid w:val="00A05EF4"/>
    <w:rsid w:val="00A11416"/>
    <w:rsid w:val="00A21B60"/>
    <w:rsid w:val="00A311B3"/>
    <w:rsid w:val="00A32E33"/>
    <w:rsid w:val="00A73267"/>
    <w:rsid w:val="00A753B5"/>
    <w:rsid w:val="00A83244"/>
    <w:rsid w:val="00A86DD1"/>
    <w:rsid w:val="00A87723"/>
    <w:rsid w:val="00AA3C07"/>
    <w:rsid w:val="00AE379E"/>
    <w:rsid w:val="00B37BB7"/>
    <w:rsid w:val="00B44FC5"/>
    <w:rsid w:val="00B61E64"/>
    <w:rsid w:val="00B775DE"/>
    <w:rsid w:val="00B814D8"/>
    <w:rsid w:val="00BA26AC"/>
    <w:rsid w:val="00BC356A"/>
    <w:rsid w:val="00BD7052"/>
    <w:rsid w:val="00BF7C9C"/>
    <w:rsid w:val="00BF7E4A"/>
    <w:rsid w:val="00C246E9"/>
    <w:rsid w:val="00C30CE9"/>
    <w:rsid w:val="00C4619D"/>
    <w:rsid w:val="00C864F3"/>
    <w:rsid w:val="00CA340F"/>
    <w:rsid w:val="00CE79FB"/>
    <w:rsid w:val="00D00615"/>
    <w:rsid w:val="00D11E67"/>
    <w:rsid w:val="00D65FB1"/>
    <w:rsid w:val="00D7273E"/>
    <w:rsid w:val="00DD5A7C"/>
    <w:rsid w:val="00E23A28"/>
    <w:rsid w:val="00E52A71"/>
    <w:rsid w:val="00E81F29"/>
    <w:rsid w:val="00EA22D1"/>
    <w:rsid w:val="00EE6F6A"/>
    <w:rsid w:val="00EF2FB1"/>
    <w:rsid w:val="00EF4E2D"/>
    <w:rsid w:val="00F05939"/>
    <w:rsid w:val="00F510A9"/>
    <w:rsid w:val="00F51274"/>
    <w:rsid w:val="00F537F4"/>
    <w:rsid w:val="00F9480C"/>
    <w:rsid w:val="00FD56D3"/>
    <w:rsid w:val="00FE1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B1A51"/>
  <w15:chartTrackingRefBased/>
  <w15:docId w15:val="{CD496050-676D-4EE3-823A-B241FE82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22E"/>
  </w:style>
  <w:style w:type="paragraph" w:styleId="Heading1">
    <w:name w:val="heading 1"/>
    <w:basedOn w:val="Normal"/>
    <w:next w:val="Normal"/>
    <w:link w:val="Heading1Char"/>
    <w:uiPriority w:val="9"/>
    <w:qFormat/>
    <w:rsid w:val="00C246E9"/>
    <w:pPr>
      <w:spacing w:after="0" w:line="240" w:lineRule="auto"/>
      <w:outlineLvl w:val="0"/>
    </w:pPr>
    <w:rPr>
      <w:b/>
      <w:noProof/>
      <w:color w:val="1F4E79" w:themeColor="accent1" w:themeShade="80"/>
      <w:sz w:val="28"/>
      <w:szCs w:val="28"/>
    </w:rPr>
  </w:style>
  <w:style w:type="paragraph" w:styleId="Heading2">
    <w:name w:val="heading 2"/>
    <w:basedOn w:val="Normal"/>
    <w:next w:val="Normal"/>
    <w:link w:val="Heading2Char"/>
    <w:uiPriority w:val="9"/>
    <w:unhideWhenUsed/>
    <w:qFormat/>
    <w:rsid w:val="00CE79FB"/>
    <w:pPr>
      <w:outlineLvl w:val="1"/>
    </w:pPr>
    <w:rPr>
      <w:b/>
      <w:color w:val="1F4E79" w:themeColor="accent1" w:themeShade="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6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619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46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19D"/>
  </w:style>
  <w:style w:type="paragraph" w:styleId="Footer">
    <w:name w:val="footer"/>
    <w:basedOn w:val="Normal"/>
    <w:link w:val="FooterChar"/>
    <w:uiPriority w:val="99"/>
    <w:unhideWhenUsed/>
    <w:rsid w:val="00C46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19D"/>
  </w:style>
  <w:style w:type="character" w:styleId="Hyperlink">
    <w:name w:val="Hyperlink"/>
    <w:basedOn w:val="DefaultParagraphFont"/>
    <w:uiPriority w:val="99"/>
    <w:unhideWhenUsed/>
    <w:rsid w:val="00157D1F"/>
    <w:rPr>
      <w:color w:val="0563C1"/>
      <w:u w:val="single"/>
    </w:rPr>
  </w:style>
  <w:style w:type="paragraph" w:styleId="BalloonText">
    <w:name w:val="Balloon Text"/>
    <w:basedOn w:val="Normal"/>
    <w:link w:val="BalloonTextChar"/>
    <w:uiPriority w:val="99"/>
    <w:semiHidden/>
    <w:unhideWhenUsed/>
    <w:rsid w:val="00C46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19D"/>
    <w:rPr>
      <w:rFonts w:ascii="Segoe UI" w:hAnsi="Segoe UI" w:cs="Segoe UI"/>
      <w:sz w:val="18"/>
      <w:szCs w:val="18"/>
    </w:rPr>
  </w:style>
  <w:style w:type="character" w:styleId="PlaceholderText">
    <w:name w:val="Placeholder Text"/>
    <w:basedOn w:val="DefaultParagraphFont"/>
    <w:uiPriority w:val="99"/>
    <w:semiHidden/>
    <w:rsid w:val="004C54B7"/>
    <w:rPr>
      <w:color w:val="808080"/>
    </w:rPr>
  </w:style>
  <w:style w:type="character" w:customStyle="1" w:styleId="Heading1Char">
    <w:name w:val="Heading 1 Char"/>
    <w:basedOn w:val="DefaultParagraphFont"/>
    <w:link w:val="Heading1"/>
    <w:uiPriority w:val="9"/>
    <w:rsid w:val="00C246E9"/>
    <w:rPr>
      <w:b/>
      <w:noProof/>
      <w:color w:val="1F4E79" w:themeColor="accent1" w:themeShade="80"/>
      <w:sz w:val="28"/>
      <w:szCs w:val="28"/>
    </w:rPr>
  </w:style>
  <w:style w:type="table" w:styleId="PlainTable3">
    <w:name w:val="Plain Table 3"/>
    <w:basedOn w:val="TableNormal"/>
    <w:uiPriority w:val="43"/>
    <w:rsid w:val="00C246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CE79FB"/>
    <w:rPr>
      <w:b/>
      <w:color w:val="1F4E79" w:themeColor="accent1" w:themeShade="80"/>
      <w:sz w:val="28"/>
    </w:rPr>
  </w:style>
  <w:style w:type="paragraph" w:styleId="ListParagraph">
    <w:name w:val="List Paragraph"/>
    <w:basedOn w:val="Normal"/>
    <w:uiPriority w:val="34"/>
    <w:qFormat/>
    <w:rsid w:val="000358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14ED5C53901F4C88FF6AEBBF3D8E0D" ma:contentTypeVersion="13" ma:contentTypeDescription="Create a new document." ma:contentTypeScope="" ma:versionID="529ed3825ab478a5ffdc44eb265dc6f5">
  <xsd:schema xmlns:xsd="http://www.w3.org/2001/XMLSchema" xmlns:xs="http://www.w3.org/2001/XMLSchema" xmlns:p="http://schemas.microsoft.com/office/2006/metadata/properties" xmlns:ns2="82b749e3-8208-459a-bfc0-9b428d09cbab" xmlns:ns3="9ac7e9dd-8d2d-4750-b54a-f534515ac3a2" targetNamespace="http://schemas.microsoft.com/office/2006/metadata/properties" ma:root="true" ma:fieldsID="b7c2030912f9588e16c624efbe24e62a" ns2:_="" ns3:_="">
    <xsd:import namespace="82b749e3-8208-459a-bfc0-9b428d09cbab"/>
    <xsd:import namespace="9ac7e9dd-8d2d-4750-b54a-f534515ac3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749e3-8208-459a-bfc0-9b428d09cb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7394e95-b349-4f38-a288-35f6b460f56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c7e9dd-8d2d-4750-b54a-f534515ac3a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eb3a4cf-a4c1-465d-84d5-3df346f355a6}" ma:internalName="TaxCatchAll" ma:showField="CatchAllData" ma:web="9ac7e9dd-8d2d-4750-b54a-f534515a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ac7e9dd-8d2d-4750-b54a-f534515ac3a2">
      <Value>877</Value>
    </TaxCatchAll>
    <lcf76f155ced4ddcb4097134ff3c332f xmlns="82b749e3-8208-459a-bfc0-9b428d09cb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584653-CEBD-46E0-914D-95DB76D48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749e3-8208-459a-bfc0-9b428d09cbab"/>
    <ds:schemaRef ds:uri="9ac7e9dd-8d2d-4750-b54a-f534515ac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3DF960-B91E-42A4-BF44-EB0FF909A7FF}">
  <ds:schemaRefs>
    <ds:schemaRef ds:uri="http://schemas.microsoft.com/office/2006/metadata/properties"/>
    <ds:schemaRef ds:uri="http://schemas.microsoft.com/office/infopath/2007/PartnerControls"/>
    <ds:schemaRef ds:uri="9ac7e9dd-8d2d-4750-b54a-f534515ac3a2"/>
    <ds:schemaRef ds:uri="82b749e3-8208-459a-bfc0-9b428d09cbab"/>
  </ds:schemaRefs>
</ds:datastoreItem>
</file>

<file path=customXml/itemProps3.xml><?xml version="1.0" encoding="utf-8"?>
<ds:datastoreItem xmlns:ds="http://schemas.openxmlformats.org/officeDocument/2006/customXml" ds:itemID="{6148D163-EF31-4114-B1BA-37B93560C4D0}">
  <ds:schemaRefs>
    <ds:schemaRef ds:uri="http://schemas.microsoft.com/sharepoint/v3/contenttype/forms"/>
  </ds:schemaRefs>
</ds:datastoreItem>
</file>

<file path=docMetadata/LabelInfo.xml><?xml version="1.0" encoding="utf-8"?>
<clbl:labelList xmlns:clbl="http://schemas.microsoft.com/office/2020/mipLabelMetadata">
  <clbl:label id="{651480e4-deb2-4da5-bc64-7d1e9e1df8e4}" enabled="1" method="Standard" siteId="{06cac249-57c6-4eed-94fd-256abde82b4e}" removed="0"/>
</clbl:labelList>
</file>

<file path=docProps/app.xml><?xml version="1.0" encoding="utf-8"?>
<Properties xmlns="http://schemas.openxmlformats.org/officeDocument/2006/extended-properties" xmlns:vt="http://schemas.openxmlformats.org/officeDocument/2006/docPropsVTypes">
  <Template>Normal</Template>
  <TotalTime>57</TotalTime>
  <Pages>1</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Award List</vt:lpstr>
    </vt:vector>
  </TitlesOfParts>
  <Company>Employment Development Department</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EPTA 25-26 Award List</dc:title>
  <dc:subject/>
  <dc:creator>Workforce Services</dc:creator>
  <cp:keywords>EPTA PY 25-26</cp:keywords>
  <dc:description/>
  <cp:lastModifiedBy>Richardson, Jeffrey@EDD</cp:lastModifiedBy>
  <cp:revision>18</cp:revision>
  <cp:lastPrinted>2017-06-15T19:41:00Z</cp:lastPrinted>
  <dcterms:created xsi:type="dcterms:W3CDTF">2026-02-25T18:24:00Z</dcterms:created>
  <dcterms:modified xsi:type="dcterms:W3CDTF">2026-05-14T16:40:00Z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0x010100E614ED5C53901F4C88FF6AEBBF3D8E0D</vt:lpwstr>
  </property>
  <property fmtid="{D5CDD505-2E9C-101B-9397-08002B2CF9AE}" pid="3" name="GrammarlyDocumentId">
    <vt:lpwstr>ef3fb4c030431b57e9616b2f08cc110bd444700f46cf543ea5c977b640fe75d2</vt:lpwstr>
  </property>
  <property fmtid="{D5CDD505-2E9C-101B-9397-08002B2CF9AE}" pid="4" name="TaxKeywordTaxHTField">
    <vt:lpwstr>EPTA PY 25-26|158c7485-73cf-4da9-b80f-b9c492f9aa31</vt:lpwstr>
  </property>
  <property fmtid="{D5CDD505-2E9C-101B-9397-08002B2CF9AE}" pid="5" name="TaxKeyword">
    <vt:lpwstr>877;#EPTA PY 25-26|158c7485-73cf-4da9-b80f-b9c492f9aa31</vt:lpwstr>
  </property>
  <property fmtid="{D5CDD505-2E9C-101B-9397-08002B2CF9AE}" pid="6" name="TaxCatchAll">
    <vt:lpwstr>877;#EPTA PY 25-26</vt:lpwstr>
  </property>
</Properties>
</file>