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F421" w14:textId="046810B4" w:rsidR="00950C8C" w:rsidRPr="007E650E" w:rsidRDefault="002B0D2A" w:rsidP="00B206CE">
      <w:pPr>
        <w:pStyle w:val="Heading1"/>
      </w:pPr>
      <w:bookmarkStart w:id="0" w:name="_Toc167894585"/>
      <w:bookmarkStart w:id="1" w:name="_Toc167894643"/>
      <w:bookmarkStart w:id="2" w:name="_Toc195002344"/>
      <w:bookmarkStart w:id="3" w:name="_Toc195010323"/>
      <w:bookmarkStart w:id="4" w:name="_Toc195189569"/>
      <w:r w:rsidRPr="007E650E">
        <w:t>Notice of Availability of Funds</w:t>
      </w:r>
      <w:bookmarkEnd w:id="0"/>
      <w:bookmarkEnd w:id="1"/>
      <w:bookmarkEnd w:id="2"/>
      <w:bookmarkEnd w:id="3"/>
      <w:bookmarkEnd w:id="4"/>
    </w:p>
    <w:p w14:paraId="73CB3E50" w14:textId="5FAF5F00" w:rsidR="002B0D2A" w:rsidRPr="007E650E" w:rsidRDefault="002B0D2A" w:rsidP="002B0D2A">
      <w:pPr>
        <w:spacing w:after="0"/>
        <w:jc w:val="center"/>
        <w:rPr>
          <w:rFonts w:ascii="Calibri" w:hAnsi="Calibri" w:cs="Calibri"/>
          <w:sz w:val="24"/>
          <w:szCs w:val="24"/>
        </w:rPr>
      </w:pPr>
      <w:r w:rsidRPr="007E650E">
        <w:rPr>
          <w:rFonts w:ascii="Calibri" w:hAnsi="Calibri" w:cs="Calibri"/>
          <w:sz w:val="24"/>
          <w:szCs w:val="24"/>
        </w:rPr>
        <w:t>By the Employment Development Department</w:t>
      </w:r>
    </w:p>
    <w:p w14:paraId="5457F974" w14:textId="294BD77F" w:rsidR="002B0D2A" w:rsidRPr="007E650E" w:rsidRDefault="002B0D2A" w:rsidP="002B0D2A">
      <w:pPr>
        <w:spacing w:after="0"/>
        <w:jc w:val="center"/>
        <w:rPr>
          <w:rFonts w:ascii="Calibri" w:hAnsi="Calibri" w:cs="Calibri"/>
          <w:strike/>
          <w:sz w:val="24"/>
          <w:szCs w:val="24"/>
        </w:rPr>
      </w:pPr>
    </w:p>
    <w:p w14:paraId="436D671C" w14:textId="0947A520" w:rsidR="002B0D2A" w:rsidRPr="007E650E" w:rsidRDefault="00753B58" w:rsidP="002B0D2A">
      <w:pPr>
        <w:spacing w:after="0"/>
        <w:jc w:val="center"/>
        <w:rPr>
          <w:rFonts w:ascii="Calibri" w:hAnsi="Calibri" w:cs="Calibri"/>
          <w:sz w:val="24"/>
          <w:szCs w:val="24"/>
        </w:rPr>
      </w:pPr>
      <w:r>
        <w:rPr>
          <w:rFonts w:ascii="Calibri" w:hAnsi="Calibri" w:cs="Calibri"/>
          <w:color w:val="2B579A"/>
          <w:sz w:val="24"/>
          <w:szCs w:val="24"/>
          <w:shd w:val="clear" w:color="auto" w:fill="E6E6E6"/>
        </w:rPr>
        <w:pict w14:anchorId="57198672">
          <v:rect id="_x0000_i1025" style="width:466.55pt;height:2pt" o:hralign="center" o:hrstd="t" o:hrnoshade="t" o:hr="t" fillcolor="#f79646" stroked="f"/>
        </w:pict>
      </w:r>
    </w:p>
    <w:p w14:paraId="5188706E" w14:textId="77777777" w:rsidR="002B0D2A" w:rsidRPr="007E650E" w:rsidRDefault="002B0D2A" w:rsidP="002B0D2A">
      <w:pPr>
        <w:rPr>
          <w:rFonts w:ascii="Calibri" w:hAnsi="Calibri" w:cs="Calibri"/>
          <w:sz w:val="24"/>
          <w:szCs w:val="24"/>
        </w:rPr>
      </w:pPr>
    </w:p>
    <w:p w14:paraId="5D0CD55B" w14:textId="7893C65E" w:rsidR="00FC67D0" w:rsidRPr="007E650E" w:rsidRDefault="00DB185C" w:rsidP="543319F8">
      <w:pPr>
        <w:spacing w:after="0"/>
        <w:jc w:val="center"/>
        <w:rPr>
          <w:rFonts w:ascii="Calibri" w:hAnsi="Calibri" w:cs="Calibri"/>
          <w:b/>
          <w:bCs/>
          <w:i/>
          <w:iCs/>
          <w:sz w:val="24"/>
          <w:szCs w:val="24"/>
        </w:rPr>
      </w:pPr>
      <w:r w:rsidRPr="007E650E">
        <w:rPr>
          <w:rFonts w:ascii="Calibri" w:hAnsi="Calibri" w:cs="Calibri"/>
          <w:b/>
          <w:bCs/>
          <w:i/>
          <w:iCs/>
          <w:sz w:val="24"/>
          <w:szCs w:val="24"/>
        </w:rPr>
        <w:t>Wagner-Peyser Funds</w:t>
      </w:r>
    </w:p>
    <w:p w14:paraId="7AD71DBE" w14:textId="5A91E218" w:rsidR="00C62AC0" w:rsidRPr="007E650E" w:rsidRDefault="00DB185C" w:rsidP="00FD3C17">
      <w:pPr>
        <w:pStyle w:val="Heading1"/>
      </w:pPr>
      <w:bookmarkStart w:id="5" w:name="_Hlk168037689"/>
      <w:r w:rsidRPr="007E650E">
        <w:t>Deaf and Hard of Hearing</w:t>
      </w:r>
      <w:r w:rsidR="00AE5925" w:rsidRPr="007E650E">
        <w:t xml:space="preserve"> Services</w:t>
      </w:r>
      <w:r w:rsidRPr="007E650E">
        <w:t xml:space="preserve"> </w:t>
      </w:r>
      <w:r w:rsidR="00C62AC0" w:rsidRPr="007E650E">
        <w:t>Program Year 20</w:t>
      </w:r>
      <w:r w:rsidR="007729FF" w:rsidRPr="007E650E">
        <w:t>2</w:t>
      </w:r>
      <w:r w:rsidR="00A42E54" w:rsidRPr="007E650E">
        <w:t>5</w:t>
      </w:r>
      <w:r w:rsidR="007729FF" w:rsidRPr="007E650E">
        <w:t>-2</w:t>
      </w:r>
      <w:bookmarkEnd w:id="5"/>
      <w:r w:rsidR="00A42E54" w:rsidRPr="007E650E">
        <w:t>6</w:t>
      </w:r>
    </w:p>
    <w:p w14:paraId="34756020" w14:textId="299D01A1" w:rsidR="00FC67D0" w:rsidRPr="007E650E" w:rsidRDefault="00FC67D0" w:rsidP="00FC67D0">
      <w:pPr>
        <w:jc w:val="center"/>
        <w:rPr>
          <w:rFonts w:ascii="Calibri" w:hAnsi="Calibri" w:cs="Calibri"/>
          <w:sz w:val="24"/>
          <w:szCs w:val="24"/>
        </w:rPr>
      </w:pPr>
    </w:p>
    <w:p w14:paraId="3CD8A9A5" w14:textId="16C76811" w:rsidR="002B0D2A" w:rsidRPr="007E650E" w:rsidRDefault="002B0D2A" w:rsidP="002B0D2A">
      <w:pPr>
        <w:spacing w:after="0"/>
        <w:jc w:val="center"/>
        <w:rPr>
          <w:rFonts w:ascii="Calibri" w:hAnsi="Calibri" w:cs="Calibri"/>
          <w:b/>
          <w:bCs/>
          <w:sz w:val="24"/>
          <w:szCs w:val="24"/>
        </w:rPr>
      </w:pPr>
      <w:r w:rsidRPr="007E650E">
        <w:rPr>
          <w:rFonts w:ascii="Calibri" w:hAnsi="Calibri" w:cs="Calibri"/>
          <w:b/>
          <w:bCs/>
          <w:sz w:val="24"/>
          <w:szCs w:val="24"/>
        </w:rPr>
        <w:t>Solicitation for Proposals</w:t>
      </w:r>
    </w:p>
    <w:p w14:paraId="636FD3E8" w14:textId="77777777" w:rsidR="002B0D2A" w:rsidRPr="007E650E" w:rsidRDefault="002B0D2A" w:rsidP="002B0D2A">
      <w:pPr>
        <w:spacing w:after="0"/>
        <w:jc w:val="center"/>
        <w:rPr>
          <w:rFonts w:ascii="Calibri" w:hAnsi="Calibri" w:cs="Calibri"/>
          <w:b/>
          <w:bCs/>
          <w:sz w:val="24"/>
          <w:szCs w:val="24"/>
        </w:rPr>
      </w:pPr>
    </w:p>
    <w:p w14:paraId="46F63BDC" w14:textId="77777777" w:rsidR="002B0D2A" w:rsidRPr="007E650E" w:rsidRDefault="002B0D2A" w:rsidP="002B0D2A">
      <w:pPr>
        <w:spacing w:after="0"/>
        <w:jc w:val="center"/>
        <w:rPr>
          <w:rFonts w:ascii="Calibri" w:hAnsi="Calibri" w:cs="Calibri"/>
          <w:b/>
          <w:bCs/>
          <w:sz w:val="24"/>
          <w:szCs w:val="24"/>
        </w:rPr>
      </w:pPr>
    </w:p>
    <w:p w14:paraId="20450FCF" w14:textId="147C39C4" w:rsidR="002B0D2A" w:rsidRPr="007E650E" w:rsidRDefault="002B0D2A" w:rsidP="002B0D2A">
      <w:pPr>
        <w:spacing w:after="0"/>
        <w:jc w:val="center"/>
        <w:rPr>
          <w:rFonts w:ascii="Calibri" w:hAnsi="Calibri" w:cs="Calibri"/>
          <w:b/>
          <w:bCs/>
          <w:sz w:val="24"/>
          <w:szCs w:val="24"/>
        </w:rPr>
      </w:pPr>
      <w:r w:rsidRPr="007E650E">
        <w:rPr>
          <w:rFonts w:ascii="Calibri" w:eastAsia="Times New Roman" w:hAnsi="Calibri" w:cs="Calibri"/>
          <w:noProof/>
          <w:color w:val="2B579A"/>
          <w:sz w:val="24"/>
          <w:szCs w:val="24"/>
          <w:shd w:val="clear" w:color="auto" w:fill="E6E6E6"/>
        </w:rPr>
        <w:drawing>
          <wp:inline distT="0" distB="0" distL="0" distR="0" wp14:anchorId="7CC0C534" wp14:editId="0A5A5427">
            <wp:extent cx="2665730" cy="2479675"/>
            <wp:effectExtent l="0" t="0" r="1270" b="0"/>
            <wp:docPr id="1" name="Picture 1" descr="Logo-Seal-09" title="The Great Seal of the State of California"/>
            <wp:cNvGraphicFramePr/>
            <a:graphic xmlns:a="http://schemas.openxmlformats.org/drawingml/2006/main">
              <a:graphicData uri="http://schemas.openxmlformats.org/drawingml/2006/picture">
                <pic:pic xmlns:pic="http://schemas.openxmlformats.org/drawingml/2006/picture">
                  <pic:nvPicPr>
                    <pic:cNvPr id="1" name="Picture 1" descr="Logo-Seal-0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479675"/>
                    </a:xfrm>
                    <a:prstGeom prst="rect">
                      <a:avLst/>
                    </a:prstGeom>
                    <a:noFill/>
                    <a:ln>
                      <a:noFill/>
                    </a:ln>
                  </pic:spPr>
                </pic:pic>
              </a:graphicData>
            </a:graphic>
          </wp:inline>
        </w:drawing>
      </w:r>
    </w:p>
    <w:p w14:paraId="32AB2E27" w14:textId="77777777" w:rsidR="002B0D2A" w:rsidRPr="007E650E" w:rsidRDefault="002B0D2A" w:rsidP="002B0D2A">
      <w:pPr>
        <w:spacing w:after="0"/>
        <w:jc w:val="center"/>
        <w:rPr>
          <w:rFonts w:ascii="Calibri" w:hAnsi="Calibri" w:cs="Calibri"/>
          <w:b/>
          <w:bCs/>
          <w:sz w:val="24"/>
          <w:szCs w:val="24"/>
        </w:rPr>
      </w:pPr>
    </w:p>
    <w:p w14:paraId="4D924FF4" w14:textId="7CCD1E40" w:rsidR="00027CB7" w:rsidRPr="007E650E" w:rsidRDefault="00753B58" w:rsidP="00027CB7">
      <w:pPr>
        <w:jc w:val="center"/>
        <w:rPr>
          <w:rFonts w:ascii="Calibri" w:hAnsi="Calibri" w:cs="Calibri"/>
          <w:b/>
          <w:bCs/>
          <w:sz w:val="24"/>
          <w:szCs w:val="24"/>
        </w:rPr>
      </w:pPr>
      <w:sdt>
        <w:sdtPr>
          <w:rPr>
            <w:rFonts w:ascii="Calibri" w:hAnsi="Calibri" w:cs="Calibri"/>
            <w:b/>
            <w:bCs/>
            <w:sz w:val="24"/>
            <w:szCs w:val="24"/>
          </w:rPr>
          <w:alias w:val="Month"/>
          <w:tag w:val="Month"/>
          <w:id w:val="-538431992"/>
          <w:placeholder>
            <w:docPart w:val="120FDF7D7C3148B182B21CB1BB24BE07"/>
          </w:placeholder>
          <w:dropDownList>
            <w:listItem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729FF" w:rsidRPr="007E650E">
            <w:rPr>
              <w:rFonts w:ascii="Calibri" w:hAnsi="Calibri" w:cs="Calibri"/>
              <w:b/>
              <w:bCs/>
              <w:sz w:val="24"/>
              <w:szCs w:val="24"/>
            </w:rPr>
            <w:t>April</w:t>
          </w:r>
        </w:sdtContent>
      </w:sdt>
      <w:r w:rsidR="00027CB7" w:rsidRPr="007E650E">
        <w:rPr>
          <w:rFonts w:ascii="Calibri" w:hAnsi="Calibri" w:cs="Calibri"/>
          <w:b/>
          <w:bCs/>
          <w:sz w:val="24"/>
          <w:szCs w:val="24"/>
        </w:rPr>
        <w:t xml:space="preserve"> 20</w:t>
      </w:r>
      <w:r w:rsidR="007729FF" w:rsidRPr="007E650E">
        <w:rPr>
          <w:rFonts w:ascii="Calibri" w:hAnsi="Calibri" w:cs="Calibri"/>
          <w:b/>
          <w:bCs/>
          <w:sz w:val="24"/>
          <w:szCs w:val="24"/>
        </w:rPr>
        <w:t>25</w:t>
      </w:r>
    </w:p>
    <w:p w14:paraId="69533F0E" w14:textId="0112135E" w:rsidR="002B0D2A" w:rsidRPr="007E650E" w:rsidRDefault="002B0D2A" w:rsidP="002B0D2A">
      <w:pPr>
        <w:spacing w:after="0"/>
        <w:jc w:val="center"/>
        <w:rPr>
          <w:rFonts w:ascii="Calibri" w:hAnsi="Calibri" w:cs="Calibri"/>
          <w:b/>
          <w:bCs/>
          <w:sz w:val="24"/>
          <w:szCs w:val="24"/>
        </w:rPr>
      </w:pPr>
    </w:p>
    <w:p w14:paraId="678C2809" w14:textId="77777777" w:rsidR="007C07BA" w:rsidRPr="007E650E" w:rsidRDefault="007C07BA" w:rsidP="002B0D2A">
      <w:pPr>
        <w:spacing w:after="0"/>
        <w:jc w:val="center"/>
        <w:rPr>
          <w:rFonts w:ascii="Calibri" w:hAnsi="Calibri" w:cs="Calibri"/>
          <w:b/>
          <w:bCs/>
          <w:sz w:val="24"/>
          <w:szCs w:val="24"/>
        </w:rPr>
      </w:pPr>
    </w:p>
    <w:p w14:paraId="04BFCAB6" w14:textId="77777777" w:rsidR="007C07BA" w:rsidRPr="007E650E" w:rsidRDefault="007C07BA" w:rsidP="002B0D2A">
      <w:pPr>
        <w:spacing w:after="0"/>
        <w:jc w:val="center"/>
        <w:rPr>
          <w:rFonts w:ascii="Calibri" w:hAnsi="Calibri" w:cs="Calibri"/>
          <w:b/>
          <w:bCs/>
          <w:sz w:val="24"/>
          <w:szCs w:val="24"/>
        </w:rPr>
      </w:pPr>
    </w:p>
    <w:p w14:paraId="0BF8F86A" w14:textId="6D9C6243" w:rsidR="002B0D2A" w:rsidRPr="007E650E" w:rsidRDefault="00753B58" w:rsidP="002B0D2A">
      <w:pPr>
        <w:spacing w:after="0"/>
        <w:jc w:val="center"/>
        <w:rPr>
          <w:rFonts w:ascii="Calibri" w:hAnsi="Calibri" w:cs="Calibri"/>
          <w:sz w:val="24"/>
          <w:szCs w:val="24"/>
        </w:rPr>
      </w:pPr>
      <w:r>
        <w:rPr>
          <w:rFonts w:ascii="Calibri" w:hAnsi="Calibri" w:cs="Calibri"/>
          <w:color w:val="2B579A"/>
          <w:sz w:val="24"/>
          <w:szCs w:val="24"/>
          <w:shd w:val="clear" w:color="auto" w:fill="E6E6E6"/>
        </w:rPr>
        <w:pict w14:anchorId="6BC131B2">
          <v:rect id="_x0000_i1026" style="width:466.55pt;height:2pt" o:hralign="center" o:hrstd="t" o:hrnoshade="t" o:hr="t" fillcolor="#f79646" stroked="f"/>
        </w:pict>
      </w:r>
    </w:p>
    <w:p w14:paraId="52325214" w14:textId="3668E3CF" w:rsidR="002B0D2A" w:rsidRPr="007E650E" w:rsidRDefault="002B0D2A" w:rsidP="002B0D2A">
      <w:pPr>
        <w:jc w:val="center"/>
        <w:rPr>
          <w:rFonts w:ascii="Calibri" w:hAnsi="Calibri" w:cs="Calibri"/>
          <w:sz w:val="24"/>
          <w:szCs w:val="24"/>
        </w:rPr>
      </w:pPr>
      <w:r w:rsidRPr="007E650E">
        <w:rPr>
          <w:rFonts w:ascii="Calibri" w:hAnsi="Calibri" w:cs="Calibri"/>
          <w:sz w:val="24"/>
          <w:szCs w:val="24"/>
        </w:rPr>
        <w:t xml:space="preserve">The Employment Development Department is an equal opportunity employer/program. Auxiliary aids and Services are available upon request to individuals with disabilities. </w:t>
      </w:r>
      <w:proofErr w:type="gramStart"/>
      <w:r w:rsidRPr="007E650E">
        <w:rPr>
          <w:rFonts w:ascii="Calibri" w:hAnsi="Calibri" w:cs="Calibri"/>
          <w:sz w:val="24"/>
          <w:szCs w:val="24"/>
        </w:rPr>
        <w:t>Request</w:t>
      </w:r>
      <w:proofErr w:type="gramEnd"/>
      <w:r w:rsidRPr="007E650E">
        <w:rPr>
          <w:rFonts w:ascii="Calibri" w:hAnsi="Calibri" w:cs="Calibri"/>
          <w:sz w:val="24"/>
          <w:szCs w:val="24"/>
        </w:rPr>
        <w:t xml:space="preserve"> for services, aids</w:t>
      </w:r>
      <w:r w:rsidR="007729FF" w:rsidRPr="007E650E">
        <w:rPr>
          <w:rFonts w:ascii="Calibri" w:hAnsi="Calibri" w:cs="Calibri"/>
          <w:sz w:val="24"/>
          <w:szCs w:val="24"/>
        </w:rPr>
        <w:t>,</w:t>
      </w:r>
      <w:r w:rsidRPr="007E650E">
        <w:rPr>
          <w:rFonts w:ascii="Calibri" w:hAnsi="Calibri" w:cs="Calibri"/>
          <w:sz w:val="24"/>
          <w:szCs w:val="24"/>
        </w:rPr>
        <w:t xml:space="preserve"> and alternate formats may be made by calling (916) 654-8434. TTY users please call </w:t>
      </w:r>
      <w:proofErr w:type="gramStart"/>
      <w:r w:rsidRPr="007E650E">
        <w:rPr>
          <w:rFonts w:ascii="Calibri" w:hAnsi="Calibri" w:cs="Calibri"/>
          <w:sz w:val="24"/>
          <w:szCs w:val="24"/>
        </w:rPr>
        <w:t>the California</w:t>
      </w:r>
      <w:proofErr w:type="gramEnd"/>
      <w:r w:rsidRPr="007E650E">
        <w:rPr>
          <w:rFonts w:ascii="Calibri" w:hAnsi="Calibri" w:cs="Calibri"/>
          <w:sz w:val="24"/>
          <w:szCs w:val="24"/>
        </w:rPr>
        <w:t xml:space="preserve"> Relay Services </w:t>
      </w:r>
      <w:proofErr w:type="gramStart"/>
      <w:r w:rsidRPr="007E650E">
        <w:rPr>
          <w:rFonts w:ascii="Calibri" w:hAnsi="Calibri" w:cs="Calibri"/>
          <w:sz w:val="24"/>
          <w:szCs w:val="24"/>
        </w:rPr>
        <w:t>at</w:t>
      </w:r>
      <w:proofErr w:type="gramEnd"/>
      <w:r w:rsidRPr="007E650E">
        <w:rPr>
          <w:rFonts w:ascii="Calibri" w:hAnsi="Calibri" w:cs="Calibri"/>
          <w:sz w:val="24"/>
          <w:szCs w:val="24"/>
        </w:rPr>
        <w:t xml:space="preserve"> 711.</w:t>
      </w:r>
    </w:p>
    <w:p w14:paraId="6EF9F917" w14:textId="7F2F0D48" w:rsidR="00224092" w:rsidRPr="007E650E" w:rsidRDefault="001B5E2C" w:rsidP="00C72322">
      <w:pPr>
        <w:jc w:val="center"/>
        <w:rPr>
          <w:rFonts w:ascii="Calibri" w:hAnsi="Calibri" w:cs="Calibri"/>
          <w:sz w:val="24"/>
          <w:szCs w:val="24"/>
        </w:rPr>
      </w:pPr>
      <w:r w:rsidRPr="007E650E">
        <w:rPr>
          <w:rFonts w:ascii="Calibri" w:hAnsi="Calibri" w:cs="Calibri"/>
          <w:sz w:val="24"/>
          <w:szCs w:val="24"/>
        </w:rPr>
        <w:t>This Deaf and Hard of Hearing SFP is funded by a grant award totaling $2.7 million (100%) from the U.S. Department of Labor, with $0 (0%) financed from non-federal sources.</w:t>
      </w:r>
    </w:p>
    <w:p w14:paraId="49A8F51C" w14:textId="37708287" w:rsidR="00224092" w:rsidRPr="007E650E" w:rsidRDefault="007C07BA" w:rsidP="000920D7">
      <w:pPr>
        <w:pStyle w:val="Heading2"/>
        <w:numPr>
          <w:ilvl w:val="0"/>
          <w:numId w:val="0"/>
        </w:numPr>
        <w:rPr>
          <w:rStyle w:val="Heading2Char"/>
          <w:rFonts w:cs="Calibri"/>
          <w:b/>
          <w:bCs/>
        </w:rPr>
      </w:pPr>
      <w:bookmarkStart w:id="6" w:name="_Hlk167871659"/>
      <w:bookmarkStart w:id="7" w:name="_Toc167894586"/>
      <w:bookmarkStart w:id="8" w:name="_Toc167894644"/>
      <w:bookmarkStart w:id="9" w:name="_Toc195189570"/>
      <w:r w:rsidRPr="007E650E">
        <w:rPr>
          <w:rStyle w:val="Heading2Char"/>
          <w:rFonts w:cs="Calibri"/>
          <w:b/>
          <w:bCs/>
        </w:rPr>
        <w:lastRenderedPageBreak/>
        <w:t>Proposal Package Instructions and Exhibits</w:t>
      </w:r>
      <w:bookmarkStart w:id="10" w:name="_Toc167894587"/>
      <w:bookmarkStart w:id="11" w:name="_Toc167894645"/>
      <w:bookmarkEnd w:id="6"/>
      <w:bookmarkEnd w:id="7"/>
      <w:bookmarkEnd w:id="8"/>
      <w:bookmarkEnd w:id="10"/>
      <w:bookmarkEnd w:id="11"/>
      <w:bookmarkEnd w:id="9"/>
    </w:p>
    <w:p w14:paraId="0A5CF0C3" w14:textId="76A78657" w:rsidR="007C07BA" w:rsidRPr="007E650E" w:rsidRDefault="007C07BA" w:rsidP="00F470F1">
      <w:pPr>
        <w:pStyle w:val="BodyText"/>
      </w:pPr>
      <w:r w:rsidRPr="007E650E">
        <w:rPr>
          <w:lang w:val="en-US"/>
        </w:rPr>
        <w:t>The following contains the Solicitation for Proposals (SFP) instructions and required exhibits for the Program Year (PY) 20</w:t>
      </w:r>
      <w:r w:rsidR="009973A8" w:rsidRPr="007E650E">
        <w:rPr>
          <w:lang w:val="en-US"/>
        </w:rPr>
        <w:t>25-26 Deaf and Hard of Hearing (DHH)</w:t>
      </w:r>
      <w:r w:rsidR="00AE5925" w:rsidRPr="007E650E">
        <w:rPr>
          <w:lang w:val="en-US"/>
        </w:rPr>
        <w:t xml:space="preserve"> Services</w:t>
      </w:r>
      <w:r w:rsidRPr="007E650E">
        <w:rPr>
          <w:lang w:val="en-US"/>
        </w:rPr>
        <w:t xml:space="preserve"> funding opportunity. Select each exhibit link individually and download each before saving the SFP to a personal computer (PC). Applicants should carefully read the SFP for the required elements and follow the Proposal Package Instructions in Appendix A to meet all proposal application requirements.</w:t>
      </w:r>
    </w:p>
    <w:p w14:paraId="6B818447" w14:textId="584CC082" w:rsidR="00FC67D0" w:rsidRPr="007E650E" w:rsidRDefault="00FC67D0" w:rsidP="00FC67D0">
      <w:pPr>
        <w:spacing w:line="240" w:lineRule="auto"/>
        <w:rPr>
          <w:rFonts w:ascii="Calibri" w:eastAsia="Times New Roman" w:hAnsi="Calibri" w:cs="Calibri"/>
          <w:b/>
          <w:bCs/>
          <w:sz w:val="24"/>
          <w:szCs w:val="24"/>
        </w:rPr>
      </w:pPr>
      <w:r w:rsidRPr="007E650E">
        <w:rPr>
          <w:rFonts w:ascii="Calibri" w:eastAsia="Times New Roman" w:hAnsi="Calibri" w:cs="Calibri"/>
          <w:b/>
          <w:bCs/>
          <w:sz w:val="24"/>
          <w:szCs w:val="24"/>
        </w:rPr>
        <w:t>Required Exhibits</w:t>
      </w:r>
      <w:r w:rsidR="008F564F" w:rsidRPr="007E650E">
        <w:rPr>
          <w:rFonts w:ascii="Calibri" w:eastAsia="Times New Roman" w:hAnsi="Calibri" w:cs="Calibri"/>
          <w:b/>
          <w:bCs/>
          <w:sz w:val="24"/>
          <w:szCs w:val="24"/>
        </w:rPr>
        <w:t>:</w:t>
      </w:r>
    </w:p>
    <w:p w14:paraId="63A596F0" w14:textId="0FC30348" w:rsidR="00FC67D0" w:rsidRPr="00753B58" w:rsidRDefault="00753B58" w:rsidP="00E21BF4">
      <w:pPr>
        <w:numPr>
          <w:ilvl w:val="0"/>
          <w:numId w:val="1"/>
        </w:numPr>
        <w:spacing w:after="0" w:line="240" w:lineRule="auto"/>
        <w:rPr>
          <w:rFonts w:ascii="Calibri" w:eastAsia="Times New Roman" w:hAnsi="Calibri" w:cs="Calibri"/>
          <w:color w:val="0070C0"/>
          <w:sz w:val="24"/>
          <w:szCs w:val="24"/>
        </w:rPr>
      </w:pPr>
      <w:hyperlink r:id="rId12" w:history="1">
        <w:r w:rsidR="0999FF71" w:rsidRPr="00753B58">
          <w:rPr>
            <w:rStyle w:val="Hyperlink"/>
            <w:rFonts w:ascii="Calibri" w:eastAsia="Times New Roman" w:hAnsi="Calibri" w:cs="Calibri"/>
            <w:color w:val="0070C0"/>
            <w:sz w:val="24"/>
            <w:szCs w:val="24"/>
          </w:rPr>
          <w:t>Cover Signature Page (DOCX)</w:t>
        </w:r>
      </w:hyperlink>
    </w:p>
    <w:p w14:paraId="62BC91B3" w14:textId="3B04F4D8" w:rsidR="00FC67D0" w:rsidRPr="00753B58" w:rsidRDefault="00753B58" w:rsidP="00E21BF4">
      <w:pPr>
        <w:numPr>
          <w:ilvl w:val="0"/>
          <w:numId w:val="1"/>
        </w:numPr>
        <w:spacing w:after="0" w:line="240" w:lineRule="auto"/>
        <w:rPr>
          <w:rFonts w:ascii="Calibri" w:eastAsia="Times New Roman" w:hAnsi="Calibri" w:cs="Calibri"/>
          <w:color w:val="0070C0"/>
          <w:sz w:val="24"/>
          <w:szCs w:val="24"/>
        </w:rPr>
      </w:pPr>
      <w:hyperlink r:id="rId13" w:history="1">
        <w:r w:rsidR="00FC67D0" w:rsidRPr="00753B58">
          <w:rPr>
            <w:rStyle w:val="Hyperlink"/>
            <w:rFonts w:ascii="Calibri" w:eastAsia="Times New Roman" w:hAnsi="Calibri" w:cs="Calibri"/>
            <w:color w:val="0070C0"/>
            <w:sz w:val="24"/>
            <w:szCs w:val="24"/>
          </w:rPr>
          <w:t>Exhibit A – Project Narrative (DOCX)</w:t>
        </w:r>
      </w:hyperlink>
    </w:p>
    <w:p w14:paraId="772E6E3E" w14:textId="7143A89E" w:rsidR="00FC67D0" w:rsidRPr="00753B58" w:rsidRDefault="00753B58" w:rsidP="00E21BF4">
      <w:pPr>
        <w:numPr>
          <w:ilvl w:val="0"/>
          <w:numId w:val="1"/>
        </w:numPr>
        <w:spacing w:after="0" w:line="240" w:lineRule="auto"/>
        <w:rPr>
          <w:rFonts w:ascii="Calibri" w:eastAsia="Times New Roman" w:hAnsi="Calibri" w:cs="Calibri"/>
          <w:bCs/>
          <w:color w:val="0070C0"/>
          <w:sz w:val="24"/>
          <w:szCs w:val="24"/>
        </w:rPr>
      </w:pPr>
      <w:hyperlink r:id="rId14" w:history="1">
        <w:r w:rsidR="00FC67D0" w:rsidRPr="00753B58">
          <w:rPr>
            <w:rStyle w:val="Hyperlink"/>
            <w:rFonts w:ascii="Calibri" w:eastAsia="Times New Roman" w:hAnsi="Calibri" w:cs="Calibri"/>
            <w:bCs/>
            <w:color w:val="0070C0"/>
            <w:sz w:val="24"/>
            <w:szCs w:val="24"/>
          </w:rPr>
          <w:t>Exhibit F – Budget Summary (DOCX)</w:t>
        </w:r>
      </w:hyperlink>
    </w:p>
    <w:p w14:paraId="4B484825" w14:textId="12E3DB9B" w:rsidR="00FC67D0" w:rsidRPr="00753B58" w:rsidRDefault="00753B58" w:rsidP="00E21BF4">
      <w:pPr>
        <w:numPr>
          <w:ilvl w:val="0"/>
          <w:numId w:val="1"/>
        </w:numPr>
        <w:spacing w:after="0" w:line="240" w:lineRule="auto"/>
        <w:rPr>
          <w:rFonts w:ascii="Calibri" w:eastAsia="Times New Roman" w:hAnsi="Calibri" w:cs="Calibri"/>
          <w:bCs/>
          <w:color w:val="0070C0"/>
          <w:sz w:val="24"/>
          <w:szCs w:val="24"/>
        </w:rPr>
      </w:pPr>
      <w:hyperlink r:id="rId15" w:history="1">
        <w:r w:rsidR="00FC67D0" w:rsidRPr="00753B58">
          <w:rPr>
            <w:rStyle w:val="Hyperlink"/>
            <w:rFonts w:ascii="Calibri" w:eastAsia="Times New Roman" w:hAnsi="Calibri" w:cs="Calibri"/>
            <w:bCs/>
            <w:color w:val="0070C0"/>
            <w:sz w:val="24"/>
            <w:szCs w:val="24"/>
          </w:rPr>
          <w:t>Exhibit F2 – Budget Narrative (DOCX)</w:t>
        </w:r>
      </w:hyperlink>
    </w:p>
    <w:p w14:paraId="2F048497" w14:textId="03545BF2" w:rsidR="00FC67D0" w:rsidRPr="00753B58" w:rsidRDefault="00753B58" w:rsidP="00E21BF4">
      <w:pPr>
        <w:numPr>
          <w:ilvl w:val="0"/>
          <w:numId w:val="1"/>
        </w:numPr>
        <w:spacing w:after="0" w:line="240" w:lineRule="auto"/>
        <w:rPr>
          <w:rFonts w:ascii="Calibri" w:eastAsia="Times New Roman" w:hAnsi="Calibri" w:cs="Calibri"/>
          <w:bCs/>
          <w:color w:val="0070C0"/>
          <w:sz w:val="24"/>
          <w:szCs w:val="24"/>
        </w:rPr>
      </w:pPr>
      <w:hyperlink r:id="rId16" w:history="1">
        <w:r w:rsidR="00FC67D0" w:rsidRPr="00753B58">
          <w:rPr>
            <w:rStyle w:val="Hyperlink"/>
            <w:rFonts w:ascii="Calibri" w:eastAsia="Times New Roman" w:hAnsi="Calibri" w:cs="Calibri"/>
            <w:bCs/>
            <w:color w:val="0070C0"/>
            <w:sz w:val="24"/>
            <w:szCs w:val="24"/>
          </w:rPr>
          <w:t>Exhibit G – Supplemental Budget (if applicable) (DOCX)</w:t>
        </w:r>
      </w:hyperlink>
    </w:p>
    <w:p w14:paraId="551C81C6" w14:textId="693DBDE3" w:rsidR="00793684" w:rsidRPr="00753B58" w:rsidRDefault="00753B58" w:rsidP="009813FD">
      <w:pPr>
        <w:pStyle w:val="ListParagraph"/>
        <w:numPr>
          <w:ilvl w:val="0"/>
          <w:numId w:val="1"/>
        </w:numPr>
        <w:spacing w:after="0" w:line="240" w:lineRule="auto"/>
        <w:rPr>
          <w:rFonts w:eastAsia="Times New Roman"/>
          <w:color w:val="0070C0"/>
        </w:rPr>
      </w:pPr>
      <w:hyperlink r:id="rId17" w:history="1">
        <w:r w:rsidR="27E54ACE" w:rsidRPr="00753B58">
          <w:rPr>
            <w:rStyle w:val="Hyperlink"/>
            <w:rFonts w:eastAsia="Times New Roman"/>
            <w:color w:val="0070C0"/>
          </w:rPr>
          <w:t>Executive Summary (DOCX)</w:t>
        </w:r>
      </w:hyperlink>
    </w:p>
    <w:p w14:paraId="3F9C52A0" w14:textId="77777777" w:rsidR="00C27919" w:rsidRPr="007E650E" w:rsidRDefault="00C27919" w:rsidP="00C27919"/>
    <w:p w14:paraId="7492DC46" w14:textId="77777777" w:rsidR="00C27919" w:rsidRPr="007E650E" w:rsidRDefault="00C27919" w:rsidP="00C27919"/>
    <w:p w14:paraId="05D6CA89" w14:textId="77777777" w:rsidR="00C27919" w:rsidRPr="007E650E" w:rsidRDefault="00C27919" w:rsidP="00C27919"/>
    <w:p w14:paraId="432FF161" w14:textId="77777777" w:rsidR="00C27919" w:rsidRPr="007E650E" w:rsidRDefault="00C27919" w:rsidP="00C27919"/>
    <w:p w14:paraId="78406CB4" w14:textId="77777777" w:rsidR="00C27919" w:rsidRPr="007E650E" w:rsidRDefault="00C27919" w:rsidP="00C27919"/>
    <w:p w14:paraId="749409B0" w14:textId="77777777" w:rsidR="00C27919" w:rsidRPr="007E650E" w:rsidRDefault="00C27919" w:rsidP="00C27919"/>
    <w:p w14:paraId="56C2F2F7" w14:textId="77777777" w:rsidR="00C27919" w:rsidRPr="007E650E" w:rsidRDefault="00C27919" w:rsidP="00C27919"/>
    <w:p w14:paraId="7D7FF56E" w14:textId="77777777" w:rsidR="00C27919" w:rsidRPr="007E650E" w:rsidRDefault="00C27919" w:rsidP="00C27919"/>
    <w:p w14:paraId="22303E81" w14:textId="77777777" w:rsidR="00C27919" w:rsidRPr="007E650E" w:rsidRDefault="00C27919" w:rsidP="00C27919"/>
    <w:p w14:paraId="73FA1312" w14:textId="77777777" w:rsidR="00C27919" w:rsidRPr="007E650E" w:rsidRDefault="00C27919" w:rsidP="00C27919"/>
    <w:p w14:paraId="1CBDACFB" w14:textId="77777777" w:rsidR="00C27919" w:rsidRPr="007E650E" w:rsidRDefault="00C27919" w:rsidP="00C27919"/>
    <w:p w14:paraId="660C2953" w14:textId="77777777" w:rsidR="00C27919" w:rsidRPr="007E650E" w:rsidRDefault="00C27919" w:rsidP="00C27919"/>
    <w:p w14:paraId="647E0E02" w14:textId="77777777" w:rsidR="00C27919" w:rsidRPr="007E650E" w:rsidRDefault="00C27919" w:rsidP="00C27919"/>
    <w:p w14:paraId="4C8E9054" w14:textId="77777777" w:rsidR="00C27919" w:rsidRPr="007E650E" w:rsidRDefault="00C27919" w:rsidP="00C27919"/>
    <w:p w14:paraId="081A1F02" w14:textId="77777777" w:rsidR="00C27919" w:rsidRPr="007E650E" w:rsidRDefault="00C27919" w:rsidP="00C27919"/>
    <w:p w14:paraId="22DCB772" w14:textId="6C1FE060" w:rsidR="00C27919" w:rsidRPr="007E650E" w:rsidRDefault="00C27919" w:rsidP="00C27919">
      <w:pPr>
        <w:tabs>
          <w:tab w:val="left" w:pos="1125"/>
        </w:tabs>
        <w:rPr>
          <w:rFonts w:ascii="Calibri" w:eastAsia="Times New Roman" w:hAnsi="Calibri" w:cs="Calibri"/>
          <w:color w:val="4472C4"/>
          <w:sz w:val="24"/>
          <w:szCs w:val="24"/>
        </w:rPr>
      </w:pPr>
      <w:r w:rsidRPr="007E650E">
        <w:rPr>
          <w:rFonts w:ascii="Calibri" w:eastAsia="Times New Roman" w:hAnsi="Calibri" w:cs="Calibri"/>
          <w:color w:val="4472C4"/>
          <w:sz w:val="24"/>
          <w:szCs w:val="24"/>
        </w:rPr>
        <w:tab/>
      </w:r>
    </w:p>
    <w:p w14:paraId="24F367F1" w14:textId="4D41B093" w:rsidR="00C27919" w:rsidRPr="007E650E" w:rsidRDefault="00C27919" w:rsidP="00C27919">
      <w:pPr>
        <w:tabs>
          <w:tab w:val="left" w:pos="1125"/>
        </w:tabs>
        <w:sectPr w:rsidR="00C27919" w:rsidRPr="007E650E" w:rsidSect="00FC67D0">
          <w:footerReference w:type="default" r:id="rId18"/>
          <w:footerReference w:type="first" r:id="rId19"/>
          <w:pgSz w:w="12240" w:h="15840"/>
          <w:pgMar w:top="1440" w:right="1440" w:bottom="1440" w:left="1440" w:header="720" w:footer="720" w:gutter="0"/>
          <w:pgNumType w:fmt="lowerRoman"/>
          <w:cols w:space="720"/>
          <w:titlePg/>
          <w:docGrid w:linePitch="360"/>
        </w:sectPr>
      </w:pPr>
      <w:r w:rsidRPr="007E650E">
        <w:tab/>
      </w:r>
    </w:p>
    <w:p w14:paraId="35E83A69" w14:textId="77777777" w:rsidR="00F72A3F" w:rsidRPr="007E650E" w:rsidRDefault="00DB462D" w:rsidP="00DB462D">
      <w:pPr>
        <w:pStyle w:val="TOC1"/>
        <w:rPr>
          <w:noProof/>
        </w:rPr>
      </w:pPr>
      <w:r w:rsidRPr="007E650E">
        <w:lastRenderedPageBreak/>
        <w:t>Table of Contents</w:t>
      </w:r>
      <w:r w:rsidRPr="007E650E">
        <w:rPr>
          <w:color w:val="2B579A"/>
          <w:shd w:val="clear" w:color="auto" w:fill="E6E6E6"/>
        </w:rPr>
        <w:fldChar w:fldCharType="begin"/>
      </w:r>
      <w:r w:rsidRPr="007E650E">
        <w:instrText xml:space="preserve"> TOC \o "1-3" \u </w:instrText>
      </w:r>
      <w:r w:rsidRPr="007E650E">
        <w:rPr>
          <w:color w:val="2B579A"/>
          <w:shd w:val="clear" w:color="auto" w:fill="E6E6E6"/>
        </w:rPr>
        <w:fldChar w:fldCharType="separate"/>
      </w:r>
    </w:p>
    <w:p w14:paraId="3B288AC4" w14:textId="7CF7918F" w:rsidR="00F72A3F" w:rsidRPr="007E650E" w:rsidRDefault="00F72A3F">
      <w:pPr>
        <w:pStyle w:val="TOC2"/>
        <w:tabs>
          <w:tab w:val="right" w:leader="dot" w:pos="9350"/>
        </w:tabs>
        <w:rPr>
          <w:rFonts w:asciiTheme="minorHAnsi" w:eastAsiaTheme="minorEastAsia" w:hAnsiTheme="minorHAnsi"/>
          <w:b w:val="0"/>
          <w:bCs w:val="0"/>
          <w:noProof/>
          <w:szCs w:val="24"/>
        </w:rPr>
      </w:pPr>
      <w:r w:rsidRPr="007E650E">
        <w:rPr>
          <w:rFonts w:cs="Calibri"/>
          <w:noProof/>
        </w:rPr>
        <w:t>Proposal Package Instructions and Exhibits</w:t>
      </w:r>
      <w:r w:rsidRPr="007E650E">
        <w:rPr>
          <w:noProof/>
        </w:rPr>
        <w:tab/>
      </w:r>
      <w:r w:rsidRPr="007E650E">
        <w:rPr>
          <w:noProof/>
        </w:rPr>
        <w:fldChar w:fldCharType="begin"/>
      </w:r>
      <w:r w:rsidRPr="007E650E">
        <w:rPr>
          <w:noProof/>
        </w:rPr>
        <w:instrText xml:space="preserve"> PAGEREF _Toc195189570 \h </w:instrText>
      </w:r>
      <w:r w:rsidRPr="007E650E">
        <w:rPr>
          <w:noProof/>
        </w:rPr>
      </w:r>
      <w:r w:rsidRPr="007E650E">
        <w:rPr>
          <w:noProof/>
        </w:rPr>
        <w:fldChar w:fldCharType="separate"/>
      </w:r>
      <w:r w:rsidR="00D762CC" w:rsidRPr="007E650E">
        <w:rPr>
          <w:noProof/>
        </w:rPr>
        <w:t>ii</w:t>
      </w:r>
      <w:r w:rsidRPr="007E650E">
        <w:rPr>
          <w:noProof/>
        </w:rPr>
        <w:fldChar w:fldCharType="end"/>
      </w:r>
    </w:p>
    <w:p w14:paraId="1D6067B5" w14:textId="2730EF16" w:rsidR="00F72A3F" w:rsidRPr="007E650E" w:rsidRDefault="00F72A3F">
      <w:pPr>
        <w:pStyle w:val="TOC2"/>
        <w:tabs>
          <w:tab w:val="left" w:pos="440"/>
          <w:tab w:val="right" w:leader="dot" w:pos="9350"/>
        </w:tabs>
        <w:rPr>
          <w:rFonts w:asciiTheme="minorHAnsi" w:eastAsiaTheme="minorEastAsia" w:hAnsiTheme="minorHAnsi"/>
          <w:b w:val="0"/>
          <w:bCs w:val="0"/>
          <w:noProof/>
          <w:szCs w:val="24"/>
        </w:rPr>
      </w:pPr>
      <w:r w:rsidRPr="007E650E">
        <w:rPr>
          <w:noProof/>
        </w:rPr>
        <w:t>1.</w:t>
      </w:r>
      <w:r w:rsidRPr="007E650E">
        <w:rPr>
          <w:rFonts w:asciiTheme="minorHAnsi" w:eastAsiaTheme="minorEastAsia" w:hAnsiTheme="minorHAnsi"/>
          <w:b w:val="0"/>
          <w:bCs w:val="0"/>
          <w:noProof/>
          <w:szCs w:val="24"/>
        </w:rPr>
        <w:tab/>
      </w:r>
      <w:r w:rsidRPr="007E650E">
        <w:rPr>
          <w:noProof/>
        </w:rPr>
        <w:t>Overview</w:t>
      </w:r>
      <w:r w:rsidRPr="007E650E">
        <w:rPr>
          <w:noProof/>
        </w:rPr>
        <w:tab/>
      </w:r>
      <w:r w:rsidRPr="007E650E">
        <w:rPr>
          <w:noProof/>
        </w:rPr>
        <w:fldChar w:fldCharType="begin"/>
      </w:r>
      <w:r w:rsidRPr="007E650E">
        <w:rPr>
          <w:noProof/>
        </w:rPr>
        <w:instrText xml:space="preserve"> PAGEREF _Toc195189571 \h </w:instrText>
      </w:r>
      <w:r w:rsidRPr="007E650E">
        <w:rPr>
          <w:noProof/>
        </w:rPr>
      </w:r>
      <w:r w:rsidRPr="007E650E">
        <w:rPr>
          <w:noProof/>
        </w:rPr>
        <w:fldChar w:fldCharType="separate"/>
      </w:r>
      <w:r w:rsidR="00D762CC" w:rsidRPr="007E650E">
        <w:rPr>
          <w:noProof/>
        </w:rPr>
        <w:t>3</w:t>
      </w:r>
      <w:r w:rsidRPr="007E650E">
        <w:rPr>
          <w:noProof/>
        </w:rPr>
        <w:fldChar w:fldCharType="end"/>
      </w:r>
    </w:p>
    <w:p w14:paraId="167750D1" w14:textId="0C6F74AB" w:rsidR="00F72A3F" w:rsidRPr="007E650E" w:rsidRDefault="00F72A3F">
      <w:pPr>
        <w:pStyle w:val="TOC3"/>
        <w:rPr>
          <w:rFonts w:asciiTheme="minorHAnsi" w:eastAsiaTheme="minorEastAsia" w:hAnsiTheme="minorHAnsi"/>
          <w:noProof/>
          <w:szCs w:val="24"/>
        </w:rPr>
      </w:pPr>
      <w:r w:rsidRPr="007E650E">
        <w:rPr>
          <w:noProof/>
        </w:rPr>
        <w:t>A.</w:t>
      </w:r>
      <w:r w:rsidRPr="007E650E">
        <w:rPr>
          <w:rFonts w:asciiTheme="minorHAnsi" w:eastAsiaTheme="minorEastAsia" w:hAnsiTheme="minorHAnsi"/>
          <w:noProof/>
          <w:szCs w:val="24"/>
        </w:rPr>
        <w:tab/>
      </w:r>
      <w:r w:rsidRPr="007E650E">
        <w:rPr>
          <w:noProof/>
        </w:rPr>
        <w:t>Purpose</w:t>
      </w:r>
      <w:r w:rsidRPr="007E650E">
        <w:rPr>
          <w:noProof/>
        </w:rPr>
        <w:tab/>
      </w:r>
      <w:r w:rsidRPr="007E650E">
        <w:rPr>
          <w:noProof/>
        </w:rPr>
        <w:fldChar w:fldCharType="begin"/>
      </w:r>
      <w:r w:rsidRPr="007E650E">
        <w:rPr>
          <w:noProof/>
        </w:rPr>
        <w:instrText xml:space="preserve"> PAGEREF _Toc195189572 \h </w:instrText>
      </w:r>
      <w:r w:rsidRPr="007E650E">
        <w:rPr>
          <w:noProof/>
        </w:rPr>
      </w:r>
      <w:r w:rsidRPr="007E650E">
        <w:rPr>
          <w:noProof/>
        </w:rPr>
        <w:fldChar w:fldCharType="separate"/>
      </w:r>
      <w:r w:rsidR="00D762CC" w:rsidRPr="007E650E">
        <w:rPr>
          <w:noProof/>
        </w:rPr>
        <w:t>3</w:t>
      </w:r>
      <w:r w:rsidRPr="007E650E">
        <w:rPr>
          <w:noProof/>
        </w:rPr>
        <w:fldChar w:fldCharType="end"/>
      </w:r>
    </w:p>
    <w:p w14:paraId="7A640F08" w14:textId="3E9C705E" w:rsidR="00F72A3F" w:rsidRPr="007E650E" w:rsidRDefault="00F72A3F">
      <w:pPr>
        <w:pStyle w:val="TOC3"/>
        <w:rPr>
          <w:rFonts w:asciiTheme="minorHAnsi" w:eastAsiaTheme="minorEastAsia" w:hAnsiTheme="minorHAnsi"/>
          <w:noProof/>
          <w:szCs w:val="24"/>
        </w:rPr>
      </w:pPr>
      <w:r w:rsidRPr="007E650E">
        <w:rPr>
          <w:rFonts w:eastAsia="Arial"/>
          <w:noProof/>
        </w:rPr>
        <w:t>B.</w:t>
      </w:r>
      <w:r w:rsidRPr="007E650E">
        <w:rPr>
          <w:rFonts w:asciiTheme="minorHAnsi" w:eastAsiaTheme="minorEastAsia" w:hAnsiTheme="minorHAnsi"/>
          <w:noProof/>
          <w:szCs w:val="24"/>
        </w:rPr>
        <w:tab/>
      </w:r>
      <w:r w:rsidRPr="007E650E">
        <w:rPr>
          <w:rFonts w:eastAsia="Arial"/>
          <w:noProof/>
        </w:rPr>
        <w:t>Availability</w:t>
      </w:r>
      <w:r w:rsidRPr="007E650E">
        <w:rPr>
          <w:noProof/>
        </w:rPr>
        <w:tab/>
      </w:r>
      <w:r w:rsidRPr="007E650E">
        <w:rPr>
          <w:noProof/>
        </w:rPr>
        <w:fldChar w:fldCharType="begin"/>
      </w:r>
      <w:r w:rsidRPr="007E650E">
        <w:rPr>
          <w:noProof/>
        </w:rPr>
        <w:instrText xml:space="preserve"> PAGEREF _Toc195189573 \h </w:instrText>
      </w:r>
      <w:r w:rsidRPr="007E650E">
        <w:rPr>
          <w:noProof/>
        </w:rPr>
      </w:r>
      <w:r w:rsidRPr="007E650E">
        <w:rPr>
          <w:noProof/>
        </w:rPr>
        <w:fldChar w:fldCharType="separate"/>
      </w:r>
      <w:r w:rsidR="00D762CC" w:rsidRPr="007E650E">
        <w:rPr>
          <w:noProof/>
        </w:rPr>
        <w:t>3</w:t>
      </w:r>
      <w:r w:rsidRPr="007E650E">
        <w:rPr>
          <w:noProof/>
        </w:rPr>
        <w:fldChar w:fldCharType="end"/>
      </w:r>
    </w:p>
    <w:p w14:paraId="6BA18D15" w14:textId="2D0786EB" w:rsidR="00F72A3F" w:rsidRPr="007E650E" w:rsidRDefault="00F72A3F">
      <w:pPr>
        <w:pStyle w:val="TOC3"/>
        <w:rPr>
          <w:rFonts w:asciiTheme="minorHAnsi" w:eastAsiaTheme="minorEastAsia" w:hAnsiTheme="minorHAnsi"/>
          <w:noProof/>
          <w:szCs w:val="24"/>
        </w:rPr>
      </w:pPr>
      <w:r w:rsidRPr="007E650E">
        <w:rPr>
          <w:rFonts w:eastAsia="Arial"/>
          <w:noProof/>
        </w:rPr>
        <w:t>C.</w:t>
      </w:r>
      <w:r w:rsidRPr="007E650E">
        <w:rPr>
          <w:rFonts w:asciiTheme="minorHAnsi" w:eastAsiaTheme="minorEastAsia" w:hAnsiTheme="minorHAnsi"/>
          <w:noProof/>
          <w:szCs w:val="24"/>
        </w:rPr>
        <w:tab/>
      </w:r>
      <w:r w:rsidRPr="007E650E">
        <w:rPr>
          <w:rFonts w:eastAsia="Arial"/>
          <w:noProof/>
        </w:rPr>
        <w:t>Target Populations</w:t>
      </w:r>
      <w:r w:rsidRPr="007E650E">
        <w:rPr>
          <w:noProof/>
        </w:rPr>
        <w:tab/>
      </w:r>
      <w:r w:rsidRPr="007E650E">
        <w:rPr>
          <w:noProof/>
        </w:rPr>
        <w:fldChar w:fldCharType="begin"/>
      </w:r>
      <w:r w:rsidRPr="007E650E">
        <w:rPr>
          <w:noProof/>
        </w:rPr>
        <w:instrText xml:space="preserve"> PAGEREF _Toc195189574 \h </w:instrText>
      </w:r>
      <w:r w:rsidRPr="007E650E">
        <w:rPr>
          <w:noProof/>
        </w:rPr>
      </w:r>
      <w:r w:rsidRPr="007E650E">
        <w:rPr>
          <w:noProof/>
        </w:rPr>
        <w:fldChar w:fldCharType="separate"/>
      </w:r>
      <w:r w:rsidR="00D762CC" w:rsidRPr="007E650E">
        <w:rPr>
          <w:noProof/>
        </w:rPr>
        <w:t>3</w:t>
      </w:r>
      <w:r w:rsidRPr="007E650E">
        <w:rPr>
          <w:noProof/>
        </w:rPr>
        <w:fldChar w:fldCharType="end"/>
      </w:r>
    </w:p>
    <w:p w14:paraId="2FAE3D1D" w14:textId="7D0D58A5" w:rsidR="00F72A3F" w:rsidRPr="007E650E" w:rsidRDefault="00F72A3F">
      <w:pPr>
        <w:pStyle w:val="TOC3"/>
        <w:rPr>
          <w:rFonts w:asciiTheme="minorHAnsi" w:eastAsiaTheme="minorEastAsia" w:hAnsiTheme="minorHAnsi"/>
          <w:noProof/>
          <w:szCs w:val="24"/>
        </w:rPr>
      </w:pPr>
      <w:r w:rsidRPr="007E650E">
        <w:rPr>
          <w:rFonts w:eastAsia="Arial"/>
          <w:noProof/>
        </w:rPr>
        <w:t>D.</w:t>
      </w:r>
      <w:r w:rsidRPr="007E650E">
        <w:rPr>
          <w:rFonts w:asciiTheme="minorHAnsi" w:eastAsiaTheme="minorEastAsia" w:hAnsiTheme="minorHAnsi"/>
          <w:noProof/>
          <w:szCs w:val="24"/>
        </w:rPr>
        <w:tab/>
      </w:r>
      <w:r w:rsidRPr="007E650E">
        <w:rPr>
          <w:noProof/>
        </w:rPr>
        <w:t>Eligibility</w:t>
      </w:r>
      <w:r w:rsidRPr="007E650E">
        <w:rPr>
          <w:noProof/>
        </w:rPr>
        <w:tab/>
      </w:r>
      <w:r w:rsidRPr="007E650E">
        <w:rPr>
          <w:noProof/>
        </w:rPr>
        <w:fldChar w:fldCharType="begin"/>
      </w:r>
      <w:r w:rsidRPr="007E650E">
        <w:rPr>
          <w:noProof/>
        </w:rPr>
        <w:instrText xml:space="preserve"> PAGEREF _Toc195189575 \h </w:instrText>
      </w:r>
      <w:r w:rsidRPr="007E650E">
        <w:rPr>
          <w:noProof/>
        </w:rPr>
      </w:r>
      <w:r w:rsidRPr="007E650E">
        <w:rPr>
          <w:noProof/>
        </w:rPr>
        <w:fldChar w:fldCharType="separate"/>
      </w:r>
      <w:r w:rsidR="00D762CC" w:rsidRPr="007E650E">
        <w:rPr>
          <w:noProof/>
        </w:rPr>
        <w:t>3</w:t>
      </w:r>
      <w:r w:rsidRPr="007E650E">
        <w:rPr>
          <w:noProof/>
        </w:rPr>
        <w:fldChar w:fldCharType="end"/>
      </w:r>
    </w:p>
    <w:p w14:paraId="4A6B5D52" w14:textId="41E0B242" w:rsidR="00F72A3F" w:rsidRPr="007E650E" w:rsidRDefault="00F72A3F">
      <w:pPr>
        <w:pStyle w:val="TOC3"/>
        <w:rPr>
          <w:rFonts w:asciiTheme="minorHAnsi" w:eastAsiaTheme="minorEastAsia" w:hAnsiTheme="minorHAnsi"/>
          <w:noProof/>
          <w:szCs w:val="24"/>
        </w:rPr>
      </w:pPr>
      <w:r w:rsidRPr="007E650E">
        <w:rPr>
          <w:noProof/>
        </w:rPr>
        <w:t>E.</w:t>
      </w:r>
      <w:r w:rsidRPr="007E650E">
        <w:rPr>
          <w:rFonts w:asciiTheme="minorHAnsi" w:eastAsiaTheme="minorEastAsia" w:hAnsiTheme="minorHAnsi"/>
          <w:noProof/>
          <w:szCs w:val="24"/>
        </w:rPr>
        <w:tab/>
      </w:r>
      <w:r w:rsidRPr="007E650E">
        <w:rPr>
          <w:noProof/>
        </w:rPr>
        <w:t>Program Locations</w:t>
      </w:r>
      <w:r w:rsidRPr="007E650E">
        <w:rPr>
          <w:noProof/>
        </w:rPr>
        <w:tab/>
      </w:r>
      <w:r w:rsidRPr="007E650E">
        <w:rPr>
          <w:noProof/>
        </w:rPr>
        <w:fldChar w:fldCharType="begin"/>
      </w:r>
      <w:r w:rsidRPr="007E650E">
        <w:rPr>
          <w:noProof/>
        </w:rPr>
        <w:instrText xml:space="preserve"> PAGEREF _Toc195189576 \h </w:instrText>
      </w:r>
      <w:r w:rsidRPr="007E650E">
        <w:rPr>
          <w:noProof/>
        </w:rPr>
      </w:r>
      <w:r w:rsidRPr="007E650E">
        <w:rPr>
          <w:noProof/>
        </w:rPr>
        <w:fldChar w:fldCharType="separate"/>
      </w:r>
      <w:r w:rsidR="00D762CC" w:rsidRPr="007E650E">
        <w:rPr>
          <w:noProof/>
        </w:rPr>
        <w:t>4</w:t>
      </w:r>
      <w:r w:rsidRPr="007E650E">
        <w:rPr>
          <w:noProof/>
        </w:rPr>
        <w:fldChar w:fldCharType="end"/>
      </w:r>
    </w:p>
    <w:p w14:paraId="13E80030" w14:textId="3A58D0DF" w:rsidR="00F72A3F" w:rsidRPr="007E650E" w:rsidRDefault="00F72A3F">
      <w:pPr>
        <w:pStyle w:val="TOC3"/>
        <w:rPr>
          <w:rFonts w:asciiTheme="minorHAnsi" w:eastAsiaTheme="minorEastAsia" w:hAnsiTheme="minorHAnsi"/>
          <w:noProof/>
          <w:szCs w:val="24"/>
        </w:rPr>
      </w:pPr>
      <w:r w:rsidRPr="007E650E">
        <w:rPr>
          <w:noProof/>
          <w:lang w:val="en"/>
        </w:rPr>
        <w:t>F.</w:t>
      </w:r>
      <w:r w:rsidRPr="007E650E">
        <w:rPr>
          <w:rFonts w:asciiTheme="minorHAnsi" w:eastAsiaTheme="minorEastAsia" w:hAnsiTheme="minorHAnsi"/>
          <w:noProof/>
          <w:szCs w:val="24"/>
        </w:rPr>
        <w:tab/>
      </w:r>
      <w:r w:rsidRPr="007E650E">
        <w:rPr>
          <w:noProof/>
          <w:lang w:val="en"/>
        </w:rPr>
        <w:t>Allowable Use of Funds</w:t>
      </w:r>
      <w:r w:rsidRPr="007E650E">
        <w:rPr>
          <w:noProof/>
        </w:rPr>
        <w:tab/>
      </w:r>
      <w:r w:rsidRPr="007E650E">
        <w:rPr>
          <w:noProof/>
        </w:rPr>
        <w:fldChar w:fldCharType="begin"/>
      </w:r>
      <w:r w:rsidRPr="007E650E">
        <w:rPr>
          <w:noProof/>
        </w:rPr>
        <w:instrText xml:space="preserve"> PAGEREF _Toc195189577 \h </w:instrText>
      </w:r>
      <w:r w:rsidRPr="007E650E">
        <w:rPr>
          <w:noProof/>
        </w:rPr>
      </w:r>
      <w:r w:rsidRPr="007E650E">
        <w:rPr>
          <w:noProof/>
        </w:rPr>
        <w:fldChar w:fldCharType="separate"/>
      </w:r>
      <w:r w:rsidR="00D762CC" w:rsidRPr="007E650E">
        <w:rPr>
          <w:noProof/>
        </w:rPr>
        <w:t>5</w:t>
      </w:r>
      <w:r w:rsidRPr="007E650E">
        <w:rPr>
          <w:noProof/>
        </w:rPr>
        <w:fldChar w:fldCharType="end"/>
      </w:r>
    </w:p>
    <w:p w14:paraId="465BEC68" w14:textId="673D84F2" w:rsidR="00F72A3F" w:rsidRPr="007E650E" w:rsidRDefault="00F72A3F">
      <w:pPr>
        <w:pStyle w:val="TOC3"/>
        <w:rPr>
          <w:rFonts w:asciiTheme="minorHAnsi" w:eastAsiaTheme="minorEastAsia" w:hAnsiTheme="minorHAnsi"/>
          <w:noProof/>
          <w:szCs w:val="24"/>
        </w:rPr>
      </w:pPr>
      <w:r w:rsidRPr="007E650E">
        <w:rPr>
          <w:noProof/>
        </w:rPr>
        <w:t>G.</w:t>
      </w:r>
      <w:r w:rsidRPr="007E650E">
        <w:rPr>
          <w:rFonts w:asciiTheme="minorHAnsi" w:eastAsiaTheme="minorEastAsia" w:hAnsiTheme="minorHAnsi"/>
          <w:noProof/>
          <w:szCs w:val="24"/>
        </w:rPr>
        <w:tab/>
      </w:r>
      <w:r w:rsidRPr="007E650E">
        <w:rPr>
          <w:noProof/>
        </w:rPr>
        <w:t>Administrative Cost Limits</w:t>
      </w:r>
      <w:r w:rsidRPr="007E650E">
        <w:rPr>
          <w:noProof/>
        </w:rPr>
        <w:tab/>
      </w:r>
      <w:r w:rsidRPr="007E650E">
        <w:rPr>
          <w:noProof/>
        </w:rPr>
        <w:fldChar w:fldCharType="begin"/>
      </w:r>
      <w:r w:rsidRPr="007E650E">
        <w:rPr>
          <w:noProof/>
        </w:rPr>
        <w:instrText xml:space="preserve"> PAGEREF _Toc195189578 \h </w:instrText>
      </w:r>
      <w:r w:rsidRPr="007E650E">
        <w:rPr>
          <w:noProof/>
        </w:rPr>
      </w:r>
      <w:r w:rsidRPr="007E650E">
        <w:rPr>
          <w:noProof/>
        </w:rPr>
        <w:fldChar w:fldCharType="separate"/>
      </w:r>
      <w:r w:rsidR="00D762CC" w:rsidRPr="007E650E">
        <w:rPr>
          <w:noProof/>
        </w:rPr>
        <w:t>5</w:t>
      </w:r>
      <w:r w:rsidRPr="007E650E">
        <w:rPr>
          <w:noProof/>
        </w:rPr>
        <w:fldChar w:fldCharType="end"/>
      </w:r>
    </w:p>
    <w:p w14:paraId="4F8929BF" w14:textId="41962B28" w:rsidR="00F72A3F" w:rsidRPr="007E650E" w:rsidRDefault="00F72A3F">
      <w:pPr>
        <w:pStyle w:val="TOC3"/>
        <w:rPr>
          <w:rFonts w:asciiTheme="minorHAnsi" w:eastAsiaTheme="minorEastAsia" w:hAnsiTheme="minorHAnsi"/>
          <w:noProof/>
          <w:szCs w:val="24"/>
        </w:rPr>
      </w:pPr>
      <w:r w:rsidRPr="007E650E">
        <w:rPr>
          <w:noProof/>
        </w:rPr>
        <w:t>H.</w:t>
      </w:r>
      <w:r w:rsidRPr="007E650E">
        <w:rPr>
          <w:rFonts w:asciiTheme="minorHAnsi" w:eastAsiaTheme="minorEastAsia" w:hAnsiTheme="minorHAnsi"/>
          <w:noProof/>
          <w:szCs w:val="24"/>
        </w:rPr>
        <w:tab/>
      </w:r>
      <w:r w:rsidRPr="007E650E">
        <w:rPr>
          <w:noProof/>
        </w:rPr>
        <w:t>Collaboration with the EDD</w:t>
      </w:r>
      <w:r w:rsidRPr="007E650E">
        <w:rPr>
          <w:noProof/>
        </w:rPr>
        <w:tab/>
      </w:r>
      <w:r w:rsidRPr="007E650E">
        <w:rPr>
          <w:noProof/>
        </w:rPr>
        <w:fldChar w:fldCharType="begin"/>
      </w:r>
      <w:r w:rsidRPr="007E650E">
        <w:rPr>
          <w:noProof/>
        </w:rPr>
        <w:instrText xml:space="preserve"> PAGEREF _Toc195189579 \h </w:instrText>
      </w:r>
      <w:r w:rsidRPr="007E650E">
        <w:rPr>
          <w:noProof/>
        </w:rPr>
      </w:r>
      <w:r w:rsidRPr="007E650E">
        <w:rPr>
          <w:noProof/>
        </w:rPr>
        <w:fldChar w:fldCharType="separate"/>
      </w:r>
      <w:r w:rsidR="00D762CC" w:rsidRPr="007E650E">
        <w:rPr>
          <w:noProof/>
        </w:rPr>
        <w:t>6</w:t>
      </w:r>
      <w:r w:rsidRPr="007E650E">
        <w:rPr>
          <w:noProof/>
        </w:rPr>
        <w:fldChar w:fldCharType="end"/>
      </w:r>
    </w:p>
    <w:p w14:paraId="5C1367AA" w14:textId="2F738022" w:rsidR="00F72A3F" w:rsidRPr="007E650E" w:rsidRDefault="00F72A3F">
      <w:pPr>
        <w:pStyle w:val="TOC3"/>
        <w:rPr>
          <w:rFonts w:asciiTheme="minorHAnsi" w:eastAsiaTheme="minorEastAsia" w:hAnsiTheme="minorHAnsi"/>
          <w:noProof/>
          <w:szCs w:val="24"/>
        </w:rPr>
      </w:pPr>
      <w:r w:rsidRPr="007E650E">
        <w:rPr>
          <w:noProof/>
        </w:rPr>
        <w:t>I.</w:t>
      </w:r>
      <w:r w:rsidRPr="007E650E">
        <w:rPr>
          <w:rFonts w:asciiTheme="minorHAnsi" w:eastAsiaTheme="minorEastAsia" w:hAnsiTheme="minorHAnsi"/>
          <w:noProof/>
          <w:szCs w:val="24"/>
        </w:rPr>
        <w:tab/>
      </w:r>
      <w:r w:rsidRPr="007E650E">
        <w:rPr>
          <w:noProof/>
        </w:rPr>
        <w:t>Length of Project</w:t>
      </w:r>
      <w:r w:rsidRPr="007E650E">
        <w:rPr>
          <w:noProof/>
        </w:rPr>
        <w:tab/>
      </w:r>
      <w:r w:rsidRPr="007E650E">
        <w:rPr>
          <w:noProof/>
        </w:rPr>
        <w:fldChar w:fldCharType="begin"/>
      </w:r>
      <w:r w:rsidRPr="007E650E">
        <w:rPr>
          <w:noProof/>
        </w:rPr>
        <w:instrText xml:space="preserve"> PAGEREF _Toc195189580 \h </w:instrText>
      </w:r>
      <w:r w:rsidRPr="007E650E">
        <w:rPr>
          <w:noProof/>
        </w:rPr>
      </w:r>
      <w:r w:rsidRPr="007E650E">
        <w:rPr>
          <w:noProof/>
        </w:rPr>
        <w:fldChar w:fldCharType="separate"/>
      </w:r>
      <w:r w:rsidR="00D762CC" w:rsidRPr="007E650E">
        <w:rPr>
          <w:noProof/>
        </w:rPr>
        <w:t>6</w:t>
      </w:r>
      <w:r w:rsidRPr="007E650E">
        <w:rPr>
          <w:noProof/>
        </w:rPr>
        <w:fldChar w:fldCharType="end"/>
      </w:r>
    </w:p>
    <w:p w14:paraId="6F7CD872" w14:textId="1EA6B6A7" w:rsidR="00F72A3F" w:rsidRPr="007E650E" w:rsidRDefault="00F72A3F">
      <w:pPr>
        <w:pStyle w:val="TOC2"/>
        <w:tabs>
          <w:tab w:val="left" w:pos="440"/>
          <w:tab w:val="right" w:leader="dot" w:pos="9350"/>
        </w:tabs>
        <w:rPr>
          <w:rFonts w:asciiTheme="minorHAnsi" w:eastAsiaTheme="minorEastAsia" w:hAnsiTheme="minorHAnsi"/>
          <w:b w:val="0"/>
          <w:bCs w:val="0"/>
          <w:noProof/>
          <w:szCs w:val="24"/>
        </w:rPr>
      </w:pPr>
      <w:r w:rsidRPr="007E650E">
        <w:rPr>
          <w:noProof/>
        </w:rPr>
        <w:t>2.</w:t>
      </w:r>
      <w:r w:rsidRPr="007E650E">
        <w:rPr>
          <w:rFonts w:asciiTheme="minorHAnsi" w:eastAsiaTheme="minorEastAsia" w:hAnsiTheme="minorHAnsi"/>
          <w:b w:val="0"/>
          <w:bCs w:val="0"/>
          <w:noProof/>
          <w:szCs w:val="24"/>
        </w:rPr>
        <w:tab/>
      </w:r>
      <w:r w:rsidRPr="007E650E">
        <w:rPr>
          <w:noProof/>
        </w:rPr>
        <w:t>Grantee Requirements</w:t>
      </w:r>
      <w:r w:rsidRPr="007E650E">
        <w:rPr>
          <w:noProof/>
        </w:rPr>
        <w:tab/>
      </w:r>
      <w:r w:rsidRPr="007E650E">
        <w:rPr>
          <w:noProof/>
        </w:rPr>
        <w:fldChar w:fldCharType="begin"/>
      </w:r>
      <w:r w:rsidRPr="007E650E">
        <w:rPr>
          <w:noProof/>
        </w:rPr>
        <w:instrText xml:space="preserve"> PAGEREF _Toc195189581 \h </w:instrText>
      </w:r>
      <w:r w:rsidRPr="007E650E">
        <w:rPr>
          <w:noProof/>
        </w:rPr>
      </w:r>
      <w:r w:rsidRPr="007E650E">
        <w:rPr>
          <w:noProof/>
        </w:rPr>
        <w:fldChar w:fldCharType="separate"/>
      </w:r>
      <w:r w:rsidR="00D762CC" w:rsidRPr="007E650E">
        <w:rPr>
          <w:noProof/>
        </w:rPr>
        <w:t>6</w:t>
      </w:r>
      <w:r w:rsidRPr="007E650E">
        <w:rPr>
          <w:noProof/>
        </w:rPr>
        <w:fldChar w:fldCharType="end"/>
      </w:r>
    </w:p>
    <w:p w14:paraId="238878A3" w14:textId="01DC4726" w:rsidR="00F72A3F" w:rsidRPr="007E650E" w:rsidRDefault="00F72A3F">
      <w:pPr>
        <w:pStyle w:val="TOC3"/>
        <w:rPr>
          <w:rFonts w:asciiTheme="minorHAnsi" w:eastAsiaTheme="minorEastAsia" w:hAnsiTheme="minorHAnsi"/>
          <w:noProof/>
          <w:szCs w:val="24"/>
        </w:rPr>
      </w:pPr>
      <w:r w:rsidRPr="007E650E">
        <w:rPr>
          <w:noProof/>
        </w:rPr>
        <w:t>A.</w:t>
      </w:r>
      <w:r w:rsidRPr="007E650E">
        <w:rPr>
          <w:rFonts w:asciiTheme="minorHAnsi" w:eastAsiaTheme="minorEastAsia" w:hAnsiTheme="minorHAnsi"/>
          <w:noProof/>
          <w:szCs w:val="24"/>
        </w:rPr>
        <w:tab/>
      </w:r>
      <w:r w:rsidRPr="007E650E">
        <w:rPr>
          <w:noProof/>
        </w:rPr>
        <w:t>Grantee Criteria</w:t>
      </w:r>
      <w:r w:rsidRPr="007E650E">
        <w:rPr>
          <w:noProof/>
        </w:rPr>
        <w:tab/>
      </w:r>
      <w:r w:rsidRPr="007E650E">
        <w:rPr>
          <w:noProof/>
        </w:rPr>
        <w:fldChar w:fldCharType="begin"/>
      </w:r>
      <w:r w:rsidRPr="007E650E">
        <w:rPr>
          <w:noProof/>
        </w:rPr>
        <w:instrText xml:space="preserve"> PAGEREF _Toc195189582 \h </w:instrText>
      </w:r>
      <w:r w:rsidRPr="007E650E">
        <w:rPr>
          <w:noProof/>
        </w:rPr>
      </w:r>
      <w:r w:rsidRPr="007E650E">
        <w:rPr>
          <w:noProof/>
        </w:rPr>
        <w:fldChar w:fldCharType="separate"/>
      </w:r>
      <w:r w:rsidR="00D762CC" w:rsidRPr="007E650E">
        <w:rPr>
          <w:noProof/>
        </w:rPr>
        <w:t>6</w:t>
      </w:r>
      <w:r w:rsidRPr="007E650E">
        <w:rPr>
          <w:noProof/>
        </w:rPr>
        <w:fldChar w:fldCharType="end"/>
      </w:r>
    </w:p>
    <w:p w14:paraId="4588DC5B" w14:textId="3D61F1F7" w:rsidR="00F72A3F" w:rsidRPr="007E650E" w:rsidRDefault="00F72A3F">
      <w:pPr>
        <w:pStyle w:val="TOC3"/>
        <w:rPr>
          <w:rFonts w:asciiTheme="minorHAnsi" w:eastAsiaTheme="minorEastAsia" w:hAnsiTheme="minorHAnsi"/>
          <w:noProof/>
          <w:szCs w:val="24"/>
        </w:rPr>
      </w:pPr>
      <w:r w:rsidRPr="007E650E">
        <w:rPr>
          <w:noProof/>
        </w:rPr>
        <w:t>B.</w:t>
      </w:r>
      <w:r w:rsidRPr="007E650E">
        <w:rPr>
          <w:rFonts w:asciiTheme="minorHAnsi" w:eastAsiaTheme="minorEastAsia" w:hAnsiTheme="minorHAnsi"/>
          <w:noProof/>
          <w:szCs w:val="24"/>
        </w:rPr>
        <w:tab/>
      </w:r>
      <w:r w:rsidRPr="007E650E">
        <w:rPr>
          <w:noProof/>
        </w:rPr>
        <w:t>Staffing Qualifications</w:t>
      </w:r>
      <w:r w:rsidRPr="007E650E">
        <w:rPr>
          <w:noProof/>
        </w:rPr>
        <w:tab/>
      </w:r>
      <w:r w:rsidRPr="007E650E">
        <w:rPr>
          <w:noProof/>
        </w:rPr>
        <w:fldChar w:fldCharType="begin"/>
      </w:r>
      <w:r w:rsidRPr="007E650E">
        <w:rPr>
          <w:noProof/>
        </w:rPr>
        <w:instrText xml:space="preserve"> PAGEREF _Toc195189583 \h </w:instrText>
      </w:r>
      <w:r w:rsidRPr="007E650E">
        <w:rPr>
          <w:noProof/>
        </w:rPr>
      </w:r>
      <w:r w:rsidRPr="007E650E">
        <w:rPr>
          <w:noProof/>
        </w:rPr>
        <w:fldChar w:fldCharType="separate"/>
      </w:r>
      <w:r w:rsidR="00D762CC" w:rsidRPr="007E650E">
        <w:rPr>
          <w:noProof/>
        </w:rPr>
        <w:t>7</w:t>
      </w:r>
      <w:r w:rsidRPr="007E650E">
        <w:rPr>
          <w:noProof/>
        </w:rPr>
        <w:fldChar w:fldCharType="end"/>
      </w:r>
    </w:p>
    <w:p w14:paraId="2E7A726A" w14:textId="337C6DBA" w:rsidR="00F72A3F" w:rsidRPr="007E650E" w:rsidRDefault="00F72A3F">
      <w:pPr>
        <w:pStyle w:val="TOC3"/>
        <w:rPr>
          <w:rFonts w:asciiTheme="minorHAnsi" w:eastAsiaTheme="minorEastAsia" w:hAnsiTheme="minorHAnsi"/>
          <w:noProof/>
          <w:szCs w:val="24"/>
        </w:rPr>
      </w:pPr>
      <w:r w:rsidRPr="007E650E">
        <w:rPr>
          <w:noProof/>
        </w:rPr>
        <w:t>C.</w:t>
      </w:r>
      <w:r w:rsidRPr="007E650E">
        <w:rPr>
          <w:rFonts w:asciiTheme="minorHAnsi" w:eastAsiaTheme="minorEastAsia" w:hAnsiTheme="minorHAnsi"/>
          <w:noProof/>
          <w:szCs w:val="24"/>
        </w:rPr>
        <w:tab/>
      </w:r>
      <w:r w:rsidRPr="007E650E">
        <w:rPr>
          <w:noProof/>
        </w:rPr>
        <w:t>Required Services</w:t>
      </w:r>
      <w:r w:rsidRPr="007E650E">
        <w:rPr>
          <w:noProof/>
        </w:rPr>
        <w:tab/>
      </w:r>
      <w:r w:rsidRPr="007E650E">
        <w:rPr>
          <w:noProof/>
        </w:rPr>
        <w:fldChar w:fldCharType="begin"/>
      </w:r>
      <w:r w:rsidRPr="007E650E">
        <w:rPr>
          <w:noProof/>
        </w:rPr>
        <w:instrText xml:space="preserve"> PAGEREF _Toc195189584 \h </w:instrText>
      </w:r>
      <w:r w:rsidRPr="007E650E">
        <w:rPr>
          <w:noProof/>
        </w:rPr>
      </w:r>
      <w:r w:rsidRPr="007E650E">
        <w:rPr>
          <w:noProof/>
        </w:rPr>
        <w:fldChar w:fldCharType="separate"/>
      </w:r>
      <w:r w:rsidR="00D762CC" w:rsidRPr="007E650E">
        <w:rPr>
          <w:noProof/>
        </w:rPr>
        <w:t>8</w:t>
      </w:r>
      <w:r w:rsidRPr="007E650E">
        <w:rPr>
          <w:noProof/>
        </w:rPr>
        <w:fldChar w:fldCharType="end"/>
      </w:r>
    </w:p>
    <w:p w14:paraId="2A8420CE" w14:textId="219C4B67" w:rsidR="00F72A3F" w:rsidRPr="007E650E" w:rsidRDefault="00F72A3F">
      <w:pPr>
        <w:pStyle w:val="TOC3"/>
        <w:rPr>
          <w:rFonts w:asciiTheme="minorHAnsi" w:eastAsiaTheme="minorEastAsia" w:hAnsiTheme="minorHAnsi"/>
          <w:noProof/>
          <w:szCs w:val="24"/>
        </w:rPr>
      </w:pPr>
      <w:r w:rsidRPr="007E650E">
        <w:rPr>
          <w:noProof/>
        </w:rPr>
        <w:t>D.</w:t>
      </w:r>
      <w:r w:rsidRPr="007E650E">
        <w:rPr>
          <w:rFonts w:asciiTheme="minorHAnsi" w:eastAsiaTheme="minorEastAsia" w:hAnsiTheme="minorHAnsi"/>
          <w:noProof/>
          <w:szCs w:val="24"/>
        </w:rPr>
        <w:tab/>
      </w:r>
      <w:r w:rsidRPr="007E650E">
        <w:rPr>
          <w:noProof/>
        </w:rPr>
        <w:t>Allowable and Unallowable Activities</w:t>
      </w:r>
      <w:r w:rsidRPr="007E650E">
        <w:rPr>
          <w:noProof/>
        </w:rPr>
        <w:tab/>
      </w:r>
      <w:r w:rsidRPr="007E650E">
        <w:rPr>
          <w:noProof/>
        </w:rPr>
        <w:fldChar w:fldCharType="begin"/>
      </w:r>
      <w:r w:rsidRPr="007E650E">
        <w:rPr>
          <w:noProof/>
        </w:rPr>
        <w:instrText xml:space="preserve"> PAGEREF _Toc195189585 \h </w:instrText>
      </w:r>
      <w:r w:rsidRPr="007E650E">
        <w:rPr>
          <w:noProof/>
        </w:rPr>
      </w:r>
      <w:r w:rsidRPr="007E650E">
        <w:rPr>
          <w:noProof/>
        </w:rPr>
        <w:fldChar w:fldCharType="separate"/>
      </w:r>
      <w:r w:rsidR="00D762CC" w:rsidRPr="007E650E">
        <w:rPr>
          <w:noProof/>
        </w:rPr>
        <w:t>8</w:t>
      </w:r>
      <w:r w:rsidRPr="007E650E">
        <w:rPr>
          <w:noProof/>
        </w:rPr>
        <w:fldChar w:fldCharType="end"/>
      </w:r>
    </w:p>
    <w:p w14:paraId="29EB3F93" w14:textId="616BF31D" w:rsidR="00F72A3F" w:rsidRPr="007E650E" w:rsidRDefault="00F72A3F">
      <w:pPr>
        <w:pStyle w:val="TOC2"/>
        <w:tabs>
          <w:tab w:val="left" w:pos="440"/>
          <w:tab w:val="right" w:leader="dot" w:pos="9350"/>
        </w:tabs>
        <w:rPr>
          <w:rFonts w:asciiTheme="minorHAnsi" w:eastAsiaTheme="minorEastAsia" w:hAnsiTheme="minorHAnsi"/>
          <w:b w:val="0"/>
          <w:bCs w:val="0"/>
          <w:noProof/>
          <w:szCs w:val="24"/>
        </w:rPr>
      </w:pPr>
      <w:r w:rsidRPr="007E650E">
        <w:rPr>
          <w:noProof/>
        </w:rPr>
        <w:t>3.</w:t>
      </w:r>
      <w:r w:rsidRPr="007E650E">
        <w:rPr>
          <w:rFonts w:asciiTheme="minorHAnsi" w:eastAsiaTheme="minorEastAsia" w:hAnsiTheme="minorHAnsi"/>
          <w:b w:val="0"/>
          <w:bCs w:val="0"/>
          <w:noProof/>
          <w:szCs w:val="24"/>
        </w:rPr>
        <w:tab/>
      </w:r>
      <w:r w:rsidRPr="007E650E">
        <w:rPr>
          <w:noProof/>
        </w:rPr>
        <w:t>Application and Program Requirements</w:t>
      </w:r>
      <w:r w:rsidRPr="007E650E">
        <w:rPr>
          <w:noProof/>
        </w:rPr>
        <w:tab/>
      </w:r>
      <w:r w:rsidRPr="007E650E">
        <w:rPr>
          <w:noProof/>
        </w:rPr>
        <w:fldChar w:fldCharType="begin"/>
      </w:r>
      <w:r w:rsidRPr="007E650E">
        <w:rPr>
          <w:noProof/>
        </w:rPr>
        <w:instrText xml:space="preserve"> PAGEREF _Toc195189586 \h </w:instrText>
      </w:r>
      <w:r w:rsidRPr="007E650E">
        <w:rPr>
          <w:noProof/>
        </w:rPr>
      </w:r>
      <w:r w:rsidRPr="007E650E">
        <w:rPr>
          <w:noProof/>
        </w:rPr>
        <w:fldChar w:fldCharType="separate"/>
      </w:r>
      <w:r w:rsidR="00D762CC" w:rsidRPr="007E650E">
        <w:rPr>
          <w:noProof/>
        </w:rPr>
        <w:t>9</w:t>
      </w:r>
      <w:r w:rsidRPr="007E650E">
        <w:rPr>
          <w:noProof/>
        </w:rPr>
        <w:fldChar w:fldCharType="end"/>
      </w:r>
    </w:p>
    <w:p w14:paraId="40F2C1D8" w14:textId="7FA6733A" w:rsidR="00F72A3F" w:rsidRPr="007E650E" w:rsidRDefault="00F72A3F">
      <w:pPr>
        <w:pStyle w:val="TOC3"/>
        <w:rPr>
          <w:rFonts w:asciiTheme="minorHAnsi" w:eastAsiaTheme="minorEastAsia" w:hAnsiTheme="minorHAnsi"/>
          <w:noProof/>
          <w:szCs w:val="24"/>
        </w:rPr>
      </w:pPr>
      <w:r w:rsidRPr="007E650E">
        <w:rPr>
          <w:noProof/>
        </w:rPr>
        <w:t>A.</w:t>
      </w:r>
      <w:r w:rsidRPr="007E650E">
        <w:rPr>
          <w:rFonts w:asciiTheme="minorHAnsi" w:eastAsiaTheme="minorEastAsia" w:hAnsiTheme="minorHAnsi"/>
          <w:noProof/>
          <w:szCs w:val="24"/>
        </w:rPr>
        <w:tab/>
      </w:r>
      <w:r w:rsidRPr="007E650E">
        <w:rPr>
          <w:noProof/>
        </w:rPr>
        <w:t>Required Exhibits and Attachments</w:t>
      </w:r>
      <w:r w:rsidRPr="007E650E">
        <w:rPr>
          <w:noProof/>
        </w:rPr>
        <w:tab/>
      </w:r>
      <w:r w:rsidRPr="007E650E">
        <w:rPr>
          <w:noProof/>
        </w:rPr>
        <w:fldChar w:fldCharType="begin"/>
      </w:r>
      <w:r w:rsidRPr="007E650E">
        <w:rPr>
          <w:noProof/>
        </w:rPr>
        <w:instrText xml:space="preserve"> PAGEREF _Toc195189587 \h </w:instrText>
      </w:r>
      <w:r w:rsidRPr="007E650E">
        <w:rPr>
          <w:noProof/>
        </w:rPr>
      </w:r>
      <w:r w:rsidRPr="007E650E">
        <w:rPr>
          <w:noProof/>
        </w:rPr>
        <w:fldChar w:fldCharType="separate"/>
      </w:r>
      <w:r w:rsidR="00D762CC" w:rsidRPr="007E650E">
        <w:rPr>
          <w:noProof/>
        </w:rPr>
        <w:t>9</w:t>
      </w:r>
      <w:r w:rsidRPr="007E650E">
        <w:rPr>
          <w:noProof/>
        </w:rPr>
        <w:fldChar w:fldCharType="end"/>
      </w:r>
    </w:p>
    <w:p w14:paraId="3C035456" w14:textId="13182FB7" w:rsidR="00F72A3F" w:rsidRPr="007E650E" w:rsidRDefault="00F72A3F">
      <w:pPr>
        <w:pStyle w:val="TOC3"/>
        <w:rPr>
          <w:rFonts w:asciiTheme="minorHAnsi" w:eastAsiaTheme="minorEastAsia" w:hAnsiTheme="minorHAnsi"/>
          <w:noProof/>
          <w:szCs w:val="24"/>
        </w:rPr>
      </w:pPr>
      <w:r w:rsidRPr="007E650E">
        <w:rPr>
          <w:rFonts w:eastAsia="Arial"/>
          <w:noProof/>
        </w:rPr>
        <w:t>B.</w:t>
      </w:r>
      <w:r w:rsidRPr="007E650E">
        <w:rPr>
          <w:rFonts w:asciiTheme="minorHAnsi" w:eastAsiaTheme="minorEastAsia" w:hAnsiTheme="minorHAnsi"/>
          <w:noProof/>
          <w:szCs w:val="24"/>
        </w:rPr>
        <w:tab/>
      </w:r>
      <w:r w:rsidRPr="007E650E">
        <w:rPr>
          <w:rFonts w:eastAsia="Arial"/>
          <w:noProof/>
        </w:rPr>
        <w:t>Registration with the System for Award Management</w:t>
      </w:r>
      <w:r w:rsidRPr="007E650E">
        <w:rPr>
          <w:noProof/>
        </w:rPr>
        <w:tab/>
      </w:r>
      <w:r w:rsidRPr="007E650E">
        <w:rPr>
          <w:noProof/>
        </w:rPr>
        <w:fldChar w:fldCharType="begin"/>
      </w:r>
      <w:r w:rsidRPr="007E650E">
        <w:rPr>
          <w:noProof/>
        </w:rPr>
        <w:instrText xml:space="preserve"> PAGEREF _Toc195189588 \h </w:instrText>
      </w:r>
      <w:r w:rsidRPr="007E650E">
        <w:rPr>
          <w:noProof/>
        </w:rPr>
      </w:r>
      <w:r w:rsidRPr="007E650E">
        <w:rPr>
          <w:noProof/>
        </w:rPr>
        <w:fldChar w:fldCharType="separate"/>
      </w:r>
      <w:r w:rsidR="00D762CC" w:rsidRPr="007E650E">
        <w:rPr>
          <w:noProof/>
        </w:rPr>
        <w:t>10</w:t>
      </w:r>
      <w:r w:rsidRPr="007E650E">
        <w:rPr>
          <w:noProof/>
        </w:rPr>
        <w:fldChar w:fldCharType="end"/>
      </w:r>
    </w:p>
    <w:p w14:paraId="66C72B0D" w14:textId="588D0179" w:rsidR="00F72A3F" w:rsidRPr="007E650E" w:rsidRDefault="00F72A3F">
      <w:pPr>
        <w:pStyle w:val="TOC3"/>
        <w:rPr>
          <w:rFonts w:asciiTheme="minorHAnsi" w:eastAsiaTheme="minorEastAsia" w:hAnsiTheme="minorHAnsi"/>
          <w:noProof/>
          <w:szCs w:val="24"/>
        </w:rPr>
      </w:pPr>
      <w:r w:rsidRPr="007E650E">
        <w:rPr>
          <w:rFonts w:eastAsia="Arial"/>
          <w:noProof/>
        </w:rPr>
        <w:t>C.</w:t>
      </w:r>
      <w:r w:rsidRPr="007E650E">
        <w:rPr>
          <w:rFonts w:asciiTheme="minorHAnsi" w:eastAsiaTheme="minorEastAsia" w:hAnsiTheme="minorHAnsi"/>
          <w:noProof/>
          <w:szCs w:val="24"/>
        </w:rPr>
        <w:tab/>
      </w:r>
      <w:r w:rsidRPr="007E650E">
        <w:rPr>
          <w:rFonts w:eastAsia="Arial"/>
          <w:noProof/>
        </w:rPr>
        <w:t>Performance</w:t>
      </w:r>
      <w:r w:rsidRPr="007E650E">
        <w:rPr>
          <w:noProof/>
        </w:rPr>
        <w:tab/>
      </w:r>
      <w:r w:rsidRPr="007E650E">
        <w:rPr>
          <w:noProof/>
        </w:rPr>
        <w:fldChar w:fldCharType="begin"/>
      </w:r>
      <w:r w:rsidRPr="007E650E">
        <w:rPr>
          <w:noProof/>
        </w:rPr>
        <w:instrText xml:space="preserve"> PAGEREF _Toc195189589 \h </w:instrText>
      </w:r>
      <w:r w:rsidRPr="007E650E">
        <w:rPr>
          <w:noProof/>
        </w:rPr>
      </w:r>
      <w:r w:rsidRPr="007E650E">
        <w:rPr>
          <w:noProof/>
        </w:rPr>
        <w:fldChar w:fldCharType="separate"/>
      </w:r>
      <w:r w:rsidR="00D762CC" w:rsidRPr="007E650E">
        <w:rPr>
          <w:noProof/>
        </w:rPr>
        <w:t>10</w:t>
      </w:r>
      <w:r w:rsidRPr="007E650E">
        <w:rPr>
          <w:noProof/>
        </w:rPr>
        <w:fldChar w:fldCharType="end"/>
      </w:r>
    </w:p>
    <w:p w14:paraId="01CB7A54" w14:textId="72294D5A" w:rsidR="00F72A3F" w:rsidRPr="007E650E" w:rsidRDefault="00F72A3F">
      <w:pPr>
        <w:pStyle w:val="TOC3"/>
        <w:rPr>
          <w:rFonts w:asciiTheme="minorHAnsi" w:eastAsiaTheme="minorEastAsia" w:hAnsiTheme="minorHAnsi"/>
          <w:noProof/>
          <w:szCs w:val="24"/>
        </w:rPr>
      </w:pPr>
      <w:r w:rsidRPr="007E650E">
        <w:rPr>
          <w:noProof/>
        </w:rPr>
        <w:t>D.</w:t>
      </w:r>
      <w:r w:rsidRPr="007E650E">
        <w:rPr>
          <w:rFonts w:asciiTheme="minorHAnsi" w:eastAsiaTheme="minorEastAsia" w:hAnsiTheme="minorHAnsi"/>
          <w:noProof/>
          <w:szCs w:val="24"/>
        </w:rPr>
        <w:tab/>
      </w:r>
      <w:r w:rsidRPr="007E650E">
        <w:rPr>
          <w:noProof/>
        </w:rPr>
        <w:t>Funding Request</w:t>
      </w:r>
      <w:r w:rsidRPr="007E650E">
        <w:rPr>
          <w:noProof/>
        </w:rPr>
        <w:tab/>
      </w:r>
      <w:r w:rsidRPr="007E650E">
        <w:rPr>
          <w:noProof/>
        </w:rPr>
        <w:fldChar w:fldCharType="begin"/>
      </w:r>
      <w:r w:rsidRPr="007E650E">
        <w:rPr>
          <w:noProof/>
        </w:rPr>
        <w:instrText xml:space="preserve"> PAGEREF _Toc195189590 \h </w:instrText>
      </w:r>
      <w:r w:rsidRPr="007E650E">
        <w:rPr>
          <w:noProof/>
        </w:rPr>
      </w:r>
      <w:r w:rsidRPr="007E650E">
        <w:rPr>
          <w:noProof/>
        </w:rPr>
        <w:fldChar w:fldCharType="separate"/>
      </w:r>
      <w:r w:rsidR="00D762CC" w:rsidRPr="007E650E">
        <w:rPr>
          <w:noProof/>
        </w:rPr>
        <w:t>10</w:t>
      </w:r>
      <w:r w:rsidRPr="007E650E">
        <w:rPr>
          <w:noProof/>
        </w:rPr>
        <w:fldChar w:fldCharType="end"/>
      </w:r>
    </w:p>
    <w:p w14:paraId="76208B81" w14:textId="722CD060" w:rsidR="00F72A3F" w:rsidRPr="007E650E" w:rsidRDefault="00F72A3F">
      <w:pPr>
        <w:pStyle w:val="TOC3"/>
        <w:rPr>
          <w:rFonts w:asciiTheme="minorHAnsi" w:eastAsiaTheme="minorEastAsia" w:hAnsiTheme="minorHAnsi"/>
          <w:noProof/>
          <w:szCs w:val="24"/>
        </w:rPr>
      </w:pPr>
      <w:r w:rsidRPr="007E650E">
        <w:rPr>
          <w:noProof/>
        </w:rPr>
        <w:t>E.</w:t>
      </w:r>
      <w:r w:rsidRPr="007E650E">
        <w:rPr>
          <w:rFonts w:asciiTheme="minorHAnsi" w:eastAsiaTheme="minorEastAsia" w:hAnsiTheme="minorHAnsi"/>
          <w:noProof/>
          <w:szCs w:val="24"/>
        </w:rPr>
        <w:tab/>
      </w:r>
      <w:r w:rsidRPr="007E650E">
        <w:rPr>
          <w:noProof/>
        </w:rPr>
        <w:t>Leveraging Resources</w:t>
      </w:r>
      <w:r w:rsidRPr="007E650E">
        <w:rPr>
          <w:noProof/>
        </w:rPr>
        <w:tab/>
      </w:r>
      <w:r w:rsidRPr="007E650E">
        <w:rPr>
          <w:noProof/>
        </w:rPr>
        <w:fldChar w:fldCharType="begin"/>
      </w:r>
      <w:r w:rsidRPr="007E650E">
        <w:rPr>
          <w:noProof/>
        </w:rPr>
        <w:instrText xml:space="preserve"> PAGEREF _Toc195189591 \h </w:instrText>
      </w:r>
      <w:r w:rsidRPr="007E650E">
        <w:rPr>
          <w:noProof/>
        </w:rPr>
      </w:r>
      <w:r w:rsidRPr="007E650E">
        <w:rPr>
          <w:noProof/>
        </w:rPr>
        <w:fldChar w:fldCharType="separate"/>
      </w:r>
      <w:r w:rsidR="00D762CC" w:rsidRPr="007E650E">
        <w:rPr>
          <w:noProof/>
        </w:rPr>
        <w:t>11</w:t>
      </w:r>
      <w:r w:rsidRPr="007E650E">
        <w:rPr>
          <w:noProof/>
        </w:rPr>
        <w:fldChar w:fldCharType="end"/>
      </w:r>
    </w:p>
    <w:p w14:paraId="5994CD66" w14:textId="6D99CD6C" w:rsidR="00F72A3F" w:rsidRPr="007E650E" w:rsidRDefault="00F72A3F">
      <w:pPr>
        <w:pStyle w:val="TOC3"/>
        <w:rPr>
          <w:rFonts w:asciiTheme="minorHAnsi" w:eastAsiaTheme="minorEastAsia" w:hAnsiTheme="minorHAnsi"/>
          <w:noProof/>
          <w:szCs w:val="24"/>
        </w:rPr>
      </w:pPr>
      <w:r w:rsidRPr="007E650E">
        <w:rPr>
          <w:noProof/>
        </w:rPr>
        <w:t>F.</w:t>
      </w:r>
      <w:r w:rsidRPr="007E650E">
        <w:rPr>
          <w:rFonts w:asciiTheme="minorHAnsi" w:eastAsiaTheme="minorEastAsia" w:hAnsiTheme="minorHAnsi"/>
          <w:noProof/>
          <w:szCs w:val="24"/>
        </w:rPr>
        <w:tab/>
      </w:r>
      <w:r w:rsidRPr="007E650E">
        <w:rPr>
          <w:noProof/>
        </w:rPr>
        <w:t>Allowable Uses of Funds</w:t>
      </w:r>
      <w:r w:rsidRPr="007E650E">
        <w:rPr>
          <w:noProof/>
        </w:rPr>
        <w:tab/>
      </w:r>
      <w:r w:rsidRPr="007E650E">
        <w:rPr>
          <w:noProof/>
        </w:rPr>
        <w:fldChar w:fldCharType="begin"/>
      </w:r>
      <w:r w:rsidRPr="007E650E">
        <w:rPr>
          <w:noProof/>
        </w:rPr>
        <w:instrText xml:space="preserve"> PAGEREF _Toc195189592 \h </w:instrText>
      </w:r>
      <w:r w:rsidRPr="007E650E">
        <w:rPr>
          <w:noProof/>
        </w:rPr>
      </w:r>
      <w:r w:rsidRPr="007E650E">
        <w:rPr>
          <w:noProof/>
        </w:rPr>
        <w:fldChar w:fldCharType="separate"/>
      </w:r>
      <w:r w:rsidR="00D762CC" w:rsidRPr="007E650E">
        <w:rPr>
          <w:noProof/>
        </w:rPr>
        <w:t>11</w:t>
      </w:r>
      <w:r w:rsidRPr="007E650E">
        <w:rPr>
          <w:noProof/>
        </w:rPr>
        <w:fldChar w:fldCharType="end"/>
      </w:r>
    </w:p>
    <w:p w14:paraId="3C98A470" w14:textId="573CBD77" w:rsidR="00F72A3F" w:rsidRPr="007E650E" w:rsidRDefault="00F72A3F">
      <w:pPr>
        <w:pStyle w:val="TOC3"/>
        <w:rPr>
          <w:rFonts w:asciiTheme="minorHAnsi" w:eastAsiaTheme="minorEastAsia" w:hAnsiTheme="minorHAnsi"/>
          <w:noProof/>
          <w:szCs w:val="24"/>
        </w:rPr>
      </w:pPr>
      <w:r w:rsidRPr="007E650E">
        <w:rPr>
          <w:noProof/>
        </w:rPr>
        <w:t>G.</w:t>
      </w:r>
      <w:r w:rsidRPr="007E650E">
        <w:rPr>
          <w:rFonts w:asciiTheme="minorHAnsi" w:eastAsiaTheme="minorEastAsia" w:hAnsiTheme="minorHAnsi"/>
          <w:noProof/>
          <w:szCs w:val="24"/>
        </w:rPr>
        <w:tab/>
      </w:r>
      <w:r w:rsidRPr="007E650E">
        <w:rPr>
          <w:noProof/>
        </w:rPr>
        <w:t>Administrative Cost Limits</w:t>
      </w:r>
      <w:r w:rsidRPr="007E650E">
        <w:rPr>
          <w:noProof/>
        </w:rPr>
        <w:tab/>
      </w:r>
      <w:r w:rsidRPr="007E650E">
        <w:rPr>
          <w:noProof/>
        </w:rPr>
        <w:fldChar w:fldCharType="begin"/>
      </w:r>
      <w:r w:rsidRPr="007E650E">
        <w:rPr>
          <w:noProof/>
        </w:rPr>
        <w:instrText xml:space="preserve"> PAGEREF _Toc195189593 \h </w:instrText>
      </w:r>
      <w:r w:rsidRPr="007E650E">
        <w:rPr>
          <w:noProof/>
        </w:rPr>
      </w:r>
      <w:r w:rsidRPr="007E650E">
        <w:rPr>
          <w:noProof/>
        </w:rPr>
        <w:fldChar w:fldCharType="separate"/>
      </w:r>
      <w:r w:rsidR="00D762CC" w:rsidRPr="007E650E">
        <w:rPr>
          <w:noProof/>
        </w:rPr>
        <w:t>12</w:t>
      </w:r>
      <w:r w:rsidRPr="007E650E">
        <w:rPr>
          <w:noProof/>
        </w:rPr>
        <w:fldChar w:fldCharType="end"/>
      </w:r>
    </w:p>
    <w:p w14:paraId="46E9231F" w14:textId="5D57117A" w:rsidR="00F72A3F" w:rsidRPr="007E650E" w:rsidRDefault="00F72A3F">
      <w:pPr>
        <w:pStyle w:val="TOC2"/>
        <w:tabs>
          <w:tab w:val="left" w:pos="440"/>
          <w:tab w:val="right" w:leader="dot" w:pos="9350"/>
        </w:tabs>
        <w:rPr>
          <w:rFonts w:asciiTheme="minorHAnsi" w:eastAsiaTheme="minorEastAsia" w:hAnsiTheme="minorHAnsi"/>
          <w:b w:val="0"/>
          <w:bCs w:val="0"/>
          <w:noProof/>
          <w:szCs w:val="24"/>
        </w:rPr>
      </w:pPr>
      <w:r w:rsidRPr="007E650E">
        <w:rPr>
          <w:noProof/>
        </w:rPr>
        <w:t>4.</w:t>
      </w:r>
      <w:r w:rsidRPr="007E650E">
        <w:rPr>
          <w:rFonts w:asciiTheme="minorHAnsi" w:eastAsiaTheme="minorEastAsia" w:hAnsiTheme="minorHAnsi"/>
          <w:b w:val="0"/>
          <w:bCs w:val="0"/>
          <w:noProof/>
          <w:szCs w:val="24"/>
        </w:rPr>
        <w:tab/>
      </w:r>
      <w:r w:rsidRPr="007E650E">
        <w:rPr>
          <w:noProof/>
        </w:rPr>
        <w:t>Submission</w:t>
      </w:r>
      <w:r w:rsidRPr="007E650E">
        <w:rPr>
          <w:noProof/>
        </w:rPr>
        <w:tab/>
      </w:r>
      <w:r w:rsidRPr="007E650E">
        <w:rPr>
          <w:noProof/>
        </w:rPr>
        <w:fldChar w:fldCharType="begin"/>
      </w:r>
      <w:r w:rsidRPr="007E650E">
        <w:rPr>
          <w:noProof/>
        </w:rPr>
        <w:instrText xml:space="preserve"> PAGEREF _Toc195189594 \h </w:instrText>
      </w:r>
      <w:r w:rsidRPr="007E650E">
        <w:rPr>
          <w:noProof/>
        </w:rPr>
      </w:r>
      <w:r w:rsidRPr="007E650E">
        <w:rPr>
          <w:noProof/>
        </w:rPr>
        <w:fldChar w:fldCharType="separate"/>
      </w:r>
      <w:r w:rsidR="00D762CC" w:rsidRPr="007E650E">
        <w:rPr>
          <w:noProof/>
        </w:rPr>
        <w:t>12</w:t>
      </w:r>
      <w:r w:rsidRPr="007E650E">
        <w:rPr>
          <w:noProof/>
        </w:rPr>
        <w:fldChar w:fldCharType="end"/>
      </w:r>
    </w:p>
    <w:p w14:paraId="78F52C35" w14:textId="54C204C8" w:rsidR="00F72A3F" w:rsidRPr="007E650E" w:rsidRDefault="00F72A3F">
      <w:pPr>
        <w:pStyle w:val="TOC3"/>
        <w:rPr>
          <w:rFonts w:asciiTheme="minorHAnsi" w:eastAsiaTheme="minorEastAsia" w:hAnsiTheme="minorHAnsi"/>
          <w:noProof/>
          <w:szCs w:val="24"/>
        </w:rPr>
      </w:pPr>
      <w:r w:rsidRPr="007E650E">
        <w:rPr>
          <w:noProof/>
        </w:rPr>
        <w:t>A.</w:t>
      </w:r>
      <w:r w:rsidRPr="007E650E">
        <w:rPr>
          <w:rFonts w:asciiTheme="minorHAnsi" w:eastAsiaTheme="minorEastAsia" w:hAnsiTheme="minorHAnsi"/>
          <w:noProof/>
          <w:szCs w:val="24"/>
        </w:rPr>
        <w:tab/>
      </w:r>
      <w:r w:rsidRPr="007E650E">
        <w:rPr>
          <w:noProof/>
        </w:rPr>
        <w:t>Submission Format</w:t>
      </w:r>
      <w:r w:rsidRPr="007E650E">
        <w:rPr>
          <w:noProof/>
        </w:rPr>
        <w:tab/>
      </w:r>
      <w:r w:rsidRPr="007E650E">
        <w:rPr>
          <w:noProof/>
        </w:rPr>
        <w:fldChar w:fldCharType="begin"/>
      </w:r>
      <w:r w:rsidRPr="007E650E">
        <w:rPr>
          <w:noProof/>
        </w:rPr>
        <w:instrText xml:space="preserve"> PAGEREF _Toc195189595 \h </w:instrText>
      </w:r>
      <w:r w:rsidRPr="007E650E">
        <w:rPr>
          <w:noProof/>
        </w:rPr>
      </w:r>
      <w:r w:rsidRPr="007E650E">
        <w:rPr>
          <w:noProof/>
        </w:rPr>
        <w:fldChar w:fldCharType="separate"/>
      </w:r>
      <w:r w:rsidR="00D762CC" w:rsidRPr="007E650E">
        <w:rPr>
          <w:noProof/>
        </w:rPr>
        <w:t>12</w:t>
      </w:r>
      <w:r w:rsidRPr="007E650E">
        <w:rPr>
          <w:noProof/>
        </w:rPr>
        <w:fldChar w:fldCharType="end"/>
      </w:r>
    </w:p>
    <w:p w14:paraId="70ADE62F" w14:textId="1A3A46C7" w:rsidR="00F72A3F" w:rsidRPr="007E650E" w:rsidRDefault="00F72A3F">
      <w:pPr>
        <w:pStyle w:val="TOC3"/>
        <w:rPr>
          <w:rFonts w:asciiTheme="minorHAnsi" w:eastAsiaTheme="minorEastAsia" w:hAnsiTheme="minorHAnsi"/>
          <w:noProof/>
          <w:szCs w:val="24"/>
        </w:rPr>
      </w:pPr>
      <w:r w:rsidRPr="007E650E">
        <w:rPr>
          <w:noProof/>
        </w:rPr>
        <w:t>B.</w:t>
      </w:r>
      <w:r w:rsidRPr="007E650E">
        <w:rPr>
          <w:rFonts w:asciiTheme="minorHAnsi" w:eastAsiaTheme="minorEastAsia" w:hAnsiTheme="minorHAnsi"/>
          <w:noProof/>
          <w:szCs w:val="24"/>
        </w:rPr>
        <w:tab/>
      </w:r>
      <w:r w:rsidRPr="007E650E">
        <w:rPr>
          <w:noProof/>
        </w:rPr>
        <w:t>Submission Guidelines</w:t>
      </w:r>
      <w:r w:rsidRPr="007E650E">
        <w:rPr>
          <w:noProof/>
        </w:rPr>
        <w:tab/>
      </w:r>
      <w:r w:rsidRPr="007E650E">
        <w:rPr>
          <w:noProof/>
        </w:rPr>
        <w:fldChar w:fldCharType="begin"/>
      </w:r>
      <w:r w:rsidRPr="007E650E">
        <w:rPr>
          <w:noProof/>
        </w:rPr>
        <w:instrText xml:space="preserve"> PAGEREF _Toc195189596 \h </w:instrText>
      </w:r>
      <w:r w:rsidRPr="007E650E">
        <w:rPr>
          <w:noProof/>
        </w:rPr>
      </w:r>
      <w:r w:rsidRPr="007E650E">
        <w:rPr>
          <w:noProof/>
        </w:rPr>
        <w:fldChar w:fldCharType="separate"/>
      </w:r>
      <w:r w:rsidR="00D762CC" w:rsidRPr="007E650E">
        <w:rPr>
          <w:noProof/>
        </w:rPr>
        <w:t>13</w:t>
      </w:r>
      <w:r w:rsidRPr="007E650E">
        <w:rPr>
          <w:noProof/>
        </w:rPr>
        <w:fldChar w:fldCharType="end"/>
      </w:r>
    </w:p>
    <w:p w14:paraId="5A649FDE" w14:textId="218755B4" w:rsidR="00F72A3F" w:rsidRPr="007E650E" w:rsidRDefault="00F72A3F">
      <w:pPr>
        <w:pStyle w:val="TOC3"/>
        <w:rPr>
          <w:rFonts w:asciiTheme="minorHAnsi" w:eastAsiaTheme="minorEastAsia" w:hAnsiTheme="minorHAnsi"/>
          <w:noProof/>
          <w:szCs w:val="24"/>
        </w:rPr>
      </w:pPr>
      <w:r w:rsidRPr="007E650E">
        <w:rPr>
          <w:noProof/>
        </w:rPr>
        <w:t>C.</w:t>
      </w:r>
      <w:r w:rsidRPr="007E650E">
        <w:rPr>
          <w:rFonts w:asciiTheme="minorHAnsi" w:eastAsiaTheme="minorEastAsia" w:hAnsiTheme="minorHAnsi"/>
          <w:noProof/>
          <w:szCs w:val="24"/>
        </w:rPr>
        <w:tab/>
      </w:r>
      <w:r w:rsidRPr="007E650E">
        <w:rPr>
          <w:noProof/>
        </w:rPr>
        <w:t>Questions and Answers</w:t>
      </w:r>
      <w:r w:rsidRPr="007E650E">
        <w:rPr>
          <w:noProof/>
        </w:rPr>
        <w:tab/>
      </w:r>
      <w:r w:rsidRPr="007E650E">
        <w:rPr>
          <w:noProof/>
        </w:rPr>
        <w:fldChar w:fldCharType="begin"/>
      </w:r>
      <w:r w:rsidRPr="007E650E">
        <w:rPr>
          <w:noProof/>
        </w:rPr>
        <w:instrText xml:space="preserve"> PAGEREF _Toc195189597 \h </w:instrText>
      </w:r>
      <w:r w:rsidRPr="007E650E">
        <w:rPr>
          <w:noProof/>
        </w:rPr>
      </w:r>
      <w:r w:rsidRPr="007E650E">
        <w:rPr>
          <w:noProof/>
        </w:rPr>
        <w:fldChar w:fldCharType="separate"/>
      </w:r>
      <w:r w:rsidR="00D762CC" w:rsidRPr="007E650E">
        <w:rPr>
          <w:noProof/>
        </w:rPr>
        <w:t>15</w:t>
      </w:r>
      <w:r w:rsidRPr="007E650E">
        <w:rPr>
          <w:noProof/>
        </w:rPr>
        <w:fldChar w:fldCharType="end"/>
      </w:r>
    </w:p>
    <w:p w14:paraId="6155FF28" w14:textId="094C93D6" w:rsidR="00F72A3F" w:rsidRPr="007E650E" w:rsidRDefault="00F72A3F">
      <w:pPr>
        <w:pStyle w:val="TOC3"/>
        <w:rPr>
          <w:rFonts w:asciiTheme="minorHAnsi" w:eastAsiaTheme="minorEastAsia" w:hAnsiTheme="minorHAnsi"/>
          <w:noProof/>
          <w:szCs w:val="24"/>
        </w:rPr>
      </w:pPr>
      <w:r w:rsidRPr="007E650E">
        <w:rPr>
          <w:noProof/>
        </w:rPr>
        <w:t>D.</w:t>
      </w:r>
      <w:r w:rsidRPr="007E650E">
        <w:rPr>
          <w:rFonts w:asciiTheme="minorHAnsi" w:eastAsiaTheme="minorEastAsia" w:hAnsiTheme="minorHAnsi"/>
          <w:noProof/>
          <w:szCs w:val="24"/>
        </w:rPr>
        <w:tab/>
      </w:r>
      <w:r w:rsidRPr="007E650E">
        <w:rPr>
          <w:noProof/>
        </w:rPr>
        <w:t>Delivery</w:t>
      </w:r>
      <w:r w:rsidRPr="007E650E">
        <w:rPr>
          <w:noProof/>
        </w:rPr>
        <w:tab/>
      </w:r>
      <w:r w:rsidRPr="007E650E">
        <w:rPr>
          <w:noProof/>
        </w:rPr>
        <w:fldChar w:fldCharType="begin"/>
      </w:r>
      <w:r w:rsidRPr="007E650E">
        <w:rPr>
          <w:noProof/>
        </w:rPr>
        <w:instrText xml:space="preserve"> PAGEREF _Toc195189598 \h </w:instrText>
      </w:r>
      <w:r w:rsidRPr="007E650E">
        <w:rPr>
          <w:noProof/>
        </w:rPr>
      </w:r>
      <w:r w:rsidRPr="007E650E">
        <w:rPr>
          <w:noProof/>
        </w:rPr>
        <w:fldChar w:fldCharType="separate"/>
      </w:r>
      <w:r w:rsidR="00D762CC" w:rsidRPr="007E650E">
        <w:rPr>
          <w:noProof/>
        </w:rPr>
        <w:t>15</w:t>
      </w:r>
      <w:r w:rsidRPr="007E650E">
        <w:rPr>
          <w:noProof/>
        </w:rPr>
        <w:fldChar w:fldCharType="end"/>
      </w:r>
    </w:p>
    <w:p w14:paraId="3B2A96DF" w14:textId="1FCA8E36" w:rsidR="00F72A3F" w:rsidRPr="007E650E" w:rsidRDefault="00F72A3F">
      <w:pPr>
        <w:pStyle w:val="TOC2"/>
        <w:tabs>
          <w:tab w:val="left" w:pos="440"/>
          <w:tab w:val="right" w:leader="dot" w:pos="9350"/>
        </w:tabs>
        <w:rPr>
          <w:rFonts w:asciiTheme="minorHAnsi" w:eastAsiaTheme="minorEastAsia" w:hAnsiTheme="minorHAnsi"/>
          <w:b w:val="0"/>
          <w:bCs w:val="0"/>
          <w:noProof/>
          <w:szCs w:val="24"/>
        </w:rPr>
      </w:pPr>
      <w:r w:rsidRPr="007E650E">
        <w:rPr>
          <w:noProof/>
        </w:rPr>
        <w:t>5.</w:t>
      </w:r>
      <w:r w:rsidRPr="007E650E">
        <w:rPr>
          <w:rFonts w:asciiTheme="minorHAnsi" w:eastAsiaTheme="minorEastAsia" w:hAnsiTheme="minorHAnsi"/>
          <w:b w:val="0"/>
          <w:bCs w:val="0"/>
          <w:noProof/>
          <w:szCs w:val="24"/>
        </w:rPr>
        <w:tab/>
      </w:r>
      <w:r w:rsidRPr="007E650E">
        <w:rPr>
          <w:noProof/>
        </w:rPr>
        <w:t>Award and Contracting Process</w:t>
      </w:r>
      <w:r w:rsidRPr="007E650E">
        <w:rPr>
          <w:noProof/>
        </w:rPr>
        <w:tab/>
      </w:r>
      <w:r w:rsidRPr="007E650E">
        <w:rPr>
          <w:noProof/>
        </w:rPr>
        <w:fldChar w:fldCharType="begin"/>
      </w:r>
      <w:r w:rsidRPr="007E650E">
        <w:rPr>
          <w:noProof/>
        </w:rPr>
        <w:instrText xml:space="preserve"> PAGEREF _Toc195189599 \h </w:instrText>
      </w:r>
      <w:r w:rsidRPr="007E650E">
        <w:rPr>
          <w:noProof/>
        </w:rPr>
      </w:r>
      <w:r w:rsidRPr="007E650E">
        <w:rPr>
          <w:noProof/>
        </w:rPr>
        <w:fldChar w:fldCharType="separate"/>
      </w:r>
      <w:r w:rsidR="00D762CC" w:rsidRPr="007E650E">
        <w:rPr>
          <w:noProof/>
        </w:rPr>
        <w:t>15</w:t>
      </w:r>
      <w:r w:rsidRPr="007E650E">
        <w:rPr>
          <w:noProof/>
        </w:rPr>
        <w:fldChar w:fldCharType="end"/>
      </w:r>
    </w:p>
    <w:p w14:paraId="6BEAADB8" w14:textId="7CF58C7D" w:rsidR="00F72A3F" w:rsidRPr="007E650E" w:rsidRDefault="00F72A3F">
      <w:pPr>
        <w:pStyle w:val="TOC3"/>
        <w:rPr>
          <w:rFonts w:asciiTheme="minorHAnsi" w:eastAsiaTheme="minorEastAsia" w:hAnsiTheme="minorHAnsi"/>
          <w:noProof/>
          <w:szCs w:val="24"/>
        </w:rPr>
      </w:pPr>
      <w:r w:rsidRPr="007E650E">
        <w:rPr>
          <w:noProof/>
        </w:rPr>
        <w:t>A.</w:t>
      </w:r>
      <w:r w:rsidRPr="007E650E">
        <w:rPr>
          <w:rFonts w:asciiTheme="minorHAnsi" w:eastAsiaTheme="minorEastAsia" w:hAnsiTheme="minorHAnsi"/>
          <w:noProof/>
          <w:szCs w:val="24"/>
        </w:rPr>
        <w:tab/>
      </w:r>
      <w:r w:rsidRPr="007E650E">
        <w:rPr>
          <w:noProof/>
        </w:rPr>
        <w:t>Proposal Review, Scoring, and Evaluation</w:t>
      </w:r>
      <w:r w:rsidRPr="007E650E">
        <w:rPr>
          <w:noProof/>
        </w:rPr>
        <w:tab/>
      </w:r>
      <w:r w:rsidRPr="007E650E">
        <w:rPr>
          <w:noProof/>
        </w:rPr>
        <w:fldChar w:fldCharType="begin"/>
      </w:r>
      <w:r w:rsidRPr="007E650E">
        <w:rPr>
          <w:noProof/>
        </w:rPr>
        <w:instrText xml:space="preserve"> PAGEREF _Toc195189600 \h </w:instrText>
      </w:r>
      <w:r w:rsidRPr="007E650E">
        <w:rPr>
          <w:noProof/>
        </w:rPr>
      </w:r>
      <w:r w:rsidRPr="007E650E">
        <w:rPr>
          <w:noProof/>
        </w:rPr>
        <w:fldChar w:fldCharType="separate"/>
      </w:r>
      <w:r w:rsidR="00D762CC" w:rsidRPr="007E650E">
        <w:rPr>
          <w:noProof/>
        </w:rPr>
        <w:t>16</w:t>
      </w:r>
      <w:r w:rsidRPr="007E650E">
        <w:rPr>
          <w:noProof/>
        </w:rPr>
        <w:fldChar w:fldCharType="end"/>
      </w:r>
    </w:p>
    <w:p w14:paraId="25175B57" w14:textId="02890B53" w:rsidR="00F72A3F" w:rsidRPr="007E650E" w:rsidRDefault="00F72A3F">
      <w:pPr>
        <w:pStyle w:val="TOC3"/>
        <w:rPr>
          <w:rFonts w:asciiTheme="minorHAnsi" w:eastAsiaTheme="minorEastAsia" w:hAnsiTheme="minorHAnsi"/>
          <w:noProof/>
          <w:szCs w:val="24"/>
        </w:rPr>
      </w:pPr>
      <w:r w:rsidRPr="007E650E">
        <w:rPr>
          <w:noProof/>
        </w:rPr>
        <w:t>B.</w:t>
      </w:r>
      <w:r w:rsidRPr="007E650E">
        <w:rPr>
          <w:rFonts w:asciiTheme="minorHAnsi" w:eastAsiaTheme="minorEastAsia" w:hAnsiTheme="minorHAnsi"/>
          <w:noProof/>
          <w:szCs w:val="24"/>
        </w:rPr>
        <w:tab/>
      </w:r>
      <w:r w:rsidRPr="007E650E">
        <w:rPr>
          <w:noProof/>
        </w:rPr>
        <w:t>Appeals Process</w:t>
      </w:r>
      <w:r w:rsidRPr="007E650E">
        <w:rPr>
          <w:noProof/>
        </w:rPr>
        <w:tab/>
      </w:r>
      <w:r w:rsidRPr="007E650E">
        <w:rPr>
          <w:noProof/>
        </w:rPr>
        <w:fldChar w:fldCharType="begin"/>
      </w:r>
      <w:r w:rsidRPr="007E650E">
        <w:rPr>
          <w:noProof/>
        </w:rPr>
        <w:instrText xml:space="preserve"> PAGEREF _Toc195189601 \h </w:instrText>
      </w:r>
      <w:r w:rsidRPr="007E650E">
        <w:rPr>
          <w:noProof/>
        </w:rPr>
      </w:r>
      <w:r w:rsidRPr="007E650E">
        <w:rPr>
          <w:noProof/>
        </w:rPr>
        <w:fldChar w:fldCharType="separate"/>
      </w:r>
      <w:r w:rsidR="00D762CC" w:rsidRPr="007E650E">
        <w:rPr>
          <w:noProof/>
        </w:rPr>
        <w:t>17</w:t>
      </w:r>
      <w:r w:rsidRPr="007E650E">
        <w:rPr>
          <w:noProof/>
        </w:rPr>
        <w:fldChar w:fldCharType="end"/>
      </w:r>
    </w:p>
    <w:p w14:paraId="0C17D6E0" w14:textId="0C991E88" w:rsidR="00F72A3F" w:rsidRPr="007E650E" w:rsidRDefault="00F72A3F">
      <w:pPr>
        <w:pStyle w:val="TOC3"/>
        <w:rPr>
          <w:rFonts w:asciiTheme="minorHAnsi" w:eastAsiaTheme="minorEastAsia" w:hAnsiTheme="minorHAnsi"/>
          <w:noProof/>
          <w:szCs w:val="24"/>
        </w:rPr>
      </w:pPr>
      <w:r w:rsidRPr="007E650E">
        <w:rPr>
          <w:noProof/>
        </w:rPr>
        <w:t>C.</w:t>
      </w:r>
      <w:r w:rsidRPr="007E650E">
        <w:rPr>
          <w:rFonts w:asciiTheme="minorHAnsi" w:eastAsiaTheme="minorEastAsia" w:hAnsiTheme="minorHAnsi"/>
          <w:noProof/>
          <w:szCs w:val="24"/>
        </w:rPr>
        <w:tab/>
      </w:r>
      <w:r w:rsidRPr="007E650E">
        <w:rPr>
          <w:noProof/>
        </w:rPr>
        <w:t>Award Notification</w:t>
      </w:r>
      <w:r w:rsidRPr="007E650E">
        <w:rPr>
          <w:noProof/>
        </w:rPr>
        <w:tab/>
      </w:r>
      <w:r w:rsidRPr="007E650E">
        <w:rPr>
          <w:noProof/>
        </w:rPr>
        <w:fldChar w:fldCharType="begin"/>
      </w:r>
      <w:r w:rsidRPr="007E650E">
        <w:rPr>
          <w:noProof/>
        </w:rPr>
        <w:instrText xml:space="preserve"> PAGEREF _Toc195189602 \h </w:instrText>
      </w:r>
      <w:r w:rsidRPr="007E650E">
        <w:rPr>
          <w:noProof/>
        </w:rPr>
      </w:r>
      <w:r w:rsidRPr="007E650E">
        <w:rPr>
          <w:noProof/>
        </w:rPr>
        <w:fldChar w:fldCharType="separate"/>
      </w:r>
      <w:r w:rsidR="00D762CC" w:rsidRPr="007E650E">
        <w:rPr>
          <w:noProof/>
        </w:rPr>
        <w:t>18</w:t>
      </w:r>
      <w:r w:rsidRPr="007E650E">
        <w:rPr>
          <w:noProof/>
        </w:rPr>
        <w:fldChar w:fldCharType="end"/>
      </w:r>
    </w:p>
    <w:p w14:paraId="099B00AE" w14:textId="2FA0AC40" w:rsidR="00F72A3F" w:rsidRPr="007E650E" w:rsidRDefault="00F72A3F">
      <w:pPr>
        <w:pStyle w:val="TOC3"/>
        <w:rPr>
          <w:rFonts w:asciiTheme="minorHAnsi" w:eastAsiaTheme="minorEastAsia" w:hAnsiTheme="minorHAnsi"/>
          <w:noProof/>
          <w:szCs w:val="24"/>
        </w:rPr>
      </w:pPr>
      <w:r w:rsidRPr="007E650E">
        <w:rPr>
          <w:noProof/>
        </w:rPr>
        <w:t>D.</w:t>
      </w:r>
      <w:r w:rsidRPr="007E650E">
        <w:rPr>
          <w:rFonts w:asciiTheme="minorHAnsi" w:eastAsiaTheme="minorEastAsia" w:hAnsiTheme="minorHAnsi"/>
          <w:noProof/>
          <w:szCs w:val="24"/>
        </w:rPr>
        <w:tab/>
      </w:r>
      <w:r w:rsidRPr="007E650E">
        <w:rPr>
          <w:noProof/>
        </w:rPr>
        <w:t>Agreement and Contracting</w:t>
      </w:r>
      <w:r w:rsidRPr="007E650E">
        <w:rPr>
          <w:noProof/>
        </w:rPr>
        <w:tab/>
      </w:r>
      <w:r w:rsidRPr="007E650E">
        <w:rPr>
          <w:noProof/>
        </w:rPr>
        <w:fldChar w:fldCharType="begin"/>
      </w:r>
      <w:r w:rsidRPr="007E650E">
        <w:rPr>
          <w:noProof/>
        </w:rPr>
        <w:instrText xml:space="preserve"> PAGEREF _Toc195189603 \h </w:instrText>
      </w:r>
      <w:r w:rsidRPr="007E650E">
        <w:rPr>
          <w:noProof/>
        </w:rPr>
      </w:r>
      <w:r w:rsidRPr="007E650E">
        <w:rPr>
          <w:noProof/>
        </w:rPr>
        <w:fldChar w:fldCharType="separate"/>
      </w:r>
      <w:r w:rsidR="00D762CC" w:rsidRPr="007E650E">
        <w:rPr>
          <w:noProof/>
        </w:rPr>
        <w:t>18</w:t>
      </w:r>
      <w:r w:rsidRPr="007E650E">
        <w:rPr>
          <w:noProof/>
        </w:rPr>
        <w:fldChar w:fldCharType="end"/>
      </w:r>
    </w:p>
    <w:p w14:paraId="1A75DA9F" w14:textId="1D575198" w:rsidR="00F72A3F" w:rsidRPr="007E650E" w:rsidRDefault="00F72A3F">
      <w:pPr>
        <w:pStyle w:val="TOC2"/>
        <w:tabs>
          <w:tab w:val="left" w:pos="440"/>
          <w:tab w:val="right" w:leader="dot" w:pos="9350"/>
        </w:tabs>
        <w:rPr>
          <w:rFonts w:asciiTheme="minorHAnsi" w:eastAsiaTheme="minorEastAsia" w:hAnsiTheme="minorHAnsi"/>
          <w:b w:val="0"/>
          <w:bCs w:val="0"/>
          <w:noProof/>
          <w:szCs w:val="24"/>
        </w:rPr>
      </w:pPr>
      <w:r w:rsidRPr="007E650E">
        <w:rPr>
          <w:rFonts w:eastAsia="Arial"/>
          <w:noProof/>
        </w:rPr>
        <w:lastRenderedPageBreak/>
        <w:t>6.</w:t>
      </w:r>
      <w:r w:rsidRPr="007E650E">
        <w:rPr>
          <w:rFonts w:asciiTheme="minorHAnsi" w:eastAsiaTheme="minorEastAsia" w:hAnsiTheme="minorHAnsi"/>
          <w:b w:val="0"/>
          <w:bCs w:val="0"/>
          <w:noProof/>
          <w:szCs w:val="24"/>
        </w:rPr>
        <w:tab/>
      </w:r>
      <w:r w:rsidRPr="007E650E">
        <w:rPr>
          <w:rFonts w:eastAsia="Arial"/>
          <w:noProof/>
        </w:rPr>
        <w:t>Administrative Requirements</w:t>
      </w:r>
      <w:r w:rsidRPr="007E650E">
        <w:rPr>
          <w:noProof/>
        </w:rPr>
        <w:tab/>
      </w:r>
      <w:r w:rsidRPr="007E650E">
        <w:rPr>
          <w:noProof/>
        </w:rPr>
        <w:fldChar w:fldCharType="begin"/>
      </w:r>
      <w:r w:rsidRPr="007E650E">
        <w:rPr>
          <w:noProof/>
        </w:rPr>
        <w:instrText xml:space="preserve"> PAGEREF _Toc195189604 \h </w:instrText>
      </w:r>
      <w:r w:rsidRPr="007E650E">
        <w:rPr>
          <w:noProof/>
        </w:rPr>
      </w:r>
      <w:r w:rsidRPr="007E650E">
        <w:rPr>
          <w:noProof/>
        </w:rPr>
        <w:fldChar w:fldCharType="separate"/>
      </w:r>
      <w:r w:rsidR="00D762CC" w:rsidRPr="007E650E">
        <w:rPr>
          <w:noProof/>
        </w:rPr>
        <w:t>19</w:t>
      </w:r>
      <w:r w:rsidRPr="007E650E">
        <w:rPr>
          <w:noProof/>
        </w:rPr>
        <w:fldChar w:fldCharType="end"/>
      </w:r>
    </w:p>
    <w:p w14:paraId="3650BD36" w14:textId="2AE704D0" w:rsidR="00F72A3F" w:rsidRPr="007E650E" w:rsidRDefault="00F72A3F">
      <w:pPr>
        <w:pStyle w:val="TOC3"/>
        <w:rPr>
          <w:rFonts w:asciiTheme="minorHAnsi" w:eastAsiaTheme="minorEastAsia" w:hAnsiTheme="minorHAnsi"/>
          <w:noProof/>
          <w:szCs w:val="24"/>
        </w:rPr>
      </w:pPr>
      <w:r w:rsidRPr="007E650E">
        <w:rPr>
          <w:noProof/>
        </w:rPr>
        <w:t>A.</w:t>
      </w:r>
      <w:r w:rsidRPr="007E650E">
        <w:rPr>
          <w:rFonts w:asciiTheme="minorHAnsi" w:eastAsiaTheme="minorEastAsia" w:hAnsiTheme="minorHAnsi"/>
          <w:noProof/>
          <w:szCs w:val="24"/>
        </w:rPr>
        <w:tab/>
      </w:r>
      <w:r w:rsidRPr="007E650E">
        <w:rPr>
          <w:noProof/>
        </w:rPr>
        <w:t>Monitoring and Audits</w:t>
      </w:r>
      <w:r w:rsidRPr="007E650E">
        <w:rPr>
          <w:noProof/>
        </w:rPr>
        <w:tab/>
      </w:r>
      <w:r w:rsidRPr="007E650E">
        <w:rPr>
          <w:noProof/>
        </w:rPr>
        <w:fldChar w:fldCharType="begin"/>
      </w:r>
      <w:r w:rsidRPr="007E650E">
        <w:rPr>
          <w:noProof/>
        </w:rPr>
        <w:instrText xml:space="preserve"> PAGEREF _Toc195189605 \h </w:instrText>
      </w:r>
      <w:r w:rsidRPr="007E650E">
        <w:rPr>
          <w:noProof/>
        </w:rPr>
      </w:r>
      <w:r w:rsidRPr="007E650E">
        <w:rPr>
          <w:noProof/>
        </w:rPr>
        <w:fldChar w:fldCharType="separate"/>
      </w:r>
      <w:r w:rsidR="00D762CC" w:rsidRPr="007E650E">
        <w:rPr>
          <w:noProof/>
        </w:rPr>
        <w:t>19</w:t>
      </w:r>
      <w:r w:rsidRPr="007E650E">
        <w:rPr>
          <w:noProof/>
        </w:rPr>
        <w:fldChar w:fldCharType="end"/>
      </w:r>
    </w:p>
    <w:p w14:paraId="527783FA" w14:textId="37BEC92D" w:rsidR="00F72A3F" w:rsidRPr="007E650E" w:rsidRDefault="00F72A3F">
      <w:pPr>
        <w:pStyle w:val="TOC3"/>
        <w:rPr>
          <w:rFonts w:asciiTheme="minorHAnsi" w:eastAsiaTheme="minorEastAsia" w:hAnsiTheme="minorHAnsi"/>
          <w:noProof/>
          <w:szCs w:val="24"/>
        </w:rPr>
      </w:pPr>
      <w:r w:rsidRPr="007E650E">
        <w:rPr>
          <w:noProof/>
        </w:rPr>
        <w:t>B.</w:t>
      </w:r>
      <w:r w:rsidRPr="007E650E">
        <w:rPr>
          <w:rFonts w:asciiTheme="minorHAnsi" w:eastAsiaTheme="minorEastAsia" w:hAnsiTheme="minorHAnsi"/>
          <w:noProof/>
          <w:szCs w:val="24"/>
        </w:rPr>
        <w:tab/>
      </w:r>
      <w:r w:rsidRPr="007E650E">
        <w:rPr>
          <w:noProof/>
        </w:rPr>
        <w:t>Record Retention</w:t>
      </w:r>
      <w:r w:rsidRPr="007E650E">
        <w:rPr>
          <w:noProof/>
        </w:rPr>
        <w:tab/>
      </w:r>
      <w:r w:rsidRPr="007E650E">
        <w:rPr>
          <w:noProof/>
        </w:rPr>
        <w:fldChar w:fldCharType="begin"/>
      </w:r>
      <w:r w:rsidRPr="007E650E">
        <w:rPr>
          <w:noProof/>
        </w:rPr>
        <w:instrText xml:space="preserve"> PAGEREF _Toc195189606 \h </w:instrText>
      </w:r>
      <w:r w:rsidRPr="007E650E">
        <w:rPr>
          <w:noProof/>
        </w:rPr>
      </w:r>
      <w:r w:rsidRPr="007E650E">
        <w:rPr>
          <w:noProof/>
        </w:rPr>
        <w:fldChar w:fldCharType="separate"/>
      </w:r>
      <w:r w:rsidR="00D762CC" w:rsidRPr="007E650E">
        <w:rPr>
          <w:noProof/>
        </w:rPr>
        <w:t>19</w:t>
      </w:r>
      <w:r w:rsidRPr="007E650E">
        <w:rPr>
          <w:noProof/>
        </w:rPr>
        <w:fldChar w:fldCharType="end"/>
      </w:r>
    </w:p>
    <w:p w14:paraId="4E0EF2F9" w14:textId="6CA03263" w:rsidR="00F72A3F" w:rsidRPr="007E650E" w:rsidRDefault="00F72A3F">
      <w:pPr>
        <w:pStyle w:val="TOC3"/>
        <w:rPr>
          <w:rFonts w:asciiTheme="minorHAnsi" w:eastAsiaTheme="minorEastAsia" w:hAnsiTheme="minorHAnsi"/>
          <w:noProof/>
          <w:szCs w:val="24"/>
        </w:rPr>
      </w:pPr>
      <w:r w:rsidRPr="007E650E">
        <w:rPr>
          <w:noProof/>
        </w:rPr>
        <w:t>C.</w:t>
      </w:r>
      <w:r w:rsidRPr="007E650E">
        <w:rPr>
          <w:rFonts w:asciiTheme="minorHAnsi" w:eastAsiaTheme="minorEastAsia" w:hAnsiTheme="minorHAnsi"/>
          <w:noProof/>
          <w:szCs w:val="24"/>
        </w:rPr>
        <w:tab/>
      </w:r>
      <w:r w:rsidRPr="007E650E">
        <w:rPr>
          <w:noProof/>
        </w:rPr>
        <w:t>Reporting</w:t>
      </w:r>
      <w:r w:rsidRPr="007E650E">
        <w:rPr>
          <w:noProof/>
        </w:rPr>
        <w:tab/>
      </w:r>
      <w:r w:rsidRPr="007E650E">
        <w:rPr>
          <w:noProof/>
        </w:rPr>
        <w:fldChar w:fldCharType="begin"/>
      </w:r>
      <w:r w:rsidRPr="007E650E">
        <w:rPr>
          <w:noProof/>
        </w:rPr>
        <w:instrText xml:space="preserve"> PAGEREF _Toc195189607 \h </w:instrText>
      </w:r>
      <w:r w:rsidRPr="007E650E">
        <w:rPr>
          <w:noProof/>
        </w:rPr>
      </w:r>
      <w:r w:rsidRPr="007E650E">
        <w:rPr>
          <w:noProof/>
        </w:rPr>
        <w:fldChar w:fldCharType="separate"/>
      </w:r>
      <w:r w:rsidR="00D762CC" w:rsidRPr="007E650E">
        <w:rPr>
          <w:noProof/>
        </w:rPr>
        <w:t>19</w:t>
      </w:r>
      <w:r w:rsidRPr="007E650E">
        <w:rPr>
          <w:noProof/>
        </w:rPr>
        <w:fldChar w:fldCharType="end"/>
      </w:r>
    </w:p>
    <w:p w14:paraId="2E8C1C8A" w14:textId="71691197" w:rsidR="00F72A3F" w:rsidRPr="007E650E" w:rsidRDefault="00F72A3F">
      <w:pPr>
        <w:pStyle w:val="TOC3"/>
        <w:rPr>
          <w:rFonts w:asciiTheme="minorHAnsi" w:eastAsiaTheme="minorEastAsia" w:hAnsiTheme="minorHAnsi"/>
          <w:noProof/>
          <w:szCs w:val="24"/>
        </w:rPr>
      </w:pPr>
      <w:r w:rsidRPr="007E650E">
        <w:rPr>
          <w:noProof/>
        </w:rPr>
        <w:t>D.</w:t>
      </w:r>
      <w:r w:rsidRPr="007E650E">
        <w:rPr>
          <w:rFonts w:asciiTheme="minorHAnsi" w:eastAsiaTheme="minorEastAsia" w:hAnsiTheme="minorHAnsi"/>
          <w:noProof/>
          <w:szCs w:val="24"/>
        </w:rPr>
        <w:tab/>
      </w:r>
      <w:r w:rsidRPr="007E650E">
        <w:rPr>
          <w:noProof/>
        </w:rPr>
        <w:t>Performance</w:t>
      </w:r>
      <w:r w:rsidRPr="007E650E">
        <w:rPr>
          <w:noProof/>
        </w:rPr>
        <w:tab/>
      </w:r>
      <w:r w:rsidRPr="007E650E">
        <w:rPr>
          <w:noProof/>
        </w:rPr>
        <w:fldChar w:fldCharType="begin"/>
      </w:r>
      <w:r w:rsidRPr="007E650E">
        <w:rPr>
          <w:noProof/>
        </w:rPr>
        <w:instrText xml:space="preserve"> PAGEREF _Toc195189608 \h </w:instrText>
      </w:r>
      <w:r w:rsidRPr="007E650E">
        <w:rPr>
          <w:noProof/>
        </w:rPr>
      </w:r>
      <w:r w:rsidRPr="007E650E">
        <w:rPr>
          <w:noProof/>
        </w:rPr>
        <w:fldChar w:fldCharType="separate"/>
      </w:r>
      <w:r w:rsidR="00D762CC" w:rsidRPr="007E650E">
        <w:rPr>
          <w:noProof/>
        </w:rPr>
        <w:t>20</w:t>
      </w:r>
      <w:r w:rsidRPr="007E650E">
        <w:rPr>
          <w:noProof/>
        </w:rPr>
        <w:fldChar w:fldCharType="end"/>
      </w:r>
    </w:p>
    <w:p w14:paraId="502FAB0E" w14:textId="0CDDC808" w:rsidR="00F72A3F" w:rsidRPr="007E650E" w:rsidRDefault="00F72A3F">
      <w:pPr>
        <w:pStyle w:val="TOC3"/>
        <w:rPr>
          <w:rFonts w:asciiTheme="minorHAnsi" w:eastAsiaTheme="minorEastAsia" w:hAnsiTheme="minorHAnsi"/>
          <w:noProof/>
          <w:szCs w:val="24"/>
        </w:rPr>
      </w:pPr>
      <w:r w:rsidRPr="007E650E">
        <w:rPr>
          <w:noProof/>
        </w:rPr>
        <w:t>E.</w:t>
      </w:r>
      <w:r w:rsidRPr="007E650E">
        <w:rPr>
          <w:rFonts w:asciiTheme="minorHAnsi" w:eastAsiaTheme="minorEastAsia" w:hAnsiTheme="minorHAnsi"/>
          <w:noProof/>
          <w:szCs w:val="24"/>
        </w:rPr>
        <w:tab/>
      </w:r>
      <w:r w:rsidRPr="007E650E">
        <w:rPr>
          <w:noProof/>
        </w:rPr>
        <w:t>Closeout</w:t>
      </w:r>
      <w:r w:rsidRPr="007E650E">
        <w:rPr>
          <w:noProof/>
        </w:rPr>
        <w:tab/>
      </w:r>
      <w:r w:rsidRPr="007E650E">
        <w:rPr>
          <w:noProof/>
        </w:rPr>
        <w:fldChar w:fldCharType="begin"/>
      </w:r>
      <w:r w:rsidRPr="007E650E">
        <w:rPr>
          <w:noProof/>
        </w:rPr>
        <w:instrText xml:space="preserve"> PAGEREF _Toc195189609 \h </w:instrText>
      </w:r>
      <w:r w:rsidRPr="007E650E">
        <w:rPr>
          <w:noProof/>
        </w:rPr>
      </w:r>
      <w:r w:rsidRPr="007E650E">
        <w:rPr>
          <w:noProof/>
        </w:rPr>
        <w:fldChar w:fldCharType="separate"/>
      </w:r>
      <w:r w:rsidR="00D762CC" w:rsidRPr="007E650E">
        <w:rPr>
          <w:noProof/>
        </w:rPr>
        <w:t>20</w:t>
      </w:r>
      <w:r w:rsidRPr="007E650E">
        <w:rPr>
          <w:noProof/>
        </w:rPr>
        <w:fldChar w:fldCharType="end"/>
      </w:r>
    </w:p>
    <w:p w14:paraId="4FC21885" w14:textId="0C97C87A" w:rsidR="00F72A3F" w:rsidRPr="007E650E" w:rsidRDefault="00F72A3F">
      <w:pPr>
        <w:pStyle w:val="TOC3"/>
        <w:rPr>
          <w:rFonts w:asciiTheme="minorHAnsi" w:eastAsiaTheme="minorEastAsia" w:hAnsiTheme="minorHAnsi"/>
          <w:noProof/>
          <w:szCs w:val="24"/>
        </w:rPr>
      </w:pPr>
      <w:r w:rsidRPr="007E650E">
        <w:rPr>
          <w:noProof/>
        </w:rPr>
        <w:t>F.</w:t>
      </w:r>
      <w:r w:rsidRPr="007E650E">
        <w:rPr>
          <w:rFonts w:asciiTheme="minorHAnsi" w:eastAsiaTheme="minorEastAsia" w:hAnsiTheme="minorHAnsi"/>
          <w:noProof/>
          <w:szCs w:val="24"/>
        </w:rPr>
        <w:tab/>
      </w:r>
      <w:r w:rsidRPr="007E650E">
        <w:rPr>
          <w:noProof/>
        </w:rPr>
        <w:t>Compliance</w:t>
      </w:r>
      <w:r w:rsidRPr="007E650E">
        <w:rPr>
          <w:noProof/>
        </w:rPr>
        <w:tab/>
      </w:r>
      <w:r w:rsidRPr="007E650E">
        <w:rPr>
          <w:noProof/>
        </w:rPr>
        <w:fldChar w:fldCharType="begin"/>
      </w:r>
      <w:r w:rsidRPr="007E650E">
        <w:rPr>
          <w:noProof/>
        </w:rPr>
        <w:instrText xml:space="preserve"> PAGEREF _Toc195189610 \h </w:instrText>
      </w:r>
      <w:r w:rsidRPr="007E650E">
        <w:rPr>
          <w:noProof/>
        </w:rPr>
      </w:r>
      <w:r w:rsidRPr="007E650E">
        <w:rPr>
          <w:noProof/>
        </w:rPr>
        <w:fldChar w:fldCharType="separate"/>
      </w:r>
      <w:r w:rsidR="00D762CC" w:rsidRPr="007E650E">
        <w:rPr>
          <w:noProof/>
        </w:rPr>
        <w:t>20</w:t>
      </w:r>
      <w:r w:rsidRPr="007E650E">
        <w:rPr>
          <w:noProof/>
        </w:rPr>
        <w:fldChar w:fldCharType="end"/>
      </w:r>
    </w:p>
    <w:p w14:paraId="64337763" w14:textId="3A17E88C" w:rsidR="00F72A3F" w:rsidRPr="007E650E" w:rsidRDefault="00F72A3F">
      <w:pPr>
        <w:pStyle w:val="TOC3"/>
        <w:rPr>
          <w:rFonts w:asciiTheme="minorHAnsi" w:eastAsiaTheme="minorEastAsia" w:hAnsiTheme="minorHAnsi"/>
          <w:noProof/>
          <w:szCs w:val="24"/>
        </w:rPr>
      </w:pPr>
      <w:r w:rsidRPr="007E650E">
        <w:rPr>
          <w:noProof/>
        </w:rPr>
        <w:t>G.</w:t>
      </w:r>
      <w:r w:rsidRPr="007E650E">
        <w:rPr>
          <w:rFonts w:asciiTheme="minorHAnsi" w:eastAsiaTheme="minorEastAsia" w:hAnsiTheme="minorHAnsi"/>
          <w:noProof/>
          <w:szCs w:val="24"/>
        </w:rPr>
        <w:tab/>
      </w:r>
      <w:r w:rsidRPr="007E650E">
        <w:rPr>
          <w:noProof/>
        </w:rPr>
        <w:t>Intellectual Property Rights/Creative Common Attribution License</w:t>
      </w:r>
      <w:r w:rsidRPr="007E650E">
        <w:rPr>
          <w:noProof/>
        </w:rPr>
        <w:tab/>
      </w:r>
      <w:r w:rsidRPr="007E650E">
        <w:rPr>
          <w:noProof/>
        </w:rPr>
        <w:fldChar w:fldCharType="begin"/>
      </w:r>
      <w:r w:rsidRPr="007E650E">
        <w:rPr>
          <w:noProof/>
        </w:rPr>
        <w:instrText xml:space="preserve"> PAGEREF _Toc195189611 \h </w:instrText>
      </w:r>
      <w:r w:rsidRPr="007E650E">
        <w:rPr>
          <w:noProof/>
        </w:rPr>
      </w:r>
      <w:r w:rsidRPr="007E650E">
        <w:rPr>
          <w:noProof/>
        </w:rPr>
        <w:fldChar w:fldCharType="separate"/>
      </w:r>
      <w:r w:rsidR="00D762CC" w:rsidRPr="007E650E">
        <w:rPr>
          <w:noProof/>
        </w:rPr>
        <w:t>20</w:t>
      </w:r>
      <w:r w:rsidRPr="007E650E">
        <w:rPr>
          <w:noProof/>
        </w:rPr>
        <w:fldChar w:fldCharType="end"/>
      </w:r>
    </w:p>
    <w:p w14:paraId="2577FF56" w14:textId="560DFB2C" w:rsidR="00F72A3F" w:rsidRPr="007E650E" w:rsidRDefault="00F72A3F">
      <w:pPr>
        <w:pStyle w:val="TOC3"/>
        <w:rPr>
          <w:rFonts w:asciiTheme="minorHAnsi" w:eastAsiaTheme="minorEastAsia" w:hAnsiTheme="minorHAnsi"/>
          <w:noProof/>
          <w:szCs w:val="24"/>
        </w:rPr>
      </w:pPr>
      <w:r w:rsidRPr="007E650E">
        <w:rPr>
          <w:noProof/>
        </w:rPr>
        <w:t>H.</w:t>
      </w:r>
      <w:r w:rsidRPr="007E650E">
        <w:rPr>
          <w:rFonts w:asciiTheme="minorHAnsi" w:eastAsiaTheme="minorEastAsia" w:hAnsiTheme="minorHAnsi"/>
          <w:noProof/>
          <w:szCs w:val="24"/>
        </w:rPr>
        <w:tab/>
      </w:r>
      <w:r w:rsidRPr="007E650E">
        <w:rPr>
          <w:noProof/>
        </w:rPr>
        <w:t>Public Communications – Certain Information Requirement</w:t>
      </w:r>
      <w:r w:rsidRPr="007E650E">
        <w:rPr>
          <w:noProof/>
        </w:rPr>
        <w:tab/>
      </w:r>
      <w:r w:rsidRPr="007E650E">
        <w:rPr>
          <w:noProof/>
        </w:rPr>
        <w:fldChar w:fldCharType="begin"/>
      </w:r>
      <w:r w:rsidRPr="007E650E">
        <w:rPr>
          <w:noProof/>
        </w:rPr>
        <w:instrText xml:space="preserve"> PAGEREF _Toc195189612 \h </w:instrText>
      </w:r>
      <w:r w:rsidRPr="007E650E">
        <w:rPr>
          <w:noProof/>
        </w:rPr>
      </w:r>
      <w:r w:rsidRPr="007E650E">
        <w:rPr>
          <w:noProof/>
        </w:rPr>
        <w:fldChar w:fldCharType="separate"/>
      </w:r>
      <w:r w:rsidR="00D762CC" w:rsidRPr="007E650E">
        <w:rPr>
          <w:noProof/>
        </w:rPr>
        <w:t>21</w:t>
      </w:r>
      <w:r w:rsidRPr="007E650E">
        <w:rPr>
          <w:noProof/>
        </w:rPr>
        <w:fldChar w:fldCharType="end"/>
      </w:r>
    </w:p>
    <w:p w14:paraId="078B4F14" w14:textId="004242AD" w:rsidR="00F72A3F" w:rsidRPr="007E650E" w:rsidRDefault="00F72A3F">
      <w:pPr>
        <w:pStyle w:val="TOC3"/>
        <w:rPr>
          <w:rFonts w:asciiTheme="minorHAnsi" w:eastAsiaTheme="minorEastAsia" w:hAnsiTheme="minorHAnsi"/>
          <w:noProof/>
          <w:szCs w:val="24"/>
        </w:rPr>
      </w:pPr>
      <w:r w:rsidRPr="007E650E">
        <w:rPr>
          <w:noProof/>
        </w:rPr>
        <w:t>I.</w:t>
      </w:r>
      <w:r w:rsidRPr="007E650E">
        <w:rPr>
          <w:rFonts w:asciiTheme="minorHAnsi" w:eastAsiaTheme="minorEastAsia" w:hAnsiTheme="minorHAnsi"/>
          <w:noProof/>
          <w:szCs w:val="24"/>
        </w:rPr>
        <w:tab/>
      </w:r>
      <w:r w:rsidRPr="007E650E">
        <w:rPr>
          <w:noProof/>
        </w:rPr>
        <w:t>Evaluation</w:t>
      </w:r>
      <w:r w:rsidRPr="007E650E">
        <w:rPr>
          <w:noProof/>
        </w:rPr>
        <w:tab/>
      </w:r>
      <w:r w:rsidRPr="007E650E">
        <w:rPr>
          <w:noProof/>
        </w:rPr>
        <w:fldChar w:fldCharType="begin"/>
      </w:r>
      <w:r w:rsidRPr="007E650E">
        <w:rPr>
          <w:noProof/>
        </w:rPr>
        <w:instrText xml:space="preserve"> PAGEREF _Toc195189613 \h </w:instrText>
      </w:r>
      <w:r w:rsidRPr="007E650E">
        <w:rPr>
          <w:noProof/>
        </w:rPr>
      </w:r>
      <w:r w:rsidRPr="007E650E">
        <w:rPr>
          <w:noProof/>
        </w:rPr>
        <w:fldChar w:fldCharType="separate"/>
      </w:r>
      <w:r w:rsidR="00D762CC" w:rsidRPr="007E650E">
        <w:rPr>
          <w:noProof/>
        </w:rPr>
        <w:t>21</w:t>
      </w:r>
      <w:r w:rsidRPr="007E650E">
        <w:rPr>
          <w:noProof/>
        </w:rPr>
        <w:fldChar w:fldCharType="end"/>
      </w:r>
    </w:p>
    <w:p w14:paraId="066554A9" w14:textId="1108AF2C" w:rsidR="00F72A3F" w:rsidRPr="007E650E" w:rsidRDefault="00F72A3F">
      <w:pPr>
        <w:pStyle w:val="TOC2"/>
        <w:tabs>
          <w:tab w:val="right" w:leader="dot" w:pos="9350"/>
        </w:tabs>
        <w:rPr>
          <w:rFonts w:asciiTheme="minorHAnsi" w:eastAsiaTheme="minorEastAsia" w:hAnsiTheme="minorHAnsi"/>
          <w:b w:val="0"/>
          <w:bCs w:val="0"/>
          <w:noProof/>
          <w:szCs w:val="24"/>
        </w:rPr>
      </w:pPr>
      <w:r w:rsidRPr="007E650E">
        <w:rPr>
          <w:rFonts w:eastAsia="Arial"/>
          <w:noProof/>
        </w:rPr>
        <w:t>Appendix A: Proposal Package Instructions</w:t>
      </w:r>
      <w:r w:rsidRPr="007E650E">
        <w:rPr>
          <w:noProof/>
        </w:rPr>
        <w:tab/>
      </w:r>
      <w:r w:rsidRPr="007E650E">
        <w:rPr>
          <w:noProof/>
        </w:rPr>
        <w:fldChar w:fldCharType="begin"/>
      </w:r>
      <w:r w:rsidRPr="007E650E">
        <w:rPr>
          <w:noProof/>
        </w:rPr>
        <w:instrText xml:space="preserve"> PAGEREF _Toc195189614 \h </w:instrText>
      </w:r>
      <w:r w:rsidRPr="007E650E">
        <w:rPr>
          <w:noProof/>
        </w:rPr>
      </w:r>
      <w:r w:rsidRPr="007E650E">
        <w:rPr>
          <w:noProof/>
        </w:rPr>
        <w:fldChar w:fldCharType="separate"/>
      </w:r>
      <w:r w:rsidR="00D762CC" w:rsidRPr="007E650E">
        <w:rPr>
          <w:noProof/>
        </w:rPr>
        <w:t>22</w:t>
      </w:r>
      <w:r w:rsidRPr="007E650E">
        <w:rPr>
          <w:noProof/>
        </w:rPr>
        <w:fldChar w:fldCharType="end"/>
      </w:r>
    </w:p>
    <w:p w14:paraId="786D992E" w14:textId="2B20E9B8" w:rsidR="00F72A3F" w:rsidRPr="007E650E" w:rsidRDefault="00F72A3F">
      <w:pPr>
        <w:pStyle w:val="TOC3"/>
        <w:rPr>
          <w:rFonts w:asciiTheme="minorHAnsi" w:eastAsiaTheme="minorEastAsia" w:hAnsiTheme="minorHAnsi"/>
          <w:noProof/>
          <w:szCs w:val="24"/>
        </w:rPr>
      </w:pPr>
      <w:r w:rsidRPr="007E650E">
        <w:rPr>
          <w:noProof/>
        </w:rPr>
        <w:t>A.</w:t>
      </w:r>
      <w:r w:rsidRPr="007E650E">
        <w:rPr>
          <w:rFonts w:asciiTheme="minorHAnsi" w:eastAsiaTheme="minorEastAsia" w:hAnsiTheme="minorHAnsi"/>
          <w:noProof/>
          <w:szCs w:val="24"/>
        </w:rPr>
        <w:tab/>
      </w:r>
      <w:r w:rsidRPr="007E650E">
        <w:rPr>
          <w:noProof/>
        </w:rPr>
        <w:t>Required Documents and Format</w:t>
      </w:r>
      <w:r w:rsidRPr="007E650E">
        <w:rPr>
          <w:noProof/>
        </w:rPr>
        <w:tab/>
      </w:r>
      <w:r w:rsidRPr="007E650E">
        <w:rPr>
          <w:noProof/>
        </w:rPr>
        <w:fldChar w:fldCharType="begin"/>
      </w:r>
      <w:r w:rsidRPr="007E650E">
        <w:rPr>
          <w:noProof/>
        </w:rPr>
        <w:instrText xml:space="preserve"> PAGEREF _Toc195189615 \h </w:instrText>
      </w:r>
      <w:r w:rsidRPr="007E650E">
        <w:rPr>
          <w:noProof/>
        </w:rPr>
      </w:r>
      <w:r w:rsidRPr="007E650E">
        <w:rPr>
          <w:noProof/>
        </w:rPr>
        <w:fldChar w:fldCharType="separate"/>
      </w:r>
      <w:r w:rsidR="00D762CC" w:rsidRPr="007E650E">
        <w:rPr>
          <w:noProof/>
        </w:rPr>
        <w:t>22</w:t>
      </w:r>
      <w:r w:rsidRPr="007E650E">
        <w:rPr>
          <w:noProof/>
        </w:rPr>
        <w:fldChar w:fldCharType="end"/>
      </w:r>
    </w:p>
    <w:p w14:paraId="1F9A65FC" w14:textId="745A9A9E" w:rsidR="00F72A3F" w:rsidRPr="007E650E" w:rsidRDefault="00F72A3F">
      <w:pPr>
        <w:pStyle w:val="TOC3"/>
        <w:rPr>
          <w:rFonts w:asciiTheme="minorHAnsi" w:eastAsiaTheme="minorEastAsia" w:hAnsiTheme="minorHAnsi"/>
          <w:noProof/>
          <w:szCs w:val="24"/>
        </w:rPr>
      </w:pPr>
      <w:r w:rsidRPr="007E650E">
        <w:rPr>
          <w:rFonts w:eastAsia="Calibri"/>
          <w:noProof/>
        </w:rPr>
        <w:t>B.</w:t>
      </w:r>
      <w:r w:rsidRPr="007E650E">
        <w:rPr>
          <w:rFonts w:asciiTheme="minorHAnsi" w:eastAsiaTheme="minorEastAsia" w:hAnsiTheme="minorHAnsi"/>
          <w:noProof/>
          <w:szCs w:val="24"/>
        </w:rPr>
        <w:tab/>
      </w:r>
      <w:r w:rsidRPr="007E650E">
        <w:rPr>
          <w:rFonts w:eastAsia="Calibri"/>
          <w:noProof/>
        </w:rPr>
        <w:t>SFP Exhibit Instructions</w:t>
      </w:r>
      <w:r w:rsidRPr="007E650E">
        <w:rPr>
          <w:noProof/>
        </w:rPr>
        <w:tab/>
      </w:r>
      <w:r w:rsidRPr="007E650E">
        <w:rPr>
          <w:noProof/>
        </w:rPr>
        <w:fldChar w:fldCharType="begin"/>
      </w:r>
      <w:r w:rsidRPr="007E650E">
        <w:rPr>
          <w:noProof/>
        </w:rPr>
        <w:instrText xml:space="preserve"> PAGEREF _Toc195189616 \h </w:instrText>
      </w:r>
      <w:r w:rsidRPr="007E650E">
        <w:rPr>
          <w:noProof/>
        </w:rPr>
      </w:r>
      <w:r w:rsidRPr="007E650E">
        <w:rPr>
          <w:noProof/>
        </w:rPr>
        <w:fldChar w:fldCharType="separate"/>
      </w:r>
      <w:r w:rsidR="00D762CC" w:rsidRPr="007E650E">
        <w:rPr>
          <w:noProof/>
        </w:rPr>
        <w:t>23</w:t>
      </w:r>
      <w:r w:rsidRPr="007E650E">
        <w:rPr>
          <w:noProof/>
        </w:rPr>
        <w:fldChar w:fldCharType="end"/>
      </w:r>
    </w:p>
    <w:p w14:paraId="01473A29" w14:textId="0A1E4515" w:rsidR="00F72A3F" w:rsidRPr="007E650E" w:rsidRDefault="00F72A3F">
      <w:pPr>
        <w:pStyle w:val="TOC3"/>
        <w:rPr>
          <w:rFonts w:asciiTheme="minorHAnsi" w:eastAsiaTheme="minorEastAsia" w:hAnsiTheme="minorHAnsi"/>
          <w:noProof/>
          <w:szCs w:val="24"/>
        </w:rPr>
      </w:pPr>
      <w:r w:rsidRPr="007E650E">
        <w:rPr>
          <w:noProof/>
        </w:rPr>
        <w:t>C.</w:t>
      </w:r>
      <w:r w:rsidRPr="007E650E">
        <w:rPr>
          <w:rFonts w:asciiTheme="minorHAnsi" w:eastAsiaTheme="minorEastAsia" w:hAnsiTheme="minorHAnsi"/>
          <w:noProof/>
          <w:szCs w:val="24"/>
        </w:rPr>
        <w:tab/>
      </w:r>
      <w:r w:rsidRPr="007E650E">
        <w:rPr>
          <w:noProof/>
        </w:rPr>
        <w:t>Exhibit Attachment Instructions</w:t>
      </w:r>
      <w:r w:rsidRPr="007E650E">
        <w:rPr>
          <w:noProof/>
        </w:rPr>
        <w:tab/>
      </w:r>
      <w:r w:rsidRPr="007E650E">
        <w:rPr>
          <w:noProof/>
        </w:rPr>
        <w:fldChar w:fldCharType="begin"/>
      </w:r>
      <w:r w:rsidRPr="007E650E">
        <w:rPr>
          <w:noProof/>
        </w:rPr>
        <w:instrText xml:space="preserve"> PAGEREF _Toc195189617 \h </w:instrText>
      </w:r>
      <w:r w:rsidRPr="007E650E">
        <w:rPr>
          <w:noProof/>
        </w:rPr>
      </w:r>
      <w:r w:rsidRPr="007E650E">
        <w:rPr>
          <w:noProof/>
        </w:rPr>
        <w:fldChar w:fldCharType="separate"/>
      </w:r>
      <w:r w:rsidR="00D762CC" w:rsidRPr="007E650E">
        <w:rPr>
          <w:noProof/>
        </w:rPr>
        <w:t>32</w:t>
      </w:r>
      <w:r w:rsidRPr="007E650E">
        <w:rPr>
          <w:noProof/>
        </w:rPr>
        <w:fldChar w:fldCharType="end"/>
      </w:r>
    </w:p>
    <w:p w14:paraId="248EE08F" w14:textId="0F9E40E8" w:rsidR="00F72A3F" w:rsidRPr="007E650E" w:rsidRDefault="00F72A3F">
      <w:pPr>
        <w:pStyle w:val="TOC2"/>
        <w:tabs>
          <w:tab w:val="right" w:leader="dot" w:pos="9350"/>
        </w:tabs>
        <w:rPr>
          <w:rFonts w:asciiTheme="minorHAnsi" w:eastAsiaTheme="minorEastAsia" w:hAnsiTheme="minorHAnsi"/>
          <w:b w:val="0"/>
          <w:bCs w:val="0"/>
          <w:noProof/>
          <w:szCs w:val="24"/>
        </w:rPr>
      </w:pPr>
      <w:r w:rsidRPr="007E650E">
        <w:rPr>
          <w:rFonts w:eastAsia="Arial"/>
          <w:noProof/>
          <w:lang w:val="en"/>
        </w:rPr>
        <w:t>Appendix B: Administrative Cost Definitions</w:t>
      </w:r>
      <w:r w:rsidRPr="007E650E">
        <w:rPr>
          <w:noProof/>
        </w:rPr>
        <w:tab/>
      </w:r>
      <w:r w:rsidRPr="007E650E">
        <w:rPr>
          <w:noProof/>
        </w:rPr>
        <w:fldChar w:fldCharType="begin"/>
      </w:r>
      <w:r w:rsidRPr="007E650E">
        <w:rPr>
          <w:noProof/>
        </w:rPr>
        <w:instrText xml:space="preserve"> PAGEREF _Toc195189618 \h </w:instrText>
      </w:r>
      <w:r w:rsidRPr="007E650E">
        <w:rPr>
          <w:noProof/>
        </w:rPr>
      </w:r>
      <w:r w:rsidRPr="007E650E">
        <w:rPr>
          <w:noProof/>
        </w:rPr>
        <w:fldChar w:fldCharType="separate"/>
      </w:r>
      <w:r w:rsidR="00D762CC" w:rsidRPr="007E650E">
        <w:rPr>
          <w:noProof/>
        </w:rPr>
        <w:t>35</w:t>
      </w:r>
      <w:r w:rsidRPr="007E650E">
        <w:rPr>
          <w:noProof/>
        </w:rPr>
        <w:fldChar w:fldCharType="end"/>
      </w:r>
    </w:p>
    <w:p w14:paraId="18498121" w14:textId="608C73E5" w:rsidR="00F72A3F" w:rsidRPr="007E650E" w:rsidRDefault="00F72A3F">
      <w:pPr>
        <w:pStyle w:val="TOC2"/>
        <w:tabs>
          <w:tab w:val="right" w:leader="dot" w:pos="9350"/>
        </w:tabs>
        <w:rPr>
          <w:rFonts w:asciiTheme="minorHAnsi" w:eastAsiaTheme="minorEastAsia" w:hAnsiTheme="minorHAnsi"/>
          <w:b w:val="0"/>
          <w:bCs w:val="0"/>
          <w:noProof/>
          <w:szCs w:val="24"/>
        </w:rPr>
      </w:pPr>
      <w:r w:rsidRPr="007E650E">
        <w:rPr>
          <w:rFonts w:eastAsia="Arial"/>
          <w:noProof/>
          <w:lang w:val="en"/>
        </w:rPr>
        <w:t>Appendix C: Deaf and Hard of Hearing America’s Job Center of California Sites</w:t>
      </w:r>
      <w:r w:rsidRPr="007E650E">
        <w:rPr>
          <w:noProof/>
        </w:rPr>
        <w:tab/>
      </w:r>
      <w:r w:rsidRPr="007E650E">
        <w:rPr>
          <w:noProof/>
        </w:rPr>
        <w:fldChar w:fldCharType="begin"/>
      </w:r>
      <w:r w:rsidRPr="007E650E">
        <w:rPr>
          <w:noProof/>
        </w:rPr>
        <w:instrText xml:space="preserve"> PAGEREF _Toc195189619 \h </w:instrText>
      </w:r>
      <w:r w:rsidRPr="007E650E">
        <w:rPr>
          <w:noProof/>
        </w:rPr>
      </w:r>
      <w:r w:rsidRPr="007E650E">
        <w:rPr>
          <w:noProof/>
        </w:rPr>
        <w:fldChar w:fldCharType="separate"/>
      </w:r>
      <w:r w:rsidR="00D762CC" w:rsidRPr="007E650E">
        <w:rPr>
          <w:noProof/>
        </w:rPr>
        <w:t>37</w:t>
      </w:r>
      <w:r w:rsidRPr="007E650E">
        <w:rPr>
          <w:noProof/>
        </w:rPr>
        <w:fldChar w:fldCharType="end"/>
      </w:r>
    </w:p>
    <w:p w14:paraId="56EB904A" w14:textId="4B71A408" w:rsidR="00F72A3F" w:rsidRPr="007E650E" w:rsidRDefault="00F72A3F">
      <w:pPr>
        <w:pStyle w:val="TOC2"/>
        <w:tabs>
          <w:tab w:val="right" w:leader="dot" w:pos="9350"/>
        </w:tabs>
        <w:rPr>
          <w:rFonts w:asciiTheme="minorHAnsi" w:eastAsiaTheme="minorEastAsia" w:hAnsiTheme="minorHAnsi"/>
          <w:b w:val="0"/>
          <w:bCs w:val="0"/>
          <w:noProof/>
          <w:szCs w:val="24"/>
        </w:rPr>
      </w:pPr>
      <w:r w:rsidRPr="007E650E">
        <w:rPr>
          <w:rFonts w:eastAsia="Arial"/>
          <w:noProof/>
          <w:lang w:val="en"/>
        </w:rPr>
        <w:t>Appendix D: Definitions</w:t>
      </w:r>
      <w:r w:rsidRPr="007E650E">
        <w:rPr>
          <w:noProof/>
        </w:rPr>
        <w:tab/>
      </w:r>
      <w:r w:rsidRPr="007E650E">
        <w:rPr>
          <w:noProof/>
        </w:rPr>
        <w:fldChar w:fldCharType="begin"/>
      </w:r>
      <w:r w:rsidRPr="007E650E">
        <w:rPr>
          <w:noProof/>
        </w:rPr>
        <w:instrText xml:space="preserve"> PAGEREF _Toc195189620 \h </w:instrText>
      </w:r>
      <w:r w:rsidRPr="007E650E">
        <w:rPr>
          <w:noProof/>
        </w:rPr>
      </w:r>
      <w:r w:rsidRPr="007E650E">
        <w:rPr>
          <w:noProof/>
        </w:rPr>
        <w:fldChar w:fldCharType="separate"/>
      </w:r>
      <w:r w:rsidR="00D762CC" w:rsidRPr="007E650E">
        <w:rPr>
          <w:noProof/>
        </w:rPr>
        <w:t>40</w:t>
      </w:r>
      <w:r w:rsidRPr="007E650E">
        <w:rPr>
          <w:noProof/>
        </w:rPr>
        <w:fldChar w:fldCharType="end"/>
      </w:r>
    </w:p>
    <w:p w14:paraId="260B390B" w14:textId="01514878" w:rsidR="00F72A3F" w:rsidRPr="007E650E" w:rsidRDefault="00F72A3F">
      <w:pPr>
        <w:pStyle w:val="TOC2"/>
        <w:tabs>
          <w:tab w:val="right" w:leader="dot" w:pos="9350"/>
        </w:tabs>
        <w:rPr>
          <w:rFonts w:asciiTheme="minorHAnsi" w:eastAsiaTheme="minorEastAsia" w:hAnsiTheme="minorHAnsi"/>
          <w:b w:val="0"/>
          <w:bCs w:val="0"/>
          <w:noProof/>
          <w:szCs w:val="24"/>
        </w:rPr>
      </w:pPr>
      <w:r w:rsidRPr="007E650E">
        <w:rPr>
          <w:rFonts w:eastAsia="Arial"/>
          <w:noProof/>
          <w:lang w:val="en"/>
        </w:rPr>
        <w:t>Appendix E: Internet Resources</w:t>
      </w:r>
      <w:r w:rsidRPr="007E650E">
        <w:rPr>
          <w:noProof/>
        </w:rPr>
        <w:tab/>
      </w:r>
      <w:r w:rsidRPr="007E650E">
        <w:rPr>
          <w:noProof/>
        </w:rPr>
        <w:fldChar w:fldCharType="begin"/>
      </w:r>
      <w:r w:rsidRPr="007E650E">
        <w:rPr>
          <w:noProof/>
        </w:rPr>
        <w:instrText xml:space="preserve"> PAGEREF _Toc195189621 \h </w:instrText>
      </w:r>
      <w:r w:rsidRPr="007E650E">
        <w:rPr>
          <w:noProof/>
        </w:rPr>
      </w:r>
      <w:r w:rsidRPr="007E650E">
        <w:rPr>
          <w:noProof/>
        </w:rPr>
        <w:fldChar w:fldCharType="separate"/>
      </w:r>
      <w:r w:rsidR="00D762CC" w:rsidRPr="007E650E">
        <w:rPr>
          <w:noProof/>
        </w:rPr>
        <w:t>42</w:t>
      </w:r>
      <w:r w:rsidRPr="007E650E">
        <w:rPr>
          <w:noProof/>
        </w:rPr>
        <w:fldChar w:fldCharType="end"/>
      </w:r>
    </w:p>
    <w:p w14:paraId="1798282D" w14:textId="48A3E2A1" w:rsidR="00F72A3F" w:rsidRPr="007E650E" w:rsidRDefault="00F72A3F">
      <w:pPr>
        <w:pStyle w:val="TOC2"/>
        <w:tabs>
          <w:tab w:val="right" w:leader="dot" w:pos="9350"/>
        </w:tabs>
        <w:rPr>
          <w:rFonts w:asciiTheme="minorHAnsi" w:eastAsiaTheme="minorEastAsia" w:hAnsiTheme="minorHAnsi"/>
          <w:b w:val="0"/>
          <w:bCs w:val="0"/>
          <w:noProof/>
          <w:szCs w:val="24"/>
        </w:rPr>
      </w:pPr>
      <w:r w:rsidRPr="007E650E">
        <w:rPr>
          <w:rFonts w:eastAsia="Arial"/>
          <w:noProof/>
        </w:rPr>
        <w:t>Appendix F: CalJOBS</w:t>
      </w:r>
      <w:r w:rsidRPr="007E650E">
        <w:rPr>
          <w:rFonts w:eastAsia="Arial"/>
          <w:noProof/>
          <w:vertAlign w:val="superscript"/>
        </w:rPr>
        <w:t>SM</w:t>
      </w:r>
      <w:r w:rsidRPr="007E650E">
        <w:rPr>
          <w:rFonts w:eastAsia="Arial"/>
          <w:noProof/>
        </w:rPr>
        <w:t xml:space="preserve"> Workstation and Software Requirements</w:t>
      </w:r>
      <w:r w:rsidRPr="007E650E">
        <w:rPr>
          <w:noProof/>
        </w:rPr>
        <w:tab/>
      </w:r>
      <w:r w:rsidRPr="007E650E">
        <w:rPr>
          <w:noProof/>
        </w:rPr>
        <w:fldChar w:fldCharType="begin"/>
      </w:r>
      <w:r w:rsidRPr="007E650E">
        <w:rPr>
          <w:noProof/>
        </w:rPr>
        <w:instrText xml:space="preserve"> PAGEREF _Toc195189622 \h </w:instrText>
      </w:r>
      <w:r w:rsidRPr="007E650E">
        <w:rPr>
          <w:noProof/>
        </w:rPr>
      </w:r>
      <w:r w:rsidRPr="007E650E">
        <w:rPr>
          <w:noProof/>
        </w:rPr>
        <w:fldChar w:fldCharType="separate"/>
      </w:r>
      <w:r w:rsidR="00D762CC" w:rsidRPr="007E650E">
        <w:rPr>
          <w:noProof/>
        </w:rPr>
        <w:t>45</w:t>
      </w:r>
      <w:r w:rsidRPr="007E650E">
        <w:rPr>
          <w:noProof/>
        </w:rPr>
        <w:fldChar w:fldCharType="end"/>
      </w:r>
    </w:p>
    <w:p w14:paraId="4D7791C8" w14:textId="093EE762" w:rsidR="00DB462D" w:rsidRPr="007E650E" w:rsidRDefault="00DB462D" w:rsidP="001E30B0">
      <w:pPr>
        <w:pStyle w:val="BodyText"/>
      </w:pPr>
      <w:r w:rsidRPr="007E650E">
        <w:rPr>
          <w:shd w:val="clear" w:color="auto" w:fill="E6E6E6"/>
        </w:rPr>
        <w:fldChar w:fldCharType="end"/>
      </w:r>
    </w:p>
    <w:p w14:paraId="40F52726" w14:textId="77777777" w:rsidR="00197C9C" w:rsidRPr="007E650E" w:rsidRDefault="00197C9C">
      <w:pPr>
        <w:rPr>
          <w:rFonts w:ascii="Calibri" w:eastAsia="Times New Roman" w:hAnsi="Calibri" w:cs="Times New Roman"/>
          <w:b/>
          <w:bCs/>
          <w:color w:val="00587C"/>
          <w:kern w:val="0"/>
          <w:sz w:val="32"/>
          <w:szCs w:val="24"/>
          <w14:ligatures w14:val="none"/>
        </w:rPr>
      </w:pPr>
      <w:bookmarkStart w:id="12" w:name="_Toc195189571"/>
      <w:r w:rsidRPr="007E650E">
        <w:br w:type="page"/>
      </w:r>
    </w:p>
    <w:p w14:paraId="629823FF" w14:textId="3A2BE4CC" w:rsidR="008544AA" w:rsidRPr="007E650E" w:rsidRDefault="008544AA" w:rsidP="00CF0D6C">
      <w:pPr>
        <w:pStyle w:val="Heading2"/>
        <w:numPr>
          <w:ilvl w:val="0"/>
          <w:numId w:val="14"/>
        </w:numPr>
        <w:tabs>
          <w:tab w:val="left" w:pos="360"/>
        </w:tabs>
        <w:ind w:left="0" w:firstLine="0"/>
      </w:pPr>
      <w:r w:rsidRPr="007E650E">
        <w:lastRenderedPageBreak/>
        <w:t>Overview</w:t>
      </w:r>
      <w:bookmarkEnd w:id="12"/>
    </w:p>
    <w:p w14:paraId="29499D71" w14:textId="77777777" w:rsidR="008544AA" w:rsidRPr="007E650E" w:rsidRDefault="008544AA" w:rsidP="00CD46C7">
      <w:pPr>
        <w:pStyle w:val="BodyText"/>
        <w:spacing w:after="0"/>
      </w:pPr>
    </w:p>
    <w:p w14:paraId="42D76741" w14:textId="0BE77149" w:rsidR="006515ED" w:rsidRPr="007E650E" w:rsidRDefault="008544AA" w:rsidP="00C27E44">
      <w:pPr>
        <w:pStyle w:val="BodyText"/>
      </w:pPr>
      <w:r w:rsidRPr="007E650E">
        <w:t>The Employment Development Department (EDD)</w:t>
      </w:r>
      <w:r w:rsidR="00C27E44" w:rsidRPr="007E650E">
        <w:t xml:space="preserve"> </w:t>
      </w:r>
      <w:r w:rsidRPr="007E650E">
        <w:t xml:space="preserve">announces the availability of up to </w:t>
      </w:r>
      <w:r w:rsidR="00C27E44" w:rsidRPr="007E650E">
        <w:t xml:space="preserve">$2.7 </w:t>
      </w:r>
      <w:r w:rsidRPr="007E650E">
        <w:t xml:space="preserve">million in </w:t>
      </w:r>
      <w:r w:rsidR="00C27E44" w:rsidRPr="007E650E">
        <w:t>Wagner-Peyser</w:t>
      </w:r>
      <w:r w:rsidRPr="007E650E">
        <w:t xml:space="preserve"> </w:t>
      </w:r>
      <w:r w:rsidR="002D3CB1" w:rsidRPr="007E650E">
        <w:t xml:space="preserve">10 percent </w:t>
      </w:r>
      <w:r w:rsidRPr="007E650E">
        <w:t>Governor</w:t>
      </w:r>
      <w:r w:rsidR="000D5ACF">
        <w:t>'</w:t>
      </w:r>
      <w:r w:rsidRPr="007E650E">
        <w:t>s Discretionary funds for the</w:t>
      </w:r>
      <w:r w:rsidR="00C27E44" w:rsidRPr="007E650E">
        <w:t xml:space="preserve"> Deaf and Hard of Hearing (DHH)</w:t>
      </w:r>
      <w:r w:rsidRPr="007E650E">
        <w:t xml:space="preserve"> </w:t>
      </w:r>
      <w:r w:rsidR="00027CB7" w:rsidRPr="007E650E">
        <w:rPr>
          <w:rFonts w:cs="Calibri"/>
        </w:rPr>
        <w:t>Program Year 20</w:t>
      </w:r>
      <w:r w:rsidR="00C27E44" w:rsidRPr="007E650E">
        <w:rPr>
          <w:rFonts w:cs="Calibri"/>
        </w:rPr>
        <w:t>25-26 (PY 25-26)</w:t>
      </w:r>
      <w:r w:rsidRPr="007E650E">
        <w:t xml:space="preserve"> grant. The</w:t>
      </w:r>
      <w:r w:rsidR="00C27E44" w:rsidRPr="007E650E">
        <w:t xml:space="preserve"> DHH</w:t>
      </w:r>
      <w:bookmarkStart w:id="13" w:name="_Hlk137105669"/>
      <w:r w:rsidR="00C27E44" w:rsidRPr="007E650E">
        <w:t xml:space="preserve"> </w:t>
      </w:r>
      <w:r w:rsidR="00027CB7" w:rsidRPr="007E650E">
        <w:rPr>
          <w:rFonts w:cs="Calibri"/>
        </w:rPr>
        <w:t>PY</w:t>
      </w:r>
      <w:r w:rsidR="00C27E44" w:rsidRPr="007E650E">
        <w:rPr>
          <w:rFonts w:cs="Calibri"/>
        </w:rPr>
        <w:t xml:space="preserve"> 25-26</w:t>
      </w:r>
      <w:r w:rsidRPr="007E650E">
        <w:t xml:space="preserve"> </w:t>
      </w:r>
      <w:bookmarkEnd w:id="13"/>
      <w:r w:rsidRPr="007E650E">
        <w:t xml:space="preserve">grant </w:t>
      </w:r>
      <w:r w:rsidR="00C27E44" w:rsidRPr="007E650E">
        <w:t>is</w:t>
      </w:r>
      <w:r w:rsidRPr="007E650E">
        <w:t xml:space="preserve"> awarded to </w:t>
      </w:r>
      <w:r w:rsidR="00C27E44" w:rsidRPr="007E650E">
        <w:t>provide employment services to individuals who are deaf and hard of hearing. These funds will also ensure that services provided to deaf and hard</w:t>
      </w:r>
      <w:r w:rsidR="002225C5" w:rsidRPr="007E650E">
        <w:t xml:space="preserve"> </w:t>
      </w:r>
      <w:r w:rsidR="00C27E44" w:rsidRPr="007E650E">
        <w:t>of</w:t>
      </w:r>
      <w:r w:rsidR="002225C5" w:rsidRPr="007E650E">
        <w:t xml:space="preserve"> </w:t>
      </w:r>
      <w:r w:rsidR="00C27E44" w:rsidRPr="007E650E">
        <w:t>hearing individuals are at least equal to services received by non-deaf and non-hard</w:t>
      </w:r>
      <w:r w:rsidR="002225C5" w:rsidRPr="007E650E">
        <w:t xml:space="preserve"> </w:t>
      </w:r>
      <w:r w:rsidR="00C27E44" w:rsidRPr="007E650E">
        <w:t>of</w:t>
      </w:r>
      <w:r w:rsidR="002225C5" w:rsidRPr="007E650E">
        <w:t xml:space="preserve"> </w:t>
      </w:r>
      <w:r w:rsidR="00C27E44" w:rsidRPr="007E650E">
        <w:t>hearing individuals</w:t>
      </w:r>
      <w:r w:rsidR="008F097E" w:rsidRPr="007E650E">
        <w:t>.</w:t>
      </w:r>
    </w:p>
    <w:p w14:paraId="417E516E" w14:textId="7DF286A6" w:rsidR="008544AA" w:rsidRPr="007E650E" w:rsidRDefault="008544AA" w:rsidP="00F470F1">
      <w:pPr>
        <w:pStyle w:val="Heading3"/>
      </w:pPr>
      <w:bookmarkStart w:id="14" w:name="_Toc167356411"/>
      <w:bookmarkStart w:id="15" w:name="_Toc195189572"/>
      <w:r w:rsidRPr="007E650E">
        <w:t>Purpose</w:t>
      </w:r>
      <w:bookmarkEnd w:id="14"/>
      <w:bookmarkEnd w:id="15"/>
    </w:p>
    <w:p w14:paraId="0B0C8D08" w14:textId="182A96A7" w:rsidR="008544AA" w:rsidRPr="007E650E" w:rsidRDefault="00FE6FA7" w:rsidP="00F470F1">
      <w:pPr>
        <w:pStyle w:val="BodyText"/>
      </w:pPr>
      <w:r w:rsidRPr="007E650E">
        <w:rPr>
          <w:rStyle w:val="BodyTextChar"/>
          <w:lang w:val="en-US"/>
        </w:rPr>
        <w:t>This program provides deaf and hard of hearing individuals with enhanced employment services in select America</w:t>
      </w:r>
      <w:r w:rsidR="000D5ACF">
        <w:rPr>
          <w:rStyle w:val="BodyTextChar"/>
          <w:lang w:val="en-US"/>
        </w:rPr>
        <w:t>'</w:t>
      </w:r>
      <w:r w:rsidRPr="007E650E">
        <w:rPr>
          <w:rStyle w:val="BodyTextChar"/>
          <w:lang w:val="en-US"/>
        </w:rPr>
        <w:t xml:space="preserve">s Job Center of </w:t>
      </w:r>
      <w:proofErr w:type="spellStart"/>
      <w:r w:rsidRPr="007E650E">
        <w:rPr>
          <w:rStyle w:val="BodyTextChar"/>
          <w:lang w:val="en-US"/>
        </w:rPr>
        <w:t>California</w:t>
      </w:r>
      <w:r w:rsidRPr="007E650E">
        <w:rPr>
          <w:rStyle w:val="BodyTextChar"/>
          <w:vertAlign w:val="superscript"/>
          <w:lang w:val="en-US"/>
        </w:rPr>
        <w:t>SM</w:t>
      </w:r>
      <w:proofErr w:type="spellEnd"/>
      <w:r w:rsidRPr="007E650E">
        <w:rPr>
          <w:rStyle w:val="BodyTextChar"/>
          <w:lang w:val="en-US"/>
        </w:rPr>
        <w:t xml:space="preserve"> (AJCC) locations throughout California. The program will ensure effective communication and increased service opportunities for deaf and hard</w:t>
      </w:r>
      <w:r w:rsidR="002225C5" w:rsidRPr="007E650E">
        <w:rPr>
          <w:rStyle w:val="BodyTextChar"/>
          <w:lang w:val="en-US"/>
        </w:rPr>
        <w:t xml:space="preserve"> </w:t>
      </w:r>
      <w:r w:rsidRPr="007E650E">
        <w:rPr>
          <w:rStyle w:val="BodyTextChar"/>
          <w:lang w:val="en-US"/>
        </w:rPr>
        <w:t>of</w:t>
      </w:r>
      <w:r w:rsidR="002225C5" w:rsidRPr="007E650E">
        <w:rPr>
          <w:rStyle w:val="BodyTextChar"/>
          <w:lang w:val="en-US"/>
        </w:rPr>
        <w:t xml:space="preserve"> </w:t>
      </w:r>
      <w:r w:rsidRPr="007E650E">
        <w:rPr>
          <w:rStyle w:val="BodyTextChar"/>
          <w:lang w:val="en-US"/>
        </w:rPr>
        <w:t>hearing individuals by providing specialized counseling, interpretation services, job placement, follow-up services</w:t>
      </w:r>
      <w:r w:rsidR="002225C5" w:rsidRPr="007E650E">
        <w:rPr>
          <w:rStyle w:val="BodyTextChar"/>
          <w:lang w:val="en-US"/>
        </w:rPr>
        <w:t xml:space="preserve">, </w:t>
      </w:r>
      <w:r w:rsidR="000D5ACF">
        <w:rPr>
          <w:rStyle w:val="BodyTextChar"/>
          <w:lang w:val="en-US"/>
        </w:rPr>
        <w:t xml:space="preserve">and </w:t>
      </w:r>
      <w:r w:rsidRPr="007E650E">
        <w:rPr>
          <w:rStyle w:val="BodyTextChar"/>
          <w:lang w:val="en-US"/>
        </w:rPr>
        <w:t>advocacy</w:t>
      </w:r>
      <w:r w:rsidR="002225C5" w:rsidRPr="007E650E">
        <w:rPr>
          <w:rStyle w:val="BodyTextChar"/>
          <w:lang w:val="en-US"/>
        </w:rPr>
        <w:t xml:space="preserve"> that ensures deaf and hard of hearing individuals receive equal access to public and private employment services</w:t>
      </w:r>
      <w:r w:rsidRPr="007E650E">
        <w:rPr>
          <w:rStyle w:val="BodyTextChar"/>
          <w:lang w:val="en-US"/>
        </w:rPr>
        <w:t xml:space="preserve">, and specialized employment services to assist them in becoming </w:t>
      </w:r>
      <w:r w:rsidR="00297DCA" w:rsidRPr="007E650E">
        <w:rPr>
          <w:rStyle w:val="BodyTextChar"/>
          <w:lang w:val="en-US"/>
        </w:rPr>
        <w:t>job ready</w:t>
      </w:r>
      <w:r w:rsidRPr="007E650E">
        <w:rPr>
          <w:rStyle w:val="BodyTextChar"/>
          <w:lang w:val="en-US"/>
        </w:rPr>
        <w:t>. The program is also designed to assist job-ready deaf and hard</w:t>
      </w:r>
      <w:r w:rsidR="002225C5" w:rsidRPr="007E650E">
        <w:rPr>
          <w:rStyle w:val="BodyTextChar"/>
          <w:lang w:val="en-US"/>
        </w:rPr>
        <w:t xml:space="preserve"> </w:t>
      </w:r>
      <w:r w:rsidRPr="007E650E">
        <w:rPr>
          <w:rStyle w:val="BodyTextChar"/>
          <w:lang w:val="en-US"/>
        </w:rPr>
        <w:t>of</w:t>
      </w:r>
      <w:r w:rsidR="002225C5" w:rsidRPr="007E650E">
        <w:rPr>
          <w:rStyle w:val="BodyTextChar"/>
          <w:lang w:val="en-US"/>
        </w:rPr>
        <w:t xml:space="preserve"> </w:t>
      </w:r>
      <w:r w:rsidRPr="007E650E">
        <w:rPr>
          <w:rStyle w:val="BodyTextChar"/>
          <w:lang w:val="en-US"/>
        </w:rPr>
        <w:t>hearing individuals in obtaining and retaining unsubsidized employment. The program includes provisions for interpreting services to enable these individuals to access other EDD services.</w:t>
      </w:r>
    </w:p>
    <w:p w14:paraId="217C7894" w14:textId="77777777" w:rsidR="008544AA" w:rsidRPr="007E650E" w:rsidRDefault="008544AA" w:rsidP="00F470F1">
      <w:pPr>
        <w:pStyle w:val="Heading3"/>
        <w:rPr>
          <w:rFonts w:eastAsia="Arial"/>
        </w:rPr>
      </w:pPr>
      <w:bookmarkStart w:id="16" w:name="_Toc117246143"/>
      <w:bookmarkStart w:id="17" w:name="_Toc117246901"/>
      <w:bookmarkStart w:id="18" w:name="_Toc167356412"/>
      <w:bookmarkStart w:id="19" w:name="_Toc195189573"/>
      <w:r w:rsidRPr="007E650E">
        <w:rPr>
          <w:rFonts w:eastAsia="Arial"/>
        </w:rPr>
        <w:t>Availability</w:t>
      </w:r>
      <w:bookmarkEnd w:id="16"/>
      <w:bookmarkEnd w:id="17"/>
      <w:bookmarkEnd w:id="18"/>
      <w:bookmarkEnd w:id="19"/>
    </w:p>
    <w:p w14:paraId="2DDD4D54" w14:textId="236B3C2E" w:rsidR="00FE6FA7" w:rsidRPr="007E650E" w:rsidRDefault="00E12AD0" w:rsidP="00FE6FA7">
      <w:pPr>
        <w:pStyle w:val="BodyText"/>
        <w:rPr>
          <w:lang w:val="en-US"/>
        </w:rPr>
      </w:pPr>
      <w:r w:rsidRPr="007E650E">
        <w:rPr>
          <w:lang w:val="en-US"/>
        </w:rPr>
        <w:t xml:space="preserve">The </w:t>
      </w:r>
      <w:proofErr w:type="gramStart"/>
      <w:r w:rsidRPr="007E650E">
        <w:rPr>
          <w:lang w:val="en-US"/>
        </w:rPr>
        <w:t>total program</w:t>
      </w:r>
      <w:proofErr w:type="gramEnd"/>
      <w:r w:rsidRPr="007E650E">
        <w:rPr>
          <w:lang w:val="en-US"/>
        </w:rPr>
        <w:t xml:space="preserve"> funding available is $2.7 million for the period of July 1, 2025, through June 30, 2026. The total funding is contingent upon federal funding being awarded to California and the EDD Director</w:t>
      </w:r>
      <w:r w:rsidR="000D5ACF">
        <w:rPr>
          <w:lang w:val="en-US"/>
        </w:rPr>
        <w:t>'</w:t>
      </w:r>
      <w:r w:rsidRPr="007E650E">
        <w:rPr>
          <w:lang w:val="en-US"/>
        </w:rPr>
        <w:t>s approval.</w:t>
      </w:r>
    </w:p>
    <w:p w14:paraId="6065188D" w14:textId="6770BF84" w:rsidR="008544AA" w:rsidRPr="007E650E" w:rsidRDefault="00E12AD0" w:rsidP="00FE6FA7">
      <w:pPr>
        <w:pStyle w:val="BodyText"/>
      </w:pPr>
      <w:r w:rsidRPr="007E650E">
        <w:rPr>
          <w:lang w:val="en-US"/>
        </w:rPr>
        <w:t>Determination of program funding requested should consider factors specific to the service area, such as cost of living in the service area</w:t>
      </w:r>
      <w:r w:rsidR="000D5ACF">
        <w:rPr>
          <w:lang w:val="en-US"/>
        </w:rPr>
        <w:t>,</w:t>
      </w:r>
      <w:r w:rsidRPr="007E650E">
        <w:rPr>
          <w:lang w:val="en-US"/>
        </w:rPr>
        <w:t xml:space="preserve"> prevailing wages for staff roles, and reasonable costs for proposed services to the target population.</w:t>
      </w:r>
    </w:p>
    <w:p w14:paraId="3B6542A0" w14:textId="77777777" w:rsidR="008544AA" w:rsidRPr="007E650E" w:rsidRDefault="008544AA" w:rsidP="00F470F1">
      <w:pPr>
        <w:pStyle w:val="Heading3"/>
        <w:rPr>
          <w:rFonts w:eastAsia="Arial"/>
        </w:rPr>
      </w:pPr>
      <w:bookmarkStart w:id="20" w:name="_Toc117246144"/>
      <w:bookmarkStart w:id="21" w:name="_Toc117246902"/>
      <w:bookmarkStart w:id="22" w:name="_Toc167356413"/>
      <w:bookmarkStart w:id="23" w:name="_Toc195189574"/>
      <w:r w:rsidRPr="007E650E">
        <w:rPr>
          <w:rFonts w:eastAsia="Arial"/>
        </w:rPr>
        <w:t>Target Populations</w:t>
      </w:r>
      <w:bookmarkEnd w:id="20"/>
      <w:bookmarkEnd w:id="21"/>
      <w:bookmarkEnd w:id="22"/>
      <w:bookmarkEnd w:id="23"/>
    </w:p>
    <w:p w14:paraId="1DA81DD0" w14:textId="70118CC6" w:rsidR="008544AA" w:rsidRPr="007E650E" w:rsidRDefault="002D0BD2" w:rsidP="00F470F1">
      <w:pPr>
        <w:pStyle w:val="BodyText"/>
      </w:pPr>
      <w:r w:rsidRPr="007E650E">
        <w:rPr>
          <w:lang w:val="en-US"/>
        </w:rPr>
        <w:t>Proposals must target deaf and hard of hearing individuals who are available for and seeking employment. These jobseekers may also need additional skill development to become job ready.</w:t>
      </w:r>
    </w:p>
    <w:p w14:paraId="0A12302F" w14:textId="77777777" w:rsidR="008544AA" w:rsidRPr="007E650E" w:rsidRDefault="008544AA" w:rsidP="00F470F1">
      <w:pPr>
        <w:pStyle w:val="Heading3"/>
        <w:rPr>
          <w:rFonts w:eastAsia="Arial"/>
        </w:rPr>
      </w:pPr>
      <w:bookmarkStart w:id="24" w:name="_Toc167356414"/>
      <w:bookmarkStart w:id="25" w:name="_Toc195189575"/>
      <w:r w:rsidRPr="007E650E">
        <w:t>Eligibility</w:t>
      </w:r>
      <w:bookmarkEnd w:id="24"/>
      <w:bookmarkEnd w:id="25"/>
    </w:p>
    <w:p w14:paraId="27DCCC5B" w14:textId="75C19E88" w:rsidR="00B206CE" w:rsidRPr="007E650E" w:rsidRDefault="0096646D" w:rsidP="008E506B">
      <w:pPr>
        <w:pStyle w:val="BodyText"/>
        <w:rPr>
          <w:bCs/>
        </w:rPr>
      </w:pPr>
      <w:r w:rsidRPr="007E650E">
        <w:rPr>
          <w:bCs/>
        </w:rPr>
        <w:t xml:space="preserve">Proposals will be accepted from public agencies or private non-profits. Individuals are not eligible to apply. Applicants must clearly demonstrate their ability to provide services to the </w:t>
      </w:r>
      <w:r w:rsidRPr="007E650E">
        <w:rPr>
          <w:bCs/>
        </w:rPr>
        <w:lastRenderedPageBreak/>
        <w:t>targeted population. Applicants may submit proposals to provide services for one or multiple sites. Applicants may submit one proposal to provide services at multiple sites within a targeted geographical area.</w:t>
      </w:r>
    </w:p>
    <w:p w14:paraId="26DAF694" w14:textId="0C7A1B17" w:rsidR="00A42E54" w:rsidRPr="007E650E" w:rsidRDefault="00A42E54" w:rsidP="00A42E54">
      <w:pPr>
        <w:pStyle w:val="Heading3"/>
      </w:pPr>
      <w:bookmarkStart w:id="26" w:name="_Toc195189576"/>
      <w:r w:rsidRPr="007E650E">
        <w:t>Program Locations</w:t>
      </w:r>
      <w:bookmarkEnd w:id="26"/>
    </w:p>
    <w:p w14:paraId="7B8DC6F1" w14:textId="24C8B0B4" w:rsidR="00A42E54" w:rsidRPr="007E650E" w:rsidRDefault="00AD19E0" w:rsidP="00A42E54">
      <w:r w:rsidRPr="007E650E">
        <w:rPr>
          <w:rFonts w:ascii="Calibri" w:eastAsia="Calibri" w:hAnsi="Calibri" w:cstheme="minorHAnsi"/>
          <w:bCs/>
          <w:sz w:val="24"/>
          <w:szCs w:val="24"/>
          <w:lang w:val="en"/>
        </w:rPr>
        <w:t>Pursuant to the California Unemployment Insurance Code (CUIC), Section 11004, the EDD must determine the number and location of its offices within the state providing employment services to the deaf and hard of hearing and shall decide which offices shall be served by grantees. The CUIC also states that the EDD shall give priority to offices where subgrants (contracts) are necessary to prevent or minimize the disruption or discontinuance of employment services to the deaf and hard of hearing in conjunction with the EDD prior to July 1, 1984. The EDD currently funds services in the geographical areas listed below and will give priority to programs and services in these areas to prevent and/or minimize disruption in services:</w:t>
      </w:r>
    </w:p>
    <w:p w14:paraId="0915F49B" w14:textId="778C09AC" w:rsidR="00A42E54" w:rsidRPr="007E650E" w:rsidRDefault="00A42E54" w:rsidP="00CF0D6C">
      <w:pPr>
        <w:pStyle w:val="ListParagraph"/>
        <w:numPr>
          <w:ilvl w:val="0"/>
          <w:numId w:val="17"/>
        </w:numPr>
        <w:spacing w:after="0"/>
      </w:pPr>
      <w:r w:rsidRPr="007E650E">
        <w:t>Fresno</w:t>
      </w:r>
    </w:p>
    <w:p w14:paraId="2A5584E6" w14:textId="4B3FCAF4" w:rsidR="00A42E54" w:rsidRPr="007E650E" w:rsidRDefault="00A42E54" w:rsidP="00CF0D6C">
      <w:pPr>
        <w:pStyle w:val="ListParagraph"/>
        <w:numPr>
          <w:ilvl w:val="0"/>
          <w:numId w:val="17"/>
        </w:numPr>
        <w:spacing w:after="0"/>
      </w:pPr>
      <w:r w:rsidRPr="007E650E">
        <w:t>Los Angeles</w:t>
      </w:r>
    </w:p>
    <w:p w14:paraId="2DD833F0" w14:textId="44042774" w:rsidR="00A42E54" w:rsidRPr="007E650E" w:rsidRDefault="00A42E54" w:rsidP="00CF0D6C">
      <w:pPr>
        <w:pStyle w:val="ListParagraph"/>
        <w:numPr>
          <w:ilvl w:val="0"/>
          <w:numId w:val="17"/>
        </w:numPr>
        <w:spacing w:after="0"/>
      </w:pPr>
      <w:r w:rsidRPr="007E650E">
        <w:t>Riverside/Rancho Cucamonga</w:t>
      </w:r>
    </w:p>
    <w:p w14:paraId="5A4D437F" w14:textId="6B3EFD8B" w:rsidR="00A42E54" w:rsidRPr="007E650E" w:rsidRDefault="00A42E54" w:rsidP="00CF0D6C">
      <w:pPr>
        <w:pStyle w:val="ListParagraph"/>
        <w:numPr>
          <w:ilvl w:val="0"/>
          <w:numId w:val="17"/>
        </w:numPr>
        <w:spacing w:after="0"/>
      </w:pPr>
      <w:r w:rsidRPr="007E650E">
        <w:t>Sacramento</w:t>
      </w:r>
    </w:p>
    <w:p w14:paraId="612339A6" w14:textId="1122A12B" w:rsidR="00A42E54" w:rsidRPr="007E650E" w:rsidRDefault="00A42E54" w:rsidP="00CF0D6C">
      <w:pPr>
        <w:pStyle w:val="ListParagraph"/>
        <w:numPr>
          <w:ilvl w:val="0"/>
          <w:numId w:val="17"/>
        </w:numPr>
        <w:spacing w:after="0"/>
      </w:pPr>
      <w:r w:rsidRPr="007E650E">
        <w:t>San Diego/Oceanside</w:t>
      </w:r>
    </w:p>
    <w:p w14:paraId="1F677F55" w14:textId="4DA7532B" w:rsidR="00A42E54" w:rsidRPr="007E650E" w:rsidRDefault="00A42E54" w:rsidP="00CF0D6C">
      <w:pPr>
        <w:pStyle w:val="ListParagraph"/>
        <w:numPr>
          <w:ilvl w:val="0"/>
          <w:numId w:val="17"/>
        </w:numPr>
        <w:spacing w:after="0"/>
      </w:pPr>
      <w:r w:rsidRPr="007E650E">
        <w:t>San Francisco/Bay Area</w:t>
      </w:r>
    </w:p>
    <w:p w14:paraId="608C942D" w14:textId="4FC5255D" w:rsidR="00A42E54" w:rsidRPr="007E650E" w:rsidRDefault="00A42E54" w:rsidP="00CF0D6C">
      <w:pPr>
        <w:pStyle w:val="ListParagraph"/>
        <w:numPr>
          <w:ilvl w:val="0"/>
          <w:numId w:val="17"/>
        </w:numPr>
        <w:spacing w:after="0"/>
      </w:pPr>
      <w:r w:rsidRPr="007E650E">
        <w:t>Santa Ana/Garden Grove</w:t>
      </w:r>
    </w:p>
    <w:p w14:paraId="0C1D7A50" w14:textId="77777777" w:rsidR="00A42E54" w:rsidRPr="007E650E" w:rsidRDefault="00A42E54" w:rsidP="00A42E54"/>
    <w:p w14:paraId="22DEF6ED" w14:textId="43BC8E2F" w:rsidR="00AD19E0" w:rsidRPr="007E650E" w:rsidRDefault="00AD19E0" w:rsidP="00AD19E0">
      <w:pPr>
        <w:pStyle w:val="BodyText"/>
        <w:rPr>
          <w:lang w:bidi="en-US"/>
        </w:rPr>
      </w:pPr>
      <w:r w:rsidRPr="007E650E">
        <w:rPr>
          <w:lang w:bidi="en-US"/>
        </w:rPr>
        <w:t xml:space="preserve">If an applicant proposes </w:t>
      </w:r>
      <w:proofErr w:type="gramStart"/>
      <w:r w:rsidRPr="007E650E">
        <w:rPr>
          <w:lang w:bidi="en-US"/>
        </w:rPr>
        <w:t>to serve</w:t>
      </w:r>
      <w:proofErr w:type="gramEnd"/>
      <w:r w:rsidRPr="007E650E">
        <w:rPr>
          <w:lang w:bidi="en-US"/>
        </w:rPr>
        <w:t xml:space="preserve"> a geographical area not listed above, the proposal must clearly identify the deaf and hard of hearing population and the need for services in that </w:t>
      </w:r>
      <w:proofErr w:type="gramStart"/>
      <w:r w:rsidRPr="007E650E">
        <w:rPr>
          <w:lang w:bidi="en-US"/>
        </w:rPr>
        <w:t>locale</w:t>
      </w:r>
      <w:proofErr w:type="gramEnd"/>
      <w:r w:rsidRPr="007E650E">
        <w:rPr>
          <w:lang w:bidi="en-US"/>
        </w:rPr>
        <w:t xml:space="preserve"> and demonstrate why those needs are not currently being met. The EDD will review the request and determine </w:t>
      </w:r>
      <w:r w:rsidR="00297DCA" w:rsidRPr="007E650E">
        <w:rPr>
          <w:lang w:bidi="en-US"/>
        </w:rPr>
        <w:t xml:space="preserve">the </w:t>
      </w:r>
      <w:r w:rsidRPr="007E650E">
        <w:rPr>
          <w:lang w:bidi="en-US"/>
        </w:rPr>
        <w:t xml:space="preserve">suitability and availability of space for co-location </w:t>
      </w:r>
      <w:r w:rsidR="000D5ACF">
        <w:rPr>
          <w:lang w:bidi="en-US"/>
        </w:rPr>
        <w:t>to determine</w:t>
      </w:r>
      <w:r w:rsidRPr="007E650E">
        <w:rPr>
          <w:lang w:bidi="en-US"/>
        </w:rPr>
        <w:t xml:space="preserve"> if another area not listed can be approved.</w:t>
      </w:r>
    </w:p>
    <w:p w14:paraId="6D2DF759" w14:textId="76D616C0" w:rsidR="00A42E54" w:rsidRPr="007E650E" w:rsidRDefault="00AD19E0" w:rsidP="00AD19E0">
      <w:pPr>
        <w:pStyle w:val="BodyText"/>
      </w:pPr>
      <w:r w:rsidRPr="007E650E">
        <w:rPr>
          <w:lang w:bidi="en-US"/>
        </w:rPr>
        <w:t xml:space="preserve">For this solicitation, the grantee will be required to work among EDD staff located in designated </w:t>
      </w:r>
      <w:r w:rsidR="00E16F3B" w:rsidRPr="007E650E">
        <w:rPr>
          <w:lang w:bidi="en-US"/>
        </w:rPr>
        <w:t>AJCC</w:t>
      </w:r>
      <w:r w:rsidRPr="007E650E">
        <w:rPr>
          <w:lang w:bidi="en-US"/>
        </w:rPr>
        <w:t xml:space="preserve"> sites. It is required that a minimum of one staff person be assigned for the specified contracted hours. On-demand communication services must also be made available</w:t>
      </w:r>
      <w:r w:rsidR="00297DCA" w:rsidRPr="007E650E">
        <w:rPr>
          <w:lang w:bidi="en-US"/>
        </w:rPr>
        <w:t>,</w:t>
      </w:r>
      <w:r w:rsidRPr="007E650E">
        <w:rPr>
          <w:lang w:bidi="en-US"/>
        </w:rPr>
        <w:t xml:space="preserve"> </w:t>
      </w:r>
      <w:r w:rsidR="00297DCA" w:rsidRPr="007E650E">
        <w:rPr>
          <w:lang w:bidi="en-US"/>
        </w:rPr>
        <w:t>including</w:t>
      </w:r>
      <w:r w:rsidRPr="007E650E">
        <w:rPr>
          <w:lang w:bidi="en-US"/>
        </w:rPr>
        <w:t xml:space="preserve"> interpreter </w:t>
      </w:r>
      <w:proofErr w:type="gramStart"/>
      <w:r w:rsidRPr="007E650E">
        <w:rPr>
          <w:lang w:bidi="en-US"/>
        </w:rPr>
        <w:t>services</w:t>
      </w:r>
      <w:proofErr w:type="gramEnd"/>
      <w:r w:rsidRPr="007E650E">
        <w:rPr>
          <w:lang w:bidi="en-US"/>
        </w:rPr>
        <w:t xml:space="preserve"> by a professional interpreter </w:t>
      </w:r>
      <w:r w:rsidR="00297DCA" w:rsidRPr="007E650E">
        <w:rPr>
          <w:lang w:bidi="en-US"/>
        </w:rPr>
        <w:t xml:space="preserve">who </w:t>
      </w:r>
      <w:r w:rsidRPr="007E650E">
        <w:rPr>
          <w:lang w:bidi="en-US"/>
        </w:rPr>
        <w:t xml:space="preserve">possesses a comprehensive skills certification </w:t>
      </w:r>
      <w:r w:rsidR="00297DCA" w:rsidRPr="007E650E">
        <w:rPr>
          <w:lang w:bidi="en-US"/>
        </w:rPr>
        <w:t>from</w:t>
      </w:r>
      <w:r w:rsidRPr="007E650E">
        <w:rPr>
          <w:lang w:bidi="en-US"/>
        </w:rPr>
        <w:t xml:space="preserve"> the National Registry of Interpreters for the Deaf or the equivalent.</w:t>
      </w:r>
      <w:r w:rsidR="005551BA" w:rsidRPr="007E650E">
        <w:rPr>
          <w:lang w:bidi="en-US"/>
        </w:rPr>
        <w:t xml:space="preserve"> </w:t>
      </w:r>
      <w:r w:rsidRPr="007E650E">
        <w:rPr>
          <w:lang w:bidi="en-US"/>
        </w:rPr>
        <w:t xml:space="preserve">Applicants must clearly identify how they will </w:t>
      </w:r>
      <w:proofErr w:type="gramStart"/>
      <w:r w:rsidRPr="007E650E">
        <w:rPr>
          <w:lang w:bidi="en-US"/>
        </w:rPr>
        <w:t>fill</w:t>
      </w:r>
      <w:proofErr w:type="gramEnd"/>
      <w:r w:rsidRPr="007E650E">
        <w:rPr>
          <w:lang w:bidi="en-US"/>
        </w:rPr>
        <w:t xml:space="preserve"> the interpreter services requirements. Hybrid teleworking schedules will be allowed for this solicitation, but staff must work a minimum of three days per week at their designated </w:t>
      </w:r>
      <w:r w:rsidR="00E16F3B" w:rsidRPr="007E650E">
        <w:rPr>
          <w:lang w:bidi="en-US"/>
        </w:rPr>
        <w:t>AJCC</w:t>
      </w:r>
      <w:r w:rsidRPr="007E650E">
        <w:rPr>
          <w:lang w:bidi="en-US"/>
        </w:rPr>
        <w:t xml:space="preserve"> sites. Grantees providing a reduced staffing level must provide written justification for the reduction.</w:t>
      </w:r>
    </w:p>
    <w:p w14:paraId="3091DCEA" w14:textId="77777777" w:rsidR="00AB6A87" w:rsidRPr="007E650E" w:rsidRDefault="00AB6A87" w:rsidP="00A42E54"/>
    <w:p w14:paraId="2ACE48BE" w14:textId="27E1F269" w:rsidR="00B206CE" w:rsidRPr="007E650E" w:rsidRDefault="00AB6A87" w:rsidP="00AB6A87">
      <w:pPr>
        <w:pStyle w:val="Heading3"/>
        <w:rPr>
          <w:lang w:val="en"/>
        </w:rPr>
      </w:pPr>
      <w:bookmarkStart w:id="27" w:name="_Toc195189577"/>
      <w:r w:rsidRPr="007E650E">
        <w:rPr>
          <w:lang w:val="en"/>
        </w:rPr>
        <w:lastRenderedPageBreak/>
        <w:t>Allowable Use of Funds</w:t>
      </w:r>
      <w:bookmarkEnd w:id="27"/>
    </w:p>
    <w:p w14:paraId="1896B1EA" w14:textId="1AC15A46" w:rsidR="00AD19E0" w:rsidRPr="007E650E" w:rsidRDefault="00AD19E0" w:rsidP="00AD19E0">
      <w:pPr>
        <w:pStyle w:val="BodyText"/>
        <w:rPr>
          <w:lang w:bidi="en-US"/>
        </w:rPr>
      </w:pPr>
      <w:bookmarkStart w:id="28" w:name="_Hlk194572861"/>
      <w:r w:rsidRPr="007E650E">
        <w:rPr>
          <w:lang w:bidi="en-US"/>
        </w:rPr>
        <w:t>The use of funds awarded in this SFP is governed by Wagner-Peyser 10 percent Governor</w:t>
      </w:r>
      <w:r w:rsidR="000D5ACF">
        <w:rPr>
          <w:lang w:bidi="en-US"/>
        </w:rPr>
        <w:t>'</w:t>
      </w:r>
      <w:r w:rsidRPr="007E650E">
        <w:rPr>
          <w:lang w:bidi="en-US"/>
        </w:rPr>
        <w:t>s Discretionary fund guidelines, state and federal directives, and the applicable uniform administrative requirements, cost principles, and audit requirements included in the appropriate circulars or rules of the Office of Management and Budget (WIOA Section 184[a][2] and [3]).</w:t>
      </w:r>
    </w:p>
    <w:p w14:paraId="32196201" w14:textId="77777777" w:rsidR="00AD19E0" w:rsidRPr="007E650E" w:rsidRDefault="00AD19E0" w:rsidP="00AD19E0">
      <w:pPr>
        <w:pStyle w:val="BodyText"/>
        <w:rPr>
          <w:lang w:bidi="en-US"/>
        </w:rPr>
      </w:pPr>
      <w:r w:rsidRPr="007E650E">
        <w:rPr>
          <w:lang w:bidi="en-US"/>
        </w:rPr>
        <w:t>Grantees will be responsible for any charges related to the secure operation of videophones required for program operations. This includes, but is not limited to, Internet Service Provider, installing upgraded equipment for expansion, and related functions. Services related to the videophones must be coordinated with the EDD Information Technology Branch staff.</w:t>
      </w:r>
    </w:p>
    <w:p w14:paraId="09E55ECE" w14:textId="586BD158" w:rsidR="00AD19E0" w:rsidRPr="007E650E" w:rsidRDefault="00AD19E0" w:rsidP="00AD19E0">
      <w:pPr>
        <w:pStyle w:val="BodyText"/>
        <w:rPr>
          <w:lang w:bidi="en-US"/>
        </w:rPr>
      </w:pPr>
      <w:r w:rsidRPr="007E650E">
        <w:rPr>
          <w:lang w:bidi="en-US"/>
        </w:rPr>
        <w:t xml:space="preserve">On occasions, deaf and hard of hearing staff may be called on to provide interpreting services for deaf and hard of hearing individuals seeking assistance with matters related to Unemployment Insurance (UI), Disability Insurance (DI), and other services that are available, or being provided by the EDD and other partner agencies located in the </w:t>
      </w:r>
      <w:r w:rsidR="00E16F3B" w:rsidRPr="007E650E">
        <w:rPr>
          <w:lang w:bidi="en-US"/>
        </w:rPr>
        <w:t>AJCC</w:t>
      </w:r>
      <w:r w:rsidRPr="007E650E">
        <w:rPr>
          <w:lang w:bidi="en-US"/>
        </w:rPr>
        <w:t xml:space="preserve">. These clients are not required to </w:t>
      </w:r>
      <w:proofErr w:type="gramStart"/>
      <w:r w:rsidRPr="007E650E">
        <w:rPr>
          <w:lang w:bidi="en-US"/>
        </w:rPr>
        <w:t>be enrolled</w:t>
      </w:r>
      <w:proofErr w:type="gramEnd"/>
      <w:r w:rsidRPr="007E650E">
        <w:rPr>
          <w:lang w:bidi="en-US"/>
        </w:rPr>
        <w:t xml:space="preserve"> or have active status in the DHH program. Grant funds may be used to cover these activities.</w:t>
      </w:r>
    </w:p>
    <w:p w14:paraId="2F6902FC" w14:textId="4B2E8DC1" w:rsidR="00AD19E0" w:rsidRPr="007E650E" w:rsidRDefault="00AD19E0" w:rsidP="00AD19E0">
      <w:pPr>
        <w:pStyle w:val="BodyText"/>
        <w:rPr>
          <w:lang w:bidi="en-US"/>
        </w:rPr>
      </w:pPr>
      <w:r w:rsidRPr="007E650E">
        <w:rPr>
          <w:lang w:bidi="en-US"/>
        </w:rPr>
        <w:t>In the event of an interpreting scheduling conflict or the temporary vacancy of an available deaf and hard of hearing interpreter, grantees may sub-contract with a local reputable interpreting agency. These services will be reimbursed through the grantee</w:t>
      </w:r>
      <w:r w:rsidR="000D5ACF">
        <w:rPr>
          <w:lang w:bidi="en-US"/>
        </w:rPr>
        <w:t>'</w:t>
      </w:r>
      <w:r w:rsidRPr="007E650E">
        <w:rPr>
          <w:lang w:bidi="en-US"/>
        </w:rPr>
        <w:t>s monthly expenditure (invoice) reports. Grantees should allocate a portion of their grant funds to interpreting services. Grantees are encouraged to negotiate with the interpreting agency to obtain a discounted fee for exclusive and repeat business.</w:t>
      </w:r>
    </w:p>
    <w:p w14:paraId="3CFE6B0B" w14:textId="485B6AF3" w:rsidR="00AD19E0" w:rsidRPr="007E650E" w:rsidRDefault="00AD19E0" w:rsidP="00AD19E0">
      <w:pPr>
        <w:pStyle w:val="BodyText"/>
        <w:rPr>
          <w:lang w:bidi="en-US"/>
        </w:rPr>
      </w:pPr>
      <w:r w:rsidRPr="007E650E">
        <w:rPr>
          <w:lang w:bidi="en-US"/>
        </w:rPr>
        <w:t xml:space="preserve">Travel and associated expenses incurred </w:t>
      </w:r>
      <w:r w:rsidR="00C10B94" w:rsidRPr="007E650E">
        <w:rPr>
          <w:lang w:bidi="en-US"/>
        </w:rPr>
        <w:t>to carry</w:t>
      </w:r>
      <w:r w:rsidRPr="007E650E">
        <w:rPr>
          <w:lang w:bidi="en-US"/>
        </w:rPr>
        <w:t xml:space="preserve"> out allowable grant services are allowable. The purpose of the travel and itemized travel costs must be clearly identified within invoice materials upon requesting reimbursement. If personal vehicle mileage, other private transit, or public transit costs are requested to be reimbursed, the address of the starting and ending locations must be provided. Mileage is reimbursable if it meets all federal rules and definitions for reimbursement as a business expense. Mileage reimbursement may not exceed the federal maximum for the period during which the costs were incurred.</w:t>
      </w:r>
    </w:p>
    <w:p w14:paraId="5EA190CA" w14:textId="23E0EB5B" w:rsidR="00AB6A87" w:rsidRPr="007E650E" w:rsidRDefault="00AD19E0" w:rsidP="00AD19E0">
      <w:pPr>
        <w:pStyle w:val="BodyText"/>
        <w:rPr>
          <w:lang w:bidi="en-US"/>
        </w:rPr>
      </w:pPr>
      <w:r w:rsidRPr="007E650E">
        <w:rPr>
          <w:lang w:bidi="en-US"/>
        </w:rPr>
        <w:t>Funds awarded under this SFP cannot be used to purchase real property or to construct buildings.</w:t>
      </w:r>
      <w:bookmarkEnd w:id="28"/>
    </w:p>
    <w:p w14:paraId="34B5BAFD" w14:textId="77B52789" w:rsidR="00AB6A87" w:rsidRPr="007E650E" w:rsidRDefault="00AB6A87" w:rsidP="00AB6A87">
      <w:pPr>
        <w:pStyle w:val="Heading3"/>
      </w:pPr>
      <w:bookmarkStart w:id="29" w:name="_Toc195189578"/>
      <w:r w:rsidRPr="007E650E">
        <w:t>Administrative Cost Limits</w:t>
      </w:r>
      <w:bookmarkEnd w:id="29"/>
    </w:p>
    <w:p w14:paraId="40D615CB" w14:textId="47361C1D" w:rsidR="00AB6A87" w:rsidRPr="007E650E" w:rsidRDefault="00AB6A87" w:rsidP="00AB6A87">
      <w:pPr>
        <w:pStyle w:val="BodyText"/>
      </w:pPr>
      <w:r w:rsidRPr="007E650E">
        <w:t xml:space="preserve">A maximum of </w:t>
      </w:r>
      <w:r w:rsidR="00CD16E4" w:rsidRPr="007E650E">
        <w:t>10</w:t>
      </w:r>
      <w:r w:rsidRPr="007E650E">
        <w:t xml:space="preserve"> percent of the total project budget will be allowed for administrative costs.</w:t>
      </w:r>
    </w:p>
    <w:p w14:paraId="30363FCB" w14:textId="3FE2891A" w:rsidR="00AB6A87" w:rsidRPr="007E650E" w:rsidRDefault="00AB6A87" w:rsidP="00AB6A87">
      <w:pPr>
        <w:pStyle w:val="Heading3"/>
      </w:pPr>
      <w:bookmarkStart w:id="30" w:name="_Toc195189579"/>
      <w:r w:rsidRPr="007E650E">
        <w:lastRenderedPageBreak/>
        <w:t>Collaboration with the EDD</w:t>
      </w:r>
      <w:bookmarkEnd w:id="30"/>
    </w:p>
    <w:p w14:paraId="0A22665C" w14:textId="22A05A22" w:rsidR="00AB6A87" w:rsidRPr="007E650E" w:rsidRDefault="008F135C" w:rsidP="00AB6A87">
      <w:pPr>
        <w:pStyle w:val="BodyText"/>
      </w:pPr>
      <w:r w:rsidRPr="007E650E">
        <w:rPr>
          <w:lang w:bidi="en-US"/>
        </w:rPr>
        <w:t xml:space="preserve">The EDD Project Manager (PM) is responsible for grant administration and oversight. Key project staff will be required to work closely with the PM for technical assistance, </w:t>
      </w:r>
      <w:proofErr w:type="spellStart"/>
      <w:r w:rsidRPr="007E650E">
        <w:rPr>
          <w:lang w:bidi="en-US"/>
        </w:rPr>
        <w:t>CalJOBS</w:t>
      </w:r>
      <w:r w:rsidRPr="007E650E">
        <w:rPr>
          <w:vertAlign w:val="superscript"/>
          <w:lang w:bidi="en-US"/>
        </w:rPr>
        <w:t>SM</w:t>
      </w:r>
      <w:proofErr w:type="spellEnd"/>
      <w:r w:rsidRPr="007E650E">
        <w:rPr>
          <w:lang w:bidi="en-US"/>
        </w:rPr>
        <w:t xml:space="preserve"> training, and guidance during start-up, implementation, and throughout the grant term. At the start of the grant term, grant staff will be required to participate in a project launch webinar and may be required to participate in CalJOBS training.</w:t>
      </w:r>
    </w:p>
    <w:p w14:paraId="54F3907A" w14:textId="6E6E629E" w:rsidR="00AB6A87" w:rsidRPr="007E650E" w:rsidRDefault="00AB6A87" w:rsidP="00AB6A87">
      <w:pPr>
        <w:pStyle w:val="Heading3"/>
      </w:pPr>
      <w:bookmarkStart w:id="31" w:name="_Toc195189580"/>
      <w:r w:rsidRPr="007E650E">
        <w:t>Length of Project</w:t>
      </w:r>
      <w:bookmarkEnd w:id="31"/>
    </w:p>
    <w:p w14:paraId="3AA82B01" w14:textId="4F104769" w:rsidR="00AB6A87" w:rsidRPr="007E650E" w:rsidRDefault="008F135C" w:rsidP="00AB6A87">
      <w:pPr>
        <w:pStyle w:val="BodyText"/>
      </w:pPr>
      <w:r w:rsidRPr="007E650E">
        <w:rPr>
          <w:lang w:bidi="en-US"/>
        </w:rPr>
        <w:t>The grant period for this award is 12 months, from July 1, 2025, through June 30, 2026.</w:t>
      </w:r>
      <w:r w:rsidR="005551BA" w:rsidRPr="007E650E">
        <w:rPr>
          <w:lang w:bidi="en-US"/>
        </w:rPr>
        <w:t xml:space="preserve"> </w:t>
      </w:r>
      <w:r w:rsidRPr="007E650E">
        <w:rPr>
          <w:lang w:bidi="en-US"/>
        </w:rPr>
        <w:t xml:space="preserve">This period of performance includes all necessary implementation and start-up activities. No </w:t>
      </w:r>
      <w:proofErr w:type="gramStart"/>
      <w:r w:rsidRPr="007E650E">
        <w:rPr>
          <w:lang w:bidi="en-US"/>
        </w:rPr>
        <w:t>obligation of funds</w:t>
      </w:r>
      <w:proofErr w:type="gramEnd"/>
      <w:r w:rsidRPr="007E650E">
        <w:rPr>
          <w:lang w:bidi="en-US"/>
        </w:rPr>
        <w:t xml:space="preserve"> will be allowed prior to or beyond the grant period of performance. Any grant funds not expended during the</w:t>
      </w:r>
      <w:r w:rsidR="00AB6A87" w:rsidRPr="007E650E">
        <w:t xml:space="preserve"> grant period must be returned to the EDD.</w:t>
      </w:r>
    </w:p>
    <w:p w14:paraId="37BDFE27" w14:textId="77777777" w:rsidR="00AB6A87" w:rsidRPr="007E650E" w:rsidRDefault="00AB6A87" w:rsidP="00AB6A87">
      <w:pPr>
        <w:rPr>
          <w:lang w:val="en"/>
        </w:rPr>
      </w:pPr>
    </w:p>
    <w:p w14:paraId="5C987A40" w14:textId="76353C74" w:rsidR="008544AA" w:rsidRPr="007E650E" w:rsidRDefault="00AB6A87" w:rsidP="00CF2366">
      <w:pPr>
        <w:pStyle w:val="Heading2"/>
        <w:tabs>
          <w:tab w:val="left" w:pos="360"/>
        </w:tabs>
        <w:ind w:left="720"/>
      </w:pPr>
      <w:bookmarkStart w:id="32" w:name="_Toc195189581"/>
      <w:proofErr w:type="gramStart"/>
      <w:r w:rsidRPr="007E650E">
        <w:t>Grantee</w:t>
      </w:r>
      <w:proofErr w:type="gramEnd"/>
      <w:r w:rsidRPr="007E650E">
        <w:t xml:space="preserve"> Requirements</w:t>
      </w:r>
      <w:bookmarkEnd w:id="32"/>
    </w:p>
    <w:p w14:paraId="5B6B8B1E" w14:textId="77777777" w:rsidR="00905691" w:rsidRPr="007E650E" w:rsidRDefault="00905691" w:rsidP="00905691">
      <w:pPr>
        <w:pStyle w:val="BodyText"/>
        <w:spacing w:after="0"/>
      </w:pPr>
      <w:bookmarkStart w:id="33" w:name="_Toc195189582"/>
    </w:p>
    <w:p w14:paraId="15A13A2E" w14:textId="095D4D4F" w:rsidR="008544AA" w:rsidRPr="007E650E" w:rsidRDefault="00AB6A87" w:rsidP="00905691">
      <w:pPr>
        <w:pStyle w:val="Heading3"/>
        <w:numPr>
          <w:ilvl w:val="0"/>
          <w:numId w:val="7"/>
        </w:numPr>
        <w:spacing w:before="0"/>
      </w:pPr>
      <w:r w:rsidRPr="007E650E">
        <w:t>Grantee Criteria</w:t>
      </w:r>
      <w:bookmarkEnd w:id="33"/>
    </w:p>
    <w:p w14:paraId="4DDD8533" w14:textId="735FCC94" w:rsidR="008544AA" w:rsidRPr="007E650E" w:rsidRDefault="00AB6A87" w:rsidP="008E506B">
      <w:pPr>
        <w:pStyle w:val="BodyText"/>
      </w:pPr>
      <w:r w:rsidRPr="007E650E">
        <w:rPr>
          <w:lang w:val="en-US"/>
        </w:rPr>
        <w:t>As required under Section 11003 of the CUIC, the criteria for choosing grantees shall include, but not be limited to, the following:</w:t>
      </w:r>
    </w:p>
    <w:p w14:paraId="6EF3EA9B" w14:textId="46303D94" w:rsidR="00FC6D14" w:rsidRPr="007E650E" w:rsidRDefault="00FC6D14" w:rsidP="00FC6D14">
      <w:pPr>
        <w:pStyle w:val="ListParagraph"/>
      </w:pPr>
      <w:r w:rsidRPr="007E650E">
        <w:t>The ability to provide services in a deaf and hard of hearing individual</w:t>
      </w:r>
      <w:r w:rsidR="000D5ACF">
        <w:t>'</w:t>
      </w:r>
      <w:r w:rsidRPr="007E650E">
        <w:t>s preferred mode of communication.</w:t>
      </w:r>
    </w:p>
    <w:p w14:paraId="1E7C3685" w14:textId="663AD732" w:rsidR="00FC6D14" w:rsidRPr="007E650E" w:rsidRDefault="00FC6D14" w:rsidP="00FC6D14">
      <w:pPr>
        <w:pStyle w:val="ListParagraph"/>
      </w:pPr>
      <w:r w:rsidRPr="007E650E">
        <w:t>The ability to secure community support, including written endorsements of local officials, employers, the Workforce Development Board(s) within the applicant</w:t>
      </w:r>
      <w:r w:rsidR="000D5ACF">
        <w:t>'</w:t>
      </w:r>
      <w:r w:rsidRPr="007E650E">
        <w:t>s service region, and organizations of and for persons who are deaf and hard of hearing.</w:t>
      </w:r>
    </w:p>
    <w:p w14:paraId="1E4449AF" w14:textId="77777777" w:rsidR="00FC6D14" w:rsidRPr="007E650E" w:rsidRDefault="00FC6D14" w:rsidP="00FC6D14">
      <w:pPr>
        <w:pStyle w:val="ListParagraph"/>
      </w:pPr>
      <w:r w:rsidRPr="007E650E">
        <w:t>The existence of funding from one or more public or private sources.</w:t>
      </w:r>
    </w:p>
    <w:p w14:paraId="3CCB8F59" w14:textId="77777777" w:rsidR="00FC6D14" w:rsidRPr="007E650E" w:rsidRDefault="00FC6D14" w:rsidP="00FC6D14">
      <w:pPr>
        <w:pStyle w:val="ListParagraph"/>
      </w:pPr>
      <w:r w:rsidRPr="007E650E">
        <w:t>Participation of deaf and hard of hearing individuals on the potential grantee's employment services staff and, in the case of a private nonprofit corporation, on the Board of Directors.</w:t>
      </w:r>
    </w:p>
    <w:p w14:paraId="41427F55" w14:textId="2C9E9F3B" w:rsidR="008544AA" w:rsidRPr="007E650E" w:rsidRDefault="00FC6D14" w:rsidP="00FC6D14">
      <w:pPr>
        <w:pStyle w:val="ListParagraph"/>
      </w:pPr>
      <w:r w:rsidRPr="007E650E">
        <w:t>A commitment to the development and maintenance of self-determination for deaf and hard of hearing individuals, including supporting and fostering independence and decision-making.</w:t>
      </w:r>
    </w:p>
    <w:p w14:paraId="550CC0E3" w14:textId="78B0BDC6" w:rsidR="008544AA" w:rsidRPr="007E650E" w:rsidRDefault="00AB6A87" w:rsidP="00F470F1">
      <w:pPr>
        <w:pStyle w:val="Heading3"/>
      </w:pPr>
      <w:bookmarkStart w:id="34" w:name="_Toc195189583"/>
      <w:r w:rsidRPr="007E650E">
        <w:lastRenderedPageBreak/>
        <w:t>Staffing Qualifications</w:t>
      </w:r>
      <w:bookmarkEnd w:id="34"/>
    </w:p>
    <w:p w14:paraId="2A04CC01" w14:textId="4310BECA" w:rsidR="0046557C" w:rsidRPr="007E650E" w:rsidRDefault="0046557C" w:rsidP="0046557C">
      <w:pPr>
        <w:pStyle w:val="BodyText"/>
        <w:rPr>
          <w:lang w:bidi="en-US"/>
        </w:rPr>
      </w:pPr>
      <w:r w:rsidRPr="007E650E">
        <w:rPr>
          <w:lang w:bidi="en-US"/>
        </w:rPr>
        <w:t xml:space="preserve">The grantee shall provide at least one staff person in designated </w:t>
      </w:r>
      <w:r w:rsidR="00E16F3B" w:rsidRPr="007E650E">
        <w:rPr>
          <w:lang w:bidi="en-US"/>
        </w:rPr>
        <w:t>AJCC</w:t>
      </w:r>
      <w:r w:rsidRPr="007E650E">
        <w:rPr>
          <w:lang w:bidi="en-US"/>
        </w:rPr>
        <w:t xml:space="preserve"> sites for the specified contracted hours. </w:t>
      </w:r>
      <w:r w:rsidR="00297DCA" w:rsidRPr="007E650E">
        <w:rPr>
          <w:lang w:bidi="en-US"/>
        </w:rPr>
        <w:t xml:space="preserve">On-demand communication services must also be made available, including interpreter </w:t>
      </w:r>
      <w:proofErr w:type="gramStart"/>
      <w:r w:rsidR="00297DCA" w:rsidRPr="007E650E">
        <w:rPr>
          <w:lang w:bidi="en-US"/>
        </w:rPr>
        <w:t>services</w:t>
      </w:r>
      <w:proofErr w:type="gramEnd"/>
      <w:r w:rsidR="00297DCA" w:rsidRPr="007E650E">
        <w:rPr>
          <w:lang w:bidi="en-US"/>
        </w:rPr>
        <w:t xml:space="preserve"> by a professional interpreter who possesses a comprehensive skills certification from the National Registry of Interpreters for the Deaf or the equivalent.</w:t>
      </w:r>
      <w:r w:rsidRPr="007E650E">
        <w:rPr>
          <w:lang w:bidi="en-US"/>
        </w:rPr>
        <w:t xml:space="preserve"> Applicants must clearly identify how they will fulfill the interpreter services requirements.</w:t>
      </w:r>
      <w:r w:rsidR="005551BA" w:rsidRPr="007E650E">
        <w:rPr>
          <w:lang w:bidi="en-US"/>
        </w:rPr>
        <w:t xml:space="preserve"> </w:t>
      </w:r>
    </w:p>
    <w:p w14:paraId="1870111A" w14:textId="1482DE22" w:rsidR="0046557C" w:rsidRPr="007E650E" w:rsidRDefault="0046557C" w:rsidP="0046557C">
      <w:pPr>
        <w:pStyle w:val="BodyText"/>
        <w:rPr>
          <w:lang w:bidi="en-US"/>
        </w:rPr>
      </w:pPr>
      <w:r w:rsidRPr="007E650E">
        <w:rPr>
          <w:lang w:bidi="en-US"/>
        </w:rPr>
        <w:t xml:space="preserve">To address the challenges directly related to the requirement of certified interpreters through a national registry, the EDD has expanded the option to include additional types of sign language interpreters (other than ASL) and </w:t>
      </w:r>
      <w:r w:rsidR="00297DCA" w:rsidRPr="007E650E">
        <w:rPr>
          <w:lang w:bidi="en-US"/>
        </w:rPr>
        <w:t>certifications</w:t>
      </w:r>
      <w:r w:rsidRPr="007E650E">
        <w:rPr>
          <w:lang w:bidi="en-US"/>
        </w:rPr>
        <w:t xml:space="preserve"> that may also be considered. The qualification and professionalism standards for staff delivering sign language interpretation will be established by the grantee responsible for administering the DHH grant, including the discretion to incorporate additional types of sign language interpreters and relevant certifications. Grantees awarded funding for the DHH Program shall determine if these interpreters will qualify and perform to their satisfaction for the EDD</w:t>
      </w:r>
      <w:r w:rsidR="000D5ACF">
        <w:rPr>
          <w:lang w:bidi="en-US"/>
        </w:rPr>
        <w:t>'</w:t>
      </w:r>
      <w:r w:rsidRPr="007E650E">
        <w:rPr>
          <w:lang w:bidi="en-US"/>
        </w:rPr>
        <w:t xml:space="preserve">s DHH Program. </w:t>
      </w:r>
    </w:p>
    <w:p w14:paraId="02C4BB3D" w14:textId="70CA53E8" w:rsidR="0046557C" w:rsidRPr="007E650E" w:rsidRDefault="0046557C" w:rsidP="0046557C">
      <w:pPr>
        <w:pStyle w:val="BodyText"/>
        <w:rPr>
          <w:lang w:bidi="en-US"/>
        </w:rPr>
      </w:pPr>
      <w:r w:rsidRPr="007E650E">
        <w:rPr>
          <w:lang w:bidi="en-US"/>
        </w:rPr>
        <w:t>A copy of the interpreting staff</w:t>
      </w:r>
      <w:r w:rsidR="000D5ACF">
        <w:rPr>
          <w:lang w:bidi="en-US"/>
        </w:rPr>
        <w:t>'</w:t>
      </w:r>
      <w:r w:rsidRPr="007E650E">
        <w:rPr>
          <w:lang w:bidi="en-US"/>
        </w:rPr>
        <w:t xml:space="preserve">s valid and current Comprehensive Skills Certification issued by the national Registry of Interpreters for the Deaf (RID), or equivalent California Association of the Deaf (CAD) certification or other certification approved by the EDD or supporting documents to determine the skill level of the interpreter by the grantee, must be provided to the EDD Central Office Workforce Services Division PM or the </w:t>
      </w:r>
      <w:r w:rsidR="00E16F3B" w:rsidRPr="007E650E">
        <w:rPr>
          <w:lang w:bidi="en-US"/>
        </w:rPr>
        <w:t>AJCC</w:t>
      </w:r>
      <w:r w:rsidRPr="007E650E">
        <w:rPr>
          <w:lang w:bidi="en-US"/>
        </w:rPr>
        <w:t xml:space="preserve"> site manager on request.</w:t>
      </w:r>
    </w:p>
    <w:p w14:paraId="1DBE0153" w14:textId="258FEAE8" w:rsidR="0046557C" w:rsidRPr="007E650E" w:rsidRDefault="0046557C" w:rsidP="0046557C">
      <w:pPr>
        <w:pStyle w:val="BodyText"/>
        <w:rPr>
          <w:lang w:bidi="en-US"/>
        </w:rPr>
      </w:pPr>
      <w:r w:rsidRPr="007E650E">
        <w:rPr>
          <w:lang w:bidi="en-US"/>
        </w:rPr>
        <w:t xml:space="preserve">The grantee must provide services during normal office hours, excluding Saturdays, Sundays, and state holidays. Hours and days of service must be on a consistent schedule approved by the </w:t>
      </w:r>
      <w:r w:rsidR="00E16F3B" w:rsidRPr="007E650E">
        <w:rPr>
          <w:lang w:bidi="en-US"/>
        </w:rPr>
        <w:t>AJCC</w:t>
      </w:r>
      <w:r w:rsidRPr="007E650E">
        <w:rPr>
          <w:lang w:bidi="en-US"/>
        </w:rPr>
        <w:t xml:space="preserve"> site manager. Services beyond the approved hours must be approved by EDD before being provided. On occasion, it may be necessary for staff to provide community services outside of the office. In the event of a planned absence from the office during normal office hours, the DHH staff should inform the </w:t>
      </w:r>
      <w:r w:rsidR="00E16F3B" w:rsidRPr="007E650E">
        <w:rPr>
          <w:lang w:bidi="en-US"/>
        </w:rPr>
        <w:t>AJCC</w:t>
      </w:r>
      <w:r w:rsidRPr="007E650E">
        <w:rPr>
          <w:lang w:bidi="en-US"/>
        </w:rPr>
        <w:t xml:space="preserve"> site manager, or their </w:t>
      </w:r>
      <w:proofErr w:type="gramStart"/>
      <w:r w:rsidRPr="007E650E">
        <w:rPr>
          <w:lang w:bidi="en-US"/>
        </w:rPr>
        <w:t>designee</w:t>
      </w:r>
      <w:proofErr w:type="gramEnd"/>
      <w:r w:rsidRPr="007E650E">
        <w:rPr>
          <w:lang w:bidi="en-US"/>
        </w:rPr>
        <w:t xml:space="preserve">, in advance. In the event of unplanned absences, the grantee must notify the </w:t>
      </w:r>
      <w:r w:rsidR="00E16F3B" w:rsidRPr="007E650E">
        <w:rPr>
          <w:lang w:bidi="en-US"/>
        </w:rPr>
        <w:t>AJCC</w:t>
      </w:r>
      <w:r w:rsidRPr="007E650E">
        <w:rPr>
          <w:lang w:bidi="en-US"/>
        </w:rPr>
        <w:t xml:space="preserve"> site manager within one hour of the scheduled work time. The DHH subgrantee staff are not expected to request approval of staff absences, however, it is required that DHH subgrantees report staff absences to the co-located </w:t>
      </w:r>
      <w:r w:rsidR="00E16F3B" w:rsidRPr="007E650E">
        <w:rPr>
          <w:lang w:bidi="en-US"/>
        </w:rPr>
        <w:t>AJCC</w:t>
      </w:r>
      <w:r w:rsidRPr="007E650E">
        <w:rPr>
          <w:lang w:bidi="en-US"/>
        </w:rPr>
        <w:t xml:space="preserve"> management to meet the office protocols, safety/evacuation protocols, and keep all parties informed of when and where DHH staff are available in-office or on hybrid days.</w:t>
      </w:r>
    </w:p>
    <w:p w14:paraId="0166E26A" w14:textId="5B2ED502" w:rsidR="008544AA" w:rsidRPr="007E650E" w:rsidRDefault="0046557C" w:rsidP="0046557C">
      <w:pPr>
        <w:pStyle w:val="BodyText"/>
        <w:rPr>
          <w:lang w:bidi="en-US"/>
        </w:rPr>
      </w:pPr>
      <w:r w:rsidRPr="007E650E">
        <w:rPr>
          <w:lang w:bidi="en-US"/>
        </w:rPr>
        <w:t xml:space="preserve">The grantee must develop dialogue with the EDD site manager at each </w:t>
      </w:r>
      <w:r w:rsidR="00E16F3B" w:rsidRPr="007E650E">
        <w:rPr>
          <w:lang w:bidi="en-US"/>
        </w:rPr>
        <w:t>AJCC</w:t>
      </w:r>
      <w:r w:rsidRPr="007E650E">
        <w:rPr>
          <w:lang w:bidi="en-US"/>
        </w:rPr>
        <w:t xml:space="preserve"> location where deaf and hard of hearing staff will be co-located with EDD staff. The purpose is to foster relationships and determine how best to meet the standards set forth for EDD and/or partnering staff.</w:t>
      </w:r>
    </w:p>
    <w:p w14:paraId="05D434A3" w14:textId="77777777" w:rsidR="001F36C1" w:rsidRPr="007E650E" w:rsidRDefault="001F36C1" w:rsidP="0046557C">
      <w:pPr>
        <w:pStyle w:val="BodyText"/>
      </w:pPr>
    </w:p>
    <w:p w14:paraId="5F76A6AB" w14:textId="077A91BA" w:rsidR="008544AA" w:rsidRPr="007E650E" w:rsidRDefault="008544AA" w:rsidP="00F470F1">
      <w:pPr>
        <w:pStyle w:val="Heading3"/>
      </w:pPr>
      <w:bookmarkStart w:id="35" w:name="_Toc167356418"/>
      <w:bookmarkStart w:id="36" w:name="_Toc195189584"/>
      <w:r w:rsidRPr="007E650E">
        <w:lastRenderedPageBreak/>
        <w:t xml:space="preserve">Required </w:t>
      </w:r>
      <w:bookmarkEnd w:id="35"/>
      <w:r w:rsidR="00AB6A87" w:rsidRPr="007E650E">
        <w:t>Services</w:t>
      </w:r>
      <w:bookmarkEnd w:id="36"/>
    </w:p>
    <w:p w14:paraId="4E59C122" w14:textId="05AD8E6A" w:rsidR="008544AA" w:rsidRPr="007E650E" w:rsidRDefault="00AB6A87" w:rsidP="00F470F1">
      <w:pPr>
        <w:pStyle w:val="BodyText"/>
      </w:pPr>
      <w:r w:rsidRPr="007E650E">
        <w:rPr>
          <w:lang w:val="en-US"/>
        </w:rPr>
        <w:t>As required under Section 11002 of the CUIC, employment services for the deaf and hard of hearing shall include, but are not limited to the following:</w:t>
      </w:r>
      <w:r w:rsidR="008544AA" w:rsidRPr="007E650E">
        <w:t xml:space="preserve"> </w:t>
      </w:r>
    </w:p>
    <w:p w14:paraId="51D69A7F" w14:textId="77777777" w:rsidR="00AB6A87" w:rsidRPr="007E650E" w:rsidRDefault="00AB6A87" w:rsidP="00AB6A87">
      <w:pPr>
        <w:pStyle w:val="ListParagraph"/>
        <w:rPr>
          <w:lang w:bidi="en-US"/>
        </w:rPr>
      </w:pPr>
      <w:r w:rsidRPr="007E650E">
        <w:rPr>
          <w:lang w:bidi="en-US"/>
        </w:rPr>
        <w:t>Complete communication services for all preparatory, job placement, and follow-up activities. The communication services shall include interpreter services by a professional interpreter for the deaf and hard of hearing, possess the comprehensive skills certification of the national Registry of Interpreters for the Deaf (or the equivalent), telecommunications, and, when necessary, training in communication skills.</w:t>
      </w:r>
    </w:p>
    <w:p w14:paraId="30F1C9A3" w14:textId="77777777" w:rsidR="00AB6A87" w:rsidRPr="007E650E" w:rsidRDefault="00AB6A87" w:rsidP="00AB6A87">
      <w:pPr>
        <w:pStyle w:val="ListParagraph"/>
        <w:rPr>
          <w:lang w:bidi="en-US"/>
        </w:rPr>
      </w:pPr>
      <w:r w:rsidRPr="007E650E">
        <w:rPr>
          <w:lang w:bidi="en-US"/>
        </w:rPr>
        <w:t>Advocacy to ensure that deaf and hard of hearing individuals receive equal access to public and private employment services.</w:t>
      </w:r>
    </w:p>
    <w:p w14:paraId="46D14157" w14:textId="77777777" w:rsidR="00AB6A87" w:rsidRPr="007E650E" w:rsidRDefault="00AB6A87" w:rsidP="00AB6A87">
      <w:pPr>
        <w:pStyle w:val="ListParagraph"/>
        <w:rPr>
          <w:lang w:bidi="en-US"/>
        </w:rPr>
      </w:pPr>
      <w:r w:rsidRPr="007E650E">
        <w:rPr>
          <w:lang w:bidi="en-US"/>
        </w:rPr>
        <w:t>Job development and job placement.</w:t>
      </w:r>
    </w:p>
    <w:p w14:paraId="64C47940" w14:textId="77777777" w:rsidR="00AB6A87" w:rsidRPr="007E650E" w:rsidRDefault="00AB6A87" w:rsidP="00AB6A87">
      <w:pPr>
        <w:pStyle w:val="ListParagraph"/>
        <w:rPr>
          <w:lang w:bidi="en-US"/>
        </w:rPr>
      </w:pPr>
      <w:r w:rsidRPr="007E650E">
        <w:rPr>
          <w:lang w:bidi="en-US"/>
        </w:rPr>
        <w:t>Employment counseling, including peer counseling by deaf and hard of hearing individuals.</w:t>
      </w:r>
    </w:p>
    <w:p w14:paraId="4BCF78D7" w14:textId="2DD04B95" w:rsidR="008544AA" w:rsidRPr="007E650E" w:rsidRDefault="00AB6A87" w:rsidP="00AB6A87">
      <w:pPr>
        <w:pStyle w:val="ListParagraph"/>
        <w:rPr>
          <w:lang w:bidi="en-US"/>
        </w:rPr>
      </w:pPr>
      <w:r w:rsidRPr="007E650E">
        <w:rPr>
          <w:lang w:bidi="en-US"/>
        </w:rPr>
        <w:t xml:space="preserve">Follow-up counseling and </w:t>
      </w:r>
      <w:r w:rsidR="001F19F2" w:rsidRPr="007E650E">
        <w:rPr>
          <w:lang w:bidi="en-US"/>
        </w:rPr>
        <w:t>problem-solving</w:t>
      </w:r>
      <w:r w:rsidRPr="007E650E">
        <w:rPr>
          <w:lang w:bidi="en-US"/>
        </w:rPr>
        <w:t xml:space="preserve"> after placement.</w:t>
      </w:r>
    </w:p>
    <w:p w14:paraId="45FE81F7" w14:textId="6D074D8D" w:rsidR="001142C6" w:rsidRPr="007E650E" w:rsidRDefault="001F19F2">
      <w:pPr>
        <w:rPr>
          <w:rFonts w:ascii="Calibri" w:hAnsi="Calibri" w:cs="Calibri"/>
          <w:sz w:val="24"/>
          <w:szCs w:val="24"/>
        </w:rPr>
      </w:pPr>
      <w:bookmarkStart w:id="37" w:name="_Toc167356420"/>
      <w:r w:rsidRPr="007E650E">
        <w:rPr>
          <w:rFonts w:ascii="Calibri" w:hAnsi="Calibri" w:cs="Calibri"/>
          <w:sz w:val="24"/>
          <w:szCs w:val="24"/>
        </w:rPr>
        <w:t>As required under Section 11003 of the CUIC, services to a person who is deaf or hard of hearing should be provided in the person</w:t>
      </w:r>
      <w:r w:rsidR="000D5ACF">
        <w:rPr>
          <w:rFonts w:ascii="Calibri" w:hAnsi="Calibri" w:cs="Calibri"/>
          <w:sz w:val="24"/>
          <w:szCs w:val="24"/>
        </w:rPr>
        <w:t>'</w:t>
      </w:r>
      <w:r w:rsidRPr="007E650E">
        <w:rPr>
          <w:rFonts w:ascii="Calibri" w:hAnsi="Calibri" w:cs="Calibri"/>
          <w:sz w:val="24"/>
          <w:szCs w:val="24"/>
        </w:rPr>
        <w:t>s preferred mode of communication.</w:t>
      </w:r>
    </w:p>
    <w:p w14:paraId="22CF1C2B" w14:textId="5D11ED7D" w:rsidR="001F19F2" w:rsidRPr="007E650E" w:rsidRDefault="0000625F" w:rsidP="0000625F">
      <w:pPr>
        <w:pStyle w:val="Heading3"/>
      </w:pPr>
      <w:bookmarkStart w:id="38" w:name="_Toc195189585"/>
      <w:r w:rsidRPr="007E650E">
        <w:t>Allowable and Unallowable Activities</w:t>
      </w:r>
      <w:bookmarkEnd w:id="38"/>
    </w:p>
    <w:p w14:paraId="199EF621" w14:textId="13A3ADE0" w:rsidR="0000625F" w:rsidRPr="007E650E" w:rsidRDefault="0000625F" w:rsidP="0000625F">
      <w:pPr>
        <w:rPr>
          <w:rFonts w:ascii="Calibri" w:hAnsi="Calibri" w:cs="Calibri"/>
          <w:sz w:val="24"/>
          <w:szCs w:val="24"/>
          <w:lang w:bidi="en-US"/>
        </w:rPr>
      </w:pPr>
      <w:r w:rsidRPr="007E650E">
        <w:rPr>
          <w:rFonts w:ascii="Calibri" w:hAnsi="Calibri" w:cs="Calibri"/>
          <w:sz w:val="24"/>
          <w:szCs w:val="24"/>
          <w:lang w:bidi="en-US"/>
        </w:rPr>
        <w:t>Services provided through the DHH Program must align with those allowable under WIOA, CUIC § 11000, and the terms of this SFP. EDD may approve additional activities that align with funding guidelines and grant goals. Grantees should seek prior approval for activities that are not expressly allowable and/or required within the SFP.</w:t>
      </w:r>
    </w:p>
    <w:p w14:paraId="152A759D" w14:textId="5334608A" w:rsidR="0000625F" w:rsidRPr="007E650E" w:rsidRDefault="0000625F" w:rsidP="0000625F">
      <w:pPr>
        <w:rPr>
          <w:rFonts w:ascii="Calibri" w:hAnsi="Calibri" w:cs="Calibri"/>
          <w:sz w:val="24"/>
          <w:szCs w:val="24"/>
          <w:lang w:bidi="en-US"/>
        </w:rPr>
      </w:pPr>
      <w:r w:rsidRPr="007E650E">
        <w:rPr>
          <w:rFonts w:ascii="Calibri" w:hAnsi="Calibri" w:cs="Calibri"/>
          <w:sz w:val="24"/>
          <w:szCs w:val="24"/>
          <w:lang w:bidi="en-US"/>
        </w:rPr>
        <w:t>DHH staff may assist with</w:t>
      </w:r>
      <w:r w:rsidR="00BD52DB" w:rsidRPr="007E650E">
        <w:rPr>
          <w:rFonts w:ascii="Calibri" w:hAnsi="Calibri" w:cs="Calibri"/>
          <w:sz w:val="24"/>
          <w:szCs w:val="24"/>
          <w:lang w:bidi="en-US"/>
        </w:rPr>
        <w:t xml:space="preserve"> the</w:t>
      </w:r>
      <w:r w:rsidRPr="007E650E">
        <w:rPr>
          <w:rFonts w:ascii="Calibri" w:hAnsi="Calibri" w:cs="Calibri"/>
          <w:sz w:val="24"/>
          <w:szCs w:val="24"/>
          <w:lang w:bidi="en-US"/>
        </w:rPr>
        <w:t xml:space="preserve"> translation of U</w:t>
      </w:r>
      <w:r w:rsidR="00BD52DB" w:rsidRPr="007E650E">
        <w:rPr>
          <w:rFonts w:ascii="Calibri" w:hAnsi="Calibri" w:cs="Calibri"/>
          <w:sz w:val="24"/>
          <w:szCs w:val="24"/>
          <w:lang w:bidi="en-US"/>
        </w:rPr>
        <w:t xml:space="preserve">nemployment </w:t>
      </w:r>
      <w:r w:rsidRPr="007E650E">
        <w:rPr>
          <w:rFonts w:ascii="Calibri" w:hAnsi="Calibri" w:cs="Calibri"/>
          <w:sz w:val="24"/>
          <w:szCs w:val="24"/>
          <w:lang w:bidi="en-US"/>
        </w:rPr>
        <w:t>I</w:t>
      </w:r>
      <w:r w:rsidR="00BD52DB" w:rsidRPr="007E650E">
        <w:rPr>
          <w:rFonts w:ascii="Calibri" w:hAnsi="Calibri" w:cs="Calibri"/>
          <w:sz w:val="24"/>
          <w:szCs w:val="24"/>
          <w:lang w:bidi="en-US"/>
        </w:rPr>
        <w:t>nsurance (UI)</w:t>
      </w:r>
      <w:r w:rsidRPr="007E650E">
        <w:rPr>
          <w:rFonts w:ascii="Calibri" w:hAnsi="Calibri" w:cs="Calibri"/>
          <w:sz w:val="24"/>
          <w:szCs w:val="24"/>
          <w:lang w:bidi="en-US"/>
        </w:rPr>
        <w:t>, D</w:t>
      </w:r>
      <w:r w:rsidR="00BD52DB" w:rsidRPr="007E650E">
        <w:rPr>
          <w:rFonts w:ascii="Calibri" w:hAnsi="Calibri" w:cs="Calibri"/>
          <w:sz w:val="24"/>
          <w:szCs w:val="24"/>
          <w:lang w:bidi="en-US"/>
        </w:rPr>
        <w:t xml:space="preserve">isability </w:t>
      </w:r>
      <w:r w:rsidRPr="007E650E">
        <w:rPr>
          <w:rFonts w:ascii="Calibri" w:hAnsi="Calibri" w:cs="Calibri"/>
          <w:sz w:val="24"/>
          <w:szCs w:val="24"/>
          <w:lang w:bidi="en-US"/>
        </w:rPr>
        <w:t>I</w:t>
      </w:r>
      <w:r w:rsidR="00BD52DB" w:rsidRPr="007E650E">
        <w:rPr>
          <w:rFonts w:ascii="Calibri" w:hAnsi="Calibri" w:cs="Calibri"/>
          <w:sz w:val="24"/>
          <w:szCs w:val="24"/>
          <w:lang w:bidi="en-US"/>
        </w:rPr>
        <w:t>nsurance (DI)</w:t>
      </w:r>
      <w:r w:rsidRPr="007E650E">
        <w:rPr>
          <w:rFonts w:ascii="Calibri" w:hAnsi="Calibri" w:cs="Calibri"/>
          <w:sz w:val="24"/>
          <w:szCs w:val="24"/>
          <w:lang w:bidi="en-US"/>
        </w:rPr>
        <w:t>, or other EDD materials and facilitate communication with state merit staff qualified to provide direct UI, DI, or other EDD services. Staff delivering employment services under the DHH grant must not provide direct assistance with UI, DI, or other EDD services required by statute to be provided by state merit staff.</w:t>
      </w:r>
    </w:p>
    <w:p w14:paraId="1835296F" w14:textId="77777777" w:rsidR="0000625F" w:rsidRPr="007E650E" w:rsidRDefault="0000625F" w:rsidP="0000625F">
      <w:pPr>
        <w:rPr>
          <w:rFonts w:ascii="Calibri" w:hAnsi="Calibri" w:cs="Calibri"/>
          <w:sz w:val="24"/>
          <w:szCs w:val="24"/>
          <w:lang w:bidi="en-US"/>
        </w:rPr>
      </w:pPr>
      <w:r w:rsidRPr="007E650E">
        <w:rPr>
          <w:rFonts w:ascii="Calibri" w:hAnsi="Calibri" w:cs="Calibri"/>
          <w:sz w:val="24"/>
          <w:szCs w:val="24"/>
          <w:lang w:bidi="en-US"/>
        </w:rPr>
        <w:t xml:space="preserve">Staff funded through the DHH grant may charge time </w:t>
      </w:r>
      <w:proofErr w:type="gramStart"/>
      <w:r w:rsidRPr="007E650E">
        <w:rPr>
          <w:rFonts w:ascii="Calibri" w:hAnsi="Calibri" w:cs="Calibri"/>
          <w:sz w:val="24"/>
          <w:szCs w:val="24"/>
          <w:lang w:bidi="en-US"/>
        </w:rPr>
        <w:t>to</w:t>
      </w:r>
      <w:proofErr w:type="gramEnd"/>
      <w:r w:rsidRPr="007E650E">
        <w:rPr>
          <w:rFonts w:ascii="Calibri" w:hAnsi="Calibri" w:cs="Calibri"/>
          <w:sz w:val="24"/>
          <w:szCs w:val="24"/>
          <w:lang w:bidi="en-US"/>
        </w:rPr>
        <w:t xml:space="preserve"> the grant for activities related to outreach to individuals eligible to enroll in grant services. Eligible participants include deaf or hard of hearing individuals who are available to work and are actively seeking work.</w:t>
      </w:r>
    </w:p>
    <w:p w14:paraId="287C1040" w14:textId="616CB9FF" w:rsidR="0000625F" w:rsidRPr="007E650E" w:rsidRDefault="0000625F" w:rsidP="0000625F">
      <w:pPr>
        <w:rPr>
          <w:rFonts w:ascii="Calibri" w:hAnsi="Calibri" w:cs="Calibri"/>
          <w:sz w:val="24"/>
          <w:szCs w:val="24"/>
          <w:lang w:bidi="en-US"/>
        </w:rPr>
      </w:pPr>
      <w:r w:rsidRPr="007E650E">
        <w:rPr>
          <w:rFonts w:ascii="Calibri" w:hAnsi="Calibri" w:cs="Calibri"/>
          <w:sz w:val="24"/>
          <w:szCs w:val="24"/>
          <w:lang w:bidi="en-US"/>
        </w:rPr>
        <w:t xml:space="preserve">Direct charges in support of organization-wide activities or events </w:t>
      </w:r>
      <w:r w:rsidR="00BD52DB" w:rsidRPr="007E650E">
        <w:rPr>
          <w:rFonts w:ascii="Calibri" w:hAnsi="Calibri" w:cs="Calibri"/>
          <w:sz w:val="24"/>
          <w:szCs w:val="24"/>
          <w:lang w:bidi="en-US"/>
        </w:rPr>
        <w:t>cannot be allocated</w:t>
      </w:r>
      <w:r w:rsidRPr="007E650E">
        <w:rPr>
          <w:rFonts w:ascii="Calibri" w:hAnsi="Calibri" w:cs="Calibri"/>
          <w:sz w:val="24"/>
          <w:szCs w:val="24"/>
          <w:lang w:bidi="en-US"/>
        </w:rPr>
        <w:t xml:space="preserve"> to the grant unless incurred while performing allowable activities or services. Examples of such exceptions include, but are not limited to, staffing an informational table about grant services, </w:t>
      </w:r>
      <w:r w:rsidRPr="007E650E">
        <w:rPr>
          <w:rFonts w:ascii="Calibri" w:hAnsi="Calibri" w:cs="Calibri"/>
          <w:sz w:val="24"/>
          <w:szCs w:val="24"/>
          <w:lang w:bidi="en-US"/>
        </w:rPr>
        <w:lastRenderedPageBreak/>
        <w:t xml:space="preserve">presenting to a group of individuals about grant services, or producing printed outreach materials </w:t>
      </w:r>
      <w:r w:rsidR="00BD52DB" w:rsidRPr="007E650E">
        <w:rPr>
          <w:rFonts w:ascii="Calibri" w:hAnsi="Calibri" w:cs="Calibri"/>
          <w:sz w:val="24"/>
          <w:szCs w:val="24"/>
          <w:lang w:bidi="en-US"/>
        </w:rPr>
        <w:t>about</w:t>
      </w:r>
      <w:r w:rsidRPr="007E650E">
        <w:rPr>
          <w:rFonts w:ascii="Calibri" w:hAnsi="Calibri" w:cs="Calibri"/>
          <w:sz w:val="24"/>
          <w:szCs w:val="24"/>
          <w:lang w:bidi="en-US"/>
        </w:rPr>
        <w:t xml:space="preserve"> grant services.</w:t>
      </w:r>
    </w:p>
    <w:p w14:paraId="13115C43" w14:textId="563C517F" w:rsidR="0000625F" w:rsidRPr="007E650E" w:rsidRDefault="0000625F" w:rsidP="0000625F">
      <w:pPr>
        <w:rPr>
          <w:rFonts w:ascii="Calibri" w:hAnsi="Calibri" w:cs="Calibri"/>
          <w:sz w:val="24"/>
          <w:szCs w:val="24"/>
          <w:lang w:bidi="en-US"/>
        </w:rPr>
      </w:pPr>
      <w:r w:rsidRPr="007E650E">
        <w:rPr>
          <w:rFonts w:ascii="Calibri" w:hAnsi="Calibri" w:cs="Calibri"/>
          <w:sz w:val="24"/>
          <w:szCs w:val="24"/>
          <w:lang w:bidi="en-US"/>
        </w:rPr>
        <w:t xml:space="preserve">DHH staff </w:t>
      </w:r>
      <w:proofErr w:type="gramStart"/>
      <w:r w:rsidRPr="007E650E">
        <w:rPr>
          <w:rFonts w:ascii="Calibri" w:hAnsi="Calibri" w:cs="Calibri"/>
          <w:sz w:val="24"/>
          <w:szCs w:val="24"/>
          <w:lang w:bidi="en-US"/>
        </w:rPr>
        <w:t>shall</w:t>
      </w:r>
      <w:proofErr w:type="gramEnd"/>
      <w:r w:rsidRPr="007E650E">
        <w:rPr>
          <w:rFonts w:ascii="Calibri" w:hAnsi="Calibri" w:cs="Calibri"/>
          <w:sz w:val="24"/>
          <w:szCs w:val="24"/>
          <w:lang w:bidi="en-US"/>
        </w:rPr>
        <w:t xml:space="preserve"> make job-readiness services available to eligible participants, including </w:t>
      </w:r>
      <w:r w:rsidR="00BD52DB" w:rsidRPr="007E650E">
        <w:rPr>
          <w:rFonts w:ascii="Calibri" w:hAnsi="Calibri" w:cs="Calibri"/>
          <w:sz w:val="24"/>
          <w:szCs w:val="24"/>
          <w:lang w:bidi="en-US"/>
        </w:rPr>
        <w:t>helping</w:t>
      </w:r>
      <w:r w:rsidRPr="007E650E">
        <w:rPr>
          <w:rFonts w:ascii="Calibri" w:hAnsi="Calibri" w:cs="Calibri"/>
          <w:sz w:val="24"/>
          <w:szCs w:val="24"/>
          <w:lang w:bidi="en-US"/>
        </w:rPr>
        <w:t xml:space="preserve"> deaf and hard of hearing job seekers </w:t>
      </w:r>
      <w:r w:rsidR="00BD52DB" w:rsidRPr="007E650E">
        <w:rPr>
          <w:rFonts w:ascii="Calibri" w:hAnsi="Calibri" w:cs="Calibri"/>
          <w:sz w:val="24"/>
          <w:szCs w:val="24"/>
          <w:lang w:bidi="en-US"/>
        </w:rPr>
        <w:t>to prepare</w:t>
      </w:r>
      <w:r w:rsidRPr="007E650E">
        <w:rPr>
          <w:rFonts w:ascii="Calibri" w:hAnsi="Calibri" w:cs="Calibri"/>
          <w:sz w:val="24"/>
          <w:szCs w:val="24"/>
          <w:lang w:bidi="en-US"/>
        </w:rPr>
        <w:t xml:space="preserve"> resumes, applications, cover letters, and other related materials. Job preparation activities may also include interview preparation, such as mock interviews. </w:t>
      </w:r>
    </w:p>
    <w:p w14:paraId="411DFC2F" w14:textId="77777777" w:rsidR="0000625F" w:rsidRPr="007E650E" w:rsidRDefault="0000625F" w:rsidP="0000625F">
      <w:pPr>
        <w:rPr>
          <w:rFonts w:ascii="Calibri" w:hAnsi="Calibri" w:cs="Calibri"/>
          <w:sz w:val="24"/>
          <w:szCs w:val="24"/>
          <w:lang w:bidi="en-US"/>
        </w:rPr>
      </w:pPr>
      <w:r w:rsidRPr="007E650E">
        <w:rPr>
          <w:rFonts w:ascii="Calibri" w:hAnsi="Calibri" w:cs="Calibri"/>
          <w:sz w:val="24"/>
          <w:szCs w:val="24"/>
          <w:lang w:bidi="en-US"/>
        </w:rPr>
        <w:t xml:space="preserve">Grant funds may not be used to provide services or subsidize costs otherwise required of employers by the Americans with Disabilities Act of 1990 (ADA). The ADA requires that employers provide reasonable </w:t>
      </w:r>
      <w:proofErr w:type="gramStart"/>
      <w:r w:rsidRPr="007E650E">
        <w:rPr>
          <w:rFonts w:ascii="Calibri" w:hAnsi="Calibri" w:cs="Calibri"/>
          <w:sz w:val="24"/>
          <w:szCs w:val="24"/>
          <w:lang w:bidi="en-US"/>
        </w:rPr>
        <w:t>accommodations</w:t>
      </w:r>
      <w:proofErr w:type="gramEnd"/>
      <w:r w:rsidRPr="007E650E">
        <w:rPr>
          <w:rFonts w:ascii="Calibri" w:hAnsi="Calibri" w:cs="Calibri"/>
          <w:sz w:val="24"/>
          <w:szCs w:val="24"/>
          <w:lang w:bidi="en-US"/>
        </w:rPr>
        <w:t xml:space="preserve"> for the purpose of applying, interviewing, onboarding, and accommodations necessary for performing a job once hired. Grantees choosing to assist employers with offsetting the cost of such </w:t>
      </w:r>
      <w:proofErr w:type="gramStart"/>
      <w:r w:rsidRPr="007E650E">
        <w:rPr>
          <w:rFonts w:ascii="Calibri" w:hAnsi="Calibri" w:cs="Calibri"/>
          <w:sz w:val="24"/>
          <w:szCs w:val="24"/>
          <w:lang w:bidi="en-US"/>
        </w:rPr>
        <w:t>accommodations</w:t>
      </w:r>
      <w:proofErr w:type="gramEnd"/>
      <w:r w:rsidRPr="007E650E">
        <w:rPr>
          <w:rFonts w:ascii="Calibri" w:hAnsi="Calibri" w:cs="Calibri"/>
          <w:sz w:val="24"/>
          <w:szCs w:val="24"/>
          <w:lang w:bidi="en-US"/>
        </w:rPr>
        <w:t xml:space="preserve"> must not </w:t>
      </w:r>
      <w:proofErr w:type="gramStart"/>
      <w:r w:rsidRPr="007E650E">
        <w:rPr>
          <w:rFonts w:ascii="Calibri" w:hAnsi="Calibri" w:cs="Calibri"/>
          <w:sz w:val="24"/>
          <w:szCs w:val="24"/>
          <w:lang w:bidi="en-US"/>
        </w:rPr>
        <w:t>bill</w:t>
      </w:r>
      <w:proofErr w:type="gramEnd"/>
      <w:r w:rsidRPr="007E650E">
        <w:rPr>
          <w:rFonts w:ascii="Calibri" w:hAnsi="Calibri" w:cs="Calibri"/>
          <w:sz w:val="24"/>
          <w:szCs w:val="24"/>
          <w:lang w:bidi="en-US"/>
        </w:rPr>
        <w:t xml:space="preserve"> the grant for these services.</w:t>
      </w:r>
    </w:p>
    <w:p w14:paraId="2AFB6826" w14:textId="77777777" w:rsidR="0000625F" w:rsidRPr="007E650E" w:rsidRDefault="0000625F" w:rsidP="0000625F">
      <w:pPr>
        <w:rPr>
          <w:rFonts w:ascii="Calibri" w:hAnsi="Calibri" w:cs="Calibri"/>
          <w:sz w:val="24"/>
          <w:szCs w:val="24"/>
          <w:lang w:bidi="en-US"/>
        </w:rPr>
      </w:pPr>
      <w:r w:rsidRPr="007E650E">
        <w:rPr>
          <w:rFonts w:ascii="Calibri" w:hAnsi="Calibri" w:cs="Calibri"/>
          <w:sz w:val="24"/>
          <w:szCs w:val="24"/>
          <w:lang w:bidi="en-US"/>
        </w:rPr>
        <w:t>Staff training and professional development activities are allowable, provided they are directly related to the grant's objectives and support the enhancement of skills or knowledge necessary to achieve program outcomes. Such activities must align with the approved budget, comply with applicable grant regulations, and demonstrate a clear connection to the program's goals and priorities.</w:t>
      </w:r>
    </w:p>
    <w:p w14:paraId="69D751B9" w14:textId="559D44D8" w:rsidR="001F19F2" w:rsidRPr="007E650E" w:rsidRDefault="0000625F" w:rsidP="0000625F">
      <w:pPr>
        <w:rPr>
          <w:rFonts w:ascii="Calibri" w:hAnsi="Calibri" w:cs="Calibri"/>
          <w:sz w:val="24"/>
          <w:szCs w:val="24"/>
        </w:rPr>
      </w:pPr>
      <w:r w:rsidRPr="007E650E">
        <w:rPr>
          <w:rFonts w:ascii="Calibri" w:hAnsi="Calibri" w:cs="Calibri"/>
          <w:sz w:val="24"/>
          <w:szCs w:val="24"/>
          <w:lang w:bidi="en-US"/>
        </w:rPr>
        <w:t>Use of logos, branding, and other trademarks of the EDD are only permitted with prior approval. Grantees must avoid intentionally or unintentionally giving the appearance of being staff</w:t>
      </w:r>
      <w:r w:rsidR="00BD52DB" w:rsidRPr="007E650E">
        <w:rPr>
          <w:rFonts w:ascii="Calibri" w:hAnsi="Calibri" w:cs="Calibri"/>
          <w:sz w:val="24"/>
          <w:szCs w:val="24"/>
          <w:lang w:bidi="en-US"/>
        </w:rPr>
        <w:t xml:space="preserve"> or representatives</w:t>
      </w:r>
      <w:r w:rsidRPr="007E650E">
        <w:rPr>
          <w:rFonts w:ascii="Calibri" w:hAnsi="Calibri" w:cs="Calibri"/>
          <w:sz w:val="24"/>
          <w:szCs w:val="24"/>
          <w:lang w:bidi="en-US"/>
        </w:rPr>
        <w:t xml:space="preserve"> of the EDD while performing allowable grant activities.</w:t>
      </w:r>
    </w:p>
    <w:p w14:paraId="241F47AF" w14:textId="77777777" w:rsidR="001F19F2" w:rsidRPr="007E650E" w:rsidRDefault="001F19F2">
      <w:pPr>
        <w:rPr>
          <w:rFonts w:ascii="Calibri" w:eastAsia="Times New Roman" w:hAnsi="Calibri" w:cs="Calibri"/>
          <w:b/>
          <w:bCs/>
          <w:color w:val="00587C"/>
          <w:kern w:val="0"/>
          <w:sz w:val="24"/>
          <w:szCs w:val="24"/>
          <w14:ligatures w14:val="none"/>
        </w:rPr>
      </w:pPr>
    </w:p>
    <w:p w14:paraId="1B5E5ADE" w14:textId="0F83952C" w:rsidR="008544AA" w:rsidRPr="007E650E" w:rsidRDefault="008E506B" w:rsidP="00F470F1">
      <w:pPr>
        <w:pStyle w:val="Heading2"/>
        <w:tabs>
          <w:tab w:val="left" w:pos="360"/>
        </w:tabs>
        <w:ind w:left="0" w:firstLine="0"/>
      </w:pPr>
      <w:r w:rsidRPr="007E650E">
        <w:t xml:space="preserve"> </w:t>
      </w:r>
      <w:bookmarkStart w:id="39" w:name="_Toc195189586"/>
      <w:r w:rsidR="008544AA" w:rsidRPr="007E650E">
        <w:t>Application and Program Requirements</w:t>
      </w:r>
      <w:bookmarkEnd w:id="37"/>
      <w:bookmarkEnd w:id="39"/>
    </w:p>
    <w:p w14:paraId="0DD0C2C7" w14:textId="77777777" w:rsidR="008544AA" w:rsidRPr="007E650E" w:rsidRDefault="008544AA" w:rsidP="00905691">
      <w:pPr>
        <w:spacing w:after="0"/>
        <w:rPr>
          <w:rFonts w:cstheme="minorHAnsi"/>
        </w:rPr>
      </w:pPr>
    </w:p>
    <w:p w14:paraId="02A1D608" w14:textId="5C998D3D" w:rsidR="008544AA" w:rsidRPr="007E650E" w:rsidRDefault="008544AA" w:rsidP="00F470F1">
      <w:pPr>
        <w:pStyle w:val="BodyText"/>
      </w:pPr>
      <w:r w:rsidRPr="007E650E">
        <w:rPr>
          <w:lang w:val="en-US"/>
        </w:rPr>
        <w:t>All proposals must adhere to proposal requirements, utilize the required format, and include all requested information and attachments. Incomplete submissions will be deemed non-responsive. Proposals that do not meet the minimum requirements will not be scored</w:t>
      </w:r>
      <w:r w:rsidRPr="007E650E">
        <w:rPr>
          <w:b/>
          <w:bCs/>
          <w:lang w:val="en-US"/>
        </w:rPr>
        <w:t xml:space="preserve"> </w:t>
      </w:r>
      <w:r w:rsidRPr="007E650E">
        <w:rPr>
          <w:lang w:val="en-US"/>
        </w:rPr>
        <w:t>or considered for funding. Refer to Appendix A for guidance on how to properly complete, format, and submit all elements of the proposal package.</w:t>
      </w:r>
      <w:bookmarkStart w:id="40" w:name="_a0vtydhghvsg"/>
      <w:bookmarkEnd w:id="40"/>
    </w:p>
    <w:p w14:paraId="34D6DB3A" w14:textId="77777777" w:rsidR="008544AA" w:rsidRPr="007E650E" w:rsidRDefault="008544AA" w:rsidP="00CF0D6C">
      <w:pPr>
        <w:pStyle w:val="Heading3"/>
        <w:numPr>
          <w:ilvl w:val="0"/>
          <w:numId w:val="8"/>
        </w:numPr>
      </w:pPr>
      <w:bookmarkStart w:id="41" w:name="_Toc117246158"/>
      <w:bookmarkStart w:id="42" w:name="_Toc117246914"/>
      <w:bookmarkStart w:id="43" w:name="_Toc167356421"/>
      <w:bookmarkStart w:id="44" w:name="_Toc195189587"/>
      <w:r w:rsidRPr="007E650E">
        <w:t>Required Exhibits and Attachments</w:t>
      </w:r>
      <w:bookmarkEnd w:id="41"/>
      <w:bookmarkEnd w:id="42"/>
      <w:bookmarkEnd w:id="43"/>
      <w:bookmarkEnd w:id="44"/>
    </w:p>
    <w:p w14:paraId="31A507DA" w14:textId="4B2B550D" w:rsidR="008544AA" w:rsidRPr="007E650E" w:rsidRDefault="008544AA" w:rsidP="00F470F1">
      <w:pPr>
        <w:pStyle w:val="ListParagraph"/>
      </w:pPr>
      <w:bookmarkStart w:id="45" w:name="_aq99vfy3uohu"/>
      <w:bookmarkEnd w:id="45"/>
      <w:r w:rsidRPr="007E650E">
        <w:t>Cover/Signature Page</w:t>
      </w:r>
    </w:p>
    <w:p w14:paraId="232B107C" w14:textId="586ABA39" w:rsidR="008544AA" w:rsidRPr="007E650E" w:rsidRDefault="008544AA" w:rsidP="00F470F1">
      <w:pPr>
        <w:pStyle w:val="ListParagraph"/>
      </w:pPr>
      <w:r w:rsidRPr="007E650E">
        <w:t>Executive Summary</w:t>
      </w:r>
    </w:p>
    <w:p w14:paraId="46243A2A" w14:textId="77777777" w:rsidR="008544AA" w:rsidRPr="007E650E" w:rsidRDefault="008544AA" w:rsidP="00F470F1">
      <w:pPr>
        <w:pStyle w:val="ListParagraph"/>
      </w:pPr>
      <w:r w:rsidRPr="007E650E">
        <w:t>Exhibit A Project Narrative</w:t>
      </w:r>
    </w:p>
    <w:p w14:paraId="76D84448" w14:textId="77777777" w:rsidR="008544AA" w:rsidRPr="007E650E" w:rsidRDefault="008544AA" w:rsidP="00F470F1">
      <w:pPr>
        <w:pStyle w:val="ListParagraph"/>
      </w:pPr>
      <w:r w:rsidRPr="007E650E">
        <w:t>Exhibit F Budget Summary</w:t>
      </w:r>
    </w:p>
    <w:p w14:paraId="61C074FE" w14:textId="11770922" w:rsidR="008544AA" w:rsidRPr="007E650E" w:rsidRDefault="008544AA" w:rsidP="00F470F1">
      <w:pPr>
        <w:pStyle w:val="ListParagraph"/>
      </w:pPr>
      <w:r w:rsidRPr="007E650E">
        <w:lastRenderedPageBreak/>
        <w:t>Exhibit F2 Budget Narrative</w:t>
      </w:r>
    </w:p>
    <w:p w14:paraId="2F551169" w14:textId="77777777" w:rsidR="008544AA" w:rsidRPr="007E650E" w:rsidRDefault="008544AA" w:rsidP="00F470F1">
      <w:pPr>
        <w:pStyle w:val="ListParagraph"/>
      </w:pPr>
      <w:r w:rsidRPr="007E650E">
        <w:t>Exhibit G Supplemental Budget (if applicable)</w:t>
      </w:r>
    </w:p>
    <w:p w14:paraId="1C17D8EC" w14:textId="02BA0AB7" w:rsidR="008544AA" w:rsidRPr="007E650E" w:rsidRDefault="008544AA" w:rsidP="00F470F1">
      <w:pPr>
        <w:pStyle w:val="Heading3"/>
        <w:rPr>
          <w:rFonts w:eastAsia="Arial"/>
        </w:rPr>
      </w:pPr>
      <w:bookmarkStart w:id="46" w:name="_Toc195189588"/>
      <w:bookmarkStart w:id="47" w:name="_Toc117246161"/>
      <w:bookmarkStart w:id="48" w:name="_Toc117246917"/>
      <w:bookmarkStart w:id="49" w:name="_Toc167356422"/>
      <w:r w:rsidRPr="007E650E">
        <w:rPr>
          <w:rFonts w:eastAsia="Arial"/>
        </w:rPr>
        <w:t>Registration with the System for Award Management</w:t>
      </w:r>
      <w:bookmarkEnd w:id="46"/>
      <w:r w:rsidRPr="007E650E">
        <w:rPr>
          <w:rFonts w:eastAsia="Arial"/>
        </w:rPr>
        <w:t xml:space="preserve"> </w:t>
      </w:r>
      <w:bookmarkEnd w:id="47"/>
      <w:bookmarkEnd w:id="48"/>
      <w:bookmarkEnd w:id="49"/>
    </w:p>
    <w:p w14:paraId="59E99E6A" w14:textId="512AFEB4" w:rsidR="008544AA" w:rsidRPr="007E650E" w:rsidRDefault="008544AA" w:rsidP="00F470F1">
      <w:pPr>
        <w:pStyle w:val="BodyText"/>
      </w:pPr>
      <w:bookmarkStart w:id="50" w:name="_q48vmwatn9qq"/>
      <w:bookmarkEnd w:id="50"/>
      <w:r w:rsidRPr="007E650E">
        <w:rPr>
          <w:lang w:val="en-US"/>
        </w:rPr>
        <w:t xml:space="preserve">Applicants must register with the </w:t>
      </w:r>
      <w:r w:rsidR="00E21BF4" w:rsidRPr="007E650E">
        <w:rPr>
          <w:lang w:val="en-US"/>
        </w:rPr>
        <w:t>System for Award Management (</w:t>
      </w:r>
      <w:r w:rsidRPr="007E650E">
        <w:rPr>
          <w:lang w:val="en-US"/>
        </w:rPr>
        <w:t>SAM</w:t>
      </w:r>
      <w:r w:rsidR="00E21BF4" w:rsidRPr="007E650E">
        <w:rPr>
          <w:lang w:val="en-US"/>
        </w:rPr>
        <w:t>)</w:t>
      </w:r>
      <w:r w:rsidRPr="007E650E">
        <w:rPr>
          <w:lang w:val="en-US"/>
        </w:rPr>
        <w:t xml:space="preserve"> </w:t>
      </w:r>
      <w:proofErr w:type="gramStart"/>
      <w:r w:rsidRPr="007E650E">
        <w:rPr>
          <w:lang w:val="en-US"/>
        </w:rPr>
        <w:t>in order to</w:t>
      </w:r>
      <w:proofErr w:type="gramEnd"/>
      <w:r w:rsidRPr="007E650E">
        <w:rPr>
          <w:lang w:val="en-US"/>
        </w:rPr>
        <w:t xml:space="preserve"> apply for and receive funding for this initiative. </w:t>
      </w:r>
    </w:p>
    <w:p w14:paraId="3111ADA1" w14:textId="76C752E5" w:rsidR="008544AA" w:rsidRPr="007E650E" w:rsidRDefault="008544AA" w:rsidP="00F470F1">
      <w:pPr>
        <w:pStyle w:val="BodyText"/>
      </w:pPr>
      <w:r w:rsidRPr="007E650E">
        <w:rPr>
          <w:b/>
          <w:bCs/>
          <w:lang w:val="en-US"/>
        </w:rPr>
        <w:t>Note</w:t>
      </w:r>
      <w:r w:rsidR="00756B6F" w:rsidRPr="007E650E">
        <w:rPr>
          <w:lang w:val="en-US"/>
        </w:rPr>
        <w:t xml:space="preserve"> –</w:t>
      </w:r>
      <w:r w:rsidRPr="007E650E">
        <w:rPr>
          <w:lang w:val="en-US"/>
        </w:rPr>
        <w:t xml:space="preserve"> SAM registration must be reviewed and updated every 12 months </w:t>
      </w:r>
      <w:proofErr w:type="gramStart"/>
      <w:r w:rsidRPr="007E650E">
        <w:rPr>
          <w:lang w:val="en-US"/>
        </w:rPr>
        <w:t>in order to</w:t>
      </w:r>
      <w:proofErr w:type="gramEnd"/>
      <w:r w:rsidRPr="007E650E">
        <w:rPr>
          <w:lang w:val="en-US"/>
        </w:rPr>
        <w:t xml:space="preserve"> keep accounts current, accurate, and complete in the SAM database. To remain eligible for funding, applicants must maintain an active registration in the SAM database.</w:t>
      </w:r>
      <w:r w:rsidR="005551BA" w:rsidRPr="007E650E">
        <w:rPr>
          <w:lang w:val="en-US"/>
        </w:rPr>
        <w:t xml:space="preserve"> </w:t>
      </w:r>
      <w:r w:rsidRPr="007E650E">
        <w:rPr>
          <w:lang w:val="en-US"/>
        </w:rPr>
        <w:t xml:space="preserve">Applicants must ensure that this information is updated before </w:t>
      </w:r>
      <w:proofErr w:type="gramStart"/>
      <w:r w:rsidRPr="007E650E">
        <w:rPr>
          <w:lang w:val="en-US"/>
        </w:rPr>
        <w:t>submitting an application</w:t>
      </w:r>
      <w:proofErr w:type="gramEnd"/>
      <w:r w:rsidRPr="007E650E">
        <w:rPr>
          <w:lang w:val="en-US"/>
        </w:rPr>
        <w:t xml:space="preserve"> for funding. The process of registration and/or renewal can take several weeks to complete and requires privileged information, including financial and banking information, which may take time to obtain. It is the applicant</w:t>
      </w:r>
      <w:r w:rsidR="000D5ACF">
        <w:rPr>
          <w:lang w:val="en-US"/>
        </w:rPr>
        <w:t>'</w:t>
      </w:r>
      <w:r w:rsidRPr="007E650E">
        <w:rPr>
          <w:lang w:val="en-US"/>
        </w:rPr>
        <w:t xml:space="preserve">s responsibility to have all information up to date and accessible through the SAM prior to submitting the application. Visit the </w:t>
      </w:r>
      <w:hyperlink r:id="rId20">
        <w:r w:rsidRPr="007E650E">
          <w:rPr>
            <w:color w:val="0070C0"/>
            <w:u w:val="single"/>
            <w:lang w:val="en-US"/>
          </w:rPr>
          <w:t>SAM website</w:t>
        </w:r>
      </w:hyperlink>
      <w:r w:rsidRPr="007E650E">
        <w:rPr>
          <w:lang w:val="en-US"/>
        </w:rPr>
        <w:t xml:space="preserve"> for more information about registration requirements. </w:t>
      </w:r>
    </w:p>
    <w:p w14:paraId="6A0A46B5" w14:textId="3154EBDB" w:rsidR="008544AA" w:rsidRPr="007E650E" w:rsidRDefault="008544AA" w:rsidP="00F470F1">
      <w:pPr>
        <w:pStyle w:val="Heading3"/>
        <w:rPr>
          <w:rFonts w:eastAsia="Arial"/>
        </w:rPr>
      </w:pPr>
      <w:bookmarkStart w:id="51" w:name="_hmgdq2mssbvk"/>
      <w:bookmarkStart w:id="52" w:name="_Toc117246163"/>
      <w:bookmarkStart w:id="53" w:name="_Toc117246919"/>
      <w:bookmarkStart w:id="54" w:name="_Toc167356424"/>
      <w:bookmarkStart w:id="55" w:name="_Toc195189589"/>
      <w:bookmarkEnd w:id="51"/>
      <w:r w:rsidRPr="007E650E">
        <w:rPr>
          <w:rFonts w:eastAsia="Arial"/>
        </w:rPr>
        <w:t>Performance</w:t>
      </w:r>
      <w:bookmarkEnd w:id="52"/>
      <w:bookmarkEnd w:id="53"/>
      <w:bookmarkEnd w:id="54"/>
      <w:bookmarkEnd w:id="55"/>
    </w:p>
    <w:p w14:paraId="266FEE75" w14:textId="0FE127D6" w:rsidR="008544AA" w:rsidRPr="007E650E" w:rsidRDefault="00A42E54" w:rsidP="00EC4F36">
      <w:pPr>
        <w:pStyle w:val="BodyText"/>
      </w:pPr>
      <w:r w:rsidRPr="007E650E">
        <w:t>Each proposal must describe specific program goals and objectives to enable EDD and the grantee to measure performance.</w:t>
      </w:r>
    </w:p>
    <w:p w14:paraId="574DBBE9" w14:textId="5431C222" w:rsidR="008544AA" w:rsidRPr="007E650E" w:rsidRDefault="008544AA" w:rsidP="004D4C1C">
      <w:pPr>
        <w:pStyle w:val="Heading3"/>
      </w:pPr>
      <w:bookmarkStart w:id="56" w:name="_Toc167356426"/>
      <w:bookmarkStart w:id="57" w:name="_Toc195189590"/>
      <w:r w:rsidRPr="007E650E">
        <w:t>Funding Request</w:t>
      </w:r>
      <w:bookmarkEnd w:id="56"/>
      <w:bookmarkEnd w:id="57"/>
    </w:p>
    <w:p w14:paraId="6A759686" w14:textId="39FA7DDE" w:rsidR="00DA6B42" w:rsidRPr="007E650E" w:rsidRDefault="008544AA" w:rsidP="01476CFA">
      <w:pPr>
        <w:pStyle w:val="BodyText"/>
        <w:rPr>
          <w:lang w:val="en-US" w:bidi="en-US"/>
        </w:rPr>
      </w:pPr>
      <w:r w:rsidRPr="007E650E">
        <w:rPr>
          <w:lang w:val="en-US"/>
        </w:rPr>
        <w:t xml:space="preserve">Funding timing and decisions are based on the availability of funds. Estimated amounts and dates are not final and are subject to change. </w:t>
      </w:r>
      <w:r w:rsidRPr="007E650E">
        <w:rPr>
          <w:lang w:val="en-US" w:bidi="en-US"/>
        </w:rPr>
        <w:t xml:space="preserve">A total of </w:t>
      </w:r>
      <w:r w:rsidRPr="007E650E">
        <w:rPr>
          <w:rFonts w:eastAsia="Times New Roman"/>
          <w:lang w:val="en-US"/>
        </w:rPr>
        <w:t>$</w:t>
      </w:r>
      <w:r w:rsidR="004D4C1C" w:rsidRPr="007E650E">
        <w:rPr>
          <w:rFonts w:eastAsia="Times New Roman"/>
          <w:lang w:val="en-US"/>
        </w:rPr>
        <w:t>2.7</w:t>
      </w:r>
      <w:r w:rsidRPr="007E650E">
        <w:rPr>
          <w:rFonts w:eastAsia="Times New Roman"/>
          <w:lang w:val="en-US"/>
        </w:rPr>
        <w:t xml:space="preserve"> million </w:t>
      </w:r>
      <w:r w:rsidRPr="007E650E">
        <w:rPr>
          <w:lang w:val="en-US" w:bidi="en-US"/>
        </w:rPr>
        <w:t>in WIOA Governor</w:t>
      </w:r>
      <w:r w:rsidR="000D5ACF">
        <w:rPr>
          <w:lang w:val="en-US" w:bidi="en-US"/>
        </w:rPr>
        <w:t>'</w:t>
      </w:r>
      <w:r w:rsidRPr="007E650E">
        <w:rPr>
          <w:lang w:val="en-US" w:bidi="en-US"/>
        </w:rPr>
        <w:t xml:space="preserve">s Discretionary Funds are available through this SFP. </w:t>
      </w:r>
      <w:r w:rsidR="00DA6B42" w:rsidRPr="007E650E">
        <w:rPr>
          <w:lang w:val="en-US" w:bidi="en-US"/>
        </w:rPr>
        <w:t>The total funding is contingent upon federal funding being awarded to California and the EDD Director</w:t>
      </w:r>
      <w:r w:rsidR="000D5ACF">
        <w:rPr>
          <w:lang w:val="en-US" w:bidi="en-US"/>
        </w:rPr>
        <w:t>'</w:t>
      </w:r>
      <w:r w:rsidR="00DA6B42" w:rsidRPr="007E650E">
        <w:rPr>
          <w:lang w:val="en-US" w:bidi="en-US"/>
        </w:rPr>
        <w:t xml:space="preserve">s approval. </w:t>
      </w:r>
    </w:p>
    <w:p w14:paraId="08475BD6" w14:textId="596EA16F" w:rsidR="00DA6B42" w:rsidRPr="007E650E" w:rsidRDefault="00DA6B42" w:rsidP="01476CFA">
      <w:pPr>
        <w:pStyle w:val="BodyText"/>
        <w:rPr>
          <w:lang w:val="en-US" w:bidi="en-US"/>
        </w:rPr>
      </w:pPr>
      <w:r w:rsidRPr="007E650E">
        <w:rPr>
          <w:lang w:val="en-US" w:bidi="en-US"/>
        </w:rPr>
        <w:t>Determination of program funding requested should consider factors specific to the service area, target population, and reasonable costs for proposed services. For reference, when considering a proposed budget and number of participants, the average cost per participant in previous DHH</w:t>
      </w:r>
      <w:r w:rsidR="00D66259" w:rsidRPr="007E650E">
        <w:rPr>
          <w:lang w:val="en-US" w:bidi="en-US"/>
        </w:rPr>
        <w:t xml:space="preserve"> SFPs</w:t>
      </w:r>
      <w:r w:rsidRPr="007E650E">
        <w:rPr>
          <w:lang w:val="en-US" w:bidi="en-US"/>
        </w:rPr>
        <w:t xml:space="preserve"> was $4000. </w:t>
      </w:r>
    </w:p>
    <w:p w14:paraId="5C2EC4F1" w14:textId="1CF5443B" w:rsidR="008544AA" w:rsidRPr="007E650E" w:rsidRDefault="008544AA" w:rsidP="01476CFA">
      <w:pPr>
        <w:pStyle w:val="BodyText"/>
        <w:rPr>
          <w:rFonts w:eastAsia="Times New Roman"/>
          <w:lang w:val="en-US"/>
        </w:rPr>
      </w:pPr>
      <w:r w:rsidRPr="007E650E">
        <w:rPr>
          <w:rFonts w:eastAsia="Times New Roman"/>
          <w:lang w:val="en-US"/>
        </w:rPr>
        <w:t xml:space="preserve">Final awards and participant counts may be adjusted depending on the number of successfully submitted proposals. The state expects that the performance period for </w:t>
      </w:r>
      <w:proofErr w:type="gramStart"/>
      <w:r w:rsidRPr="007E650E">
        <w:rPr>
          <w:rFonts w:eastAsia="Times New Roman"/>
          <w:lang w:val="en-US"/>
        </w:rPr>
        <w:t>participating</w:t>
      </w:r>
      <w:proofErr w:type="gramEnd"/>
      <w:r w:rsidRPr="007E650E">
        <w:rPr>
          <w:rFonts w:eastAsia="Times New Roman"/>
          <w:lang w:val="en-US"/>
        </w:rPr>
        <w:t xml:space="preserve"> projects funded under this SFP will be </w:t>
      </w:r>
      <w:r w:rsidR="00F642D6" w:rsidRPr="007E650E">
        <w:rPr>
          <w:rFonts w:eastAsia="Times New Roman"/>
          <w:lang w:val="en-US"/>
        </w:rPr>
        <w:t>12</w:t>
      </w:r>
      <w:r w:rsidRPr="007E650E">
        <w:rPr>
          <w:rFonts w:eastAsia="Times New Roman"/>
          <w:lang w:val="en-US"/>
        </w:rPr>
        <w:t xml:space="preserve"> months. Grant funds will not be available for longer than </w:t>
      </w:r>
      <w:r w:rsidR="00F642D6" w:rsidRPr="007E650E">
        <w:rPr>
          <w:rFonts w:eastAsia="Times New Roman"/>
          <w:lang w:val="en-US"/>
        </w:rPr>
        <w:t xml:space="preserve">12 </w:t>
      </w:r>
      <w:r w:rsidRPr="007E650E">
        <w:rPr>
          <w:rFonts w:eastAsia="Times New Roman"/>
          <w:lang w:val="en-US"/>
        </w:rPr>
        <w:t xml:space="preserve">months. No obligation or commitment of funds will be allowed before or beyond the grant period of performance. Any grant funds not expended during the grant agreement period shall be returned to the state. </w:t>
      </w:r>
    </w:p>
    <w:p w14:paraId="649C65C1" w14:textId="69F7E4A5" w:rsidR="008544AA" w:rsidRPr="007E650E" w:rsidRDefault="008544AA" w:rsidP="00F470F1">
      <w:pPr>
        <w:pStyle w:val="Heading3"/>
      </w:pPr>
      <w:bookmarkStart w:id="58" w:name="_Toc167356427"/>
      <w:bookmarkStart w:id="59" w:name="_Toc195189591"/>
      <w:r w:rsidRPr="007E650E">
        <w:lastRenderedPageBreak/>
        <w:t>Leveraging Resources</w:t>
      </w:r>
      <w:bookmarkEnd w:id="58"/>
      <w:bookmarkEnd w:id="59"/>
    </w:p>
    <w:p w14:paraId="725ABEF5" w14:textId="69740F7B" w:rsidR="00331F53" w:rsidRPr="007E650E" w:rsidRDefault="00331F53" w:rsidP="00A42E54">
      <w:pPr>
        <w:pStyle w:val="BodyText"/>
      </w:pPr>
      <w:r w:rsidRPr="007E650E">
        <w:t>There is no leverage resource requirement; therefore, Commitment Letters are only required if applicants are providing leveraged resources.</w:t>
      </w:r>
      <w:r w:rsidRPr="007E650E">
        <w:rPr>
          <w:lang w:val="en-US"/>
        </w:rPr>
        <w:t xml:space="preserve"> Please refer to Appendix A for further information on submitting Commitment Letters.</w:t>
      </w:r>
    </w:p>
    <w:p w14:paraId="1EFF61F2" w14:textId="0365C59D" w:rsidR="00A42E54" w:rsidRPr="007E650E" w:rsidRDefault="00A42E54" w:rsidP="00A42E54">
      <w:pPr>
        <w:pStyle w:val="BodyText"/>
      </w:pPr>
      <w:r w:rsidRPr="007E650E">
        <w:t xml:space="preserve">Leverage is not defined in regulation or any related administrative requirements. For EDD-funded programs, the term means all resources the recipient uses to support grant activity and outcomes, regardless of whether those resources meet the standards required for </w:t>
      </w:r>
      <w:proofErr w:type="gramStart"/>
      <w:r w:rsidRPr="007E650E">
        <w:t>match</w:t>
      </w:r>
      <w:proofErr w:type="gramEnd"/>
      <w:r w:rsidRPr="007E650E">
        <w:t>.</w:t>
      </w:r>
    </w:p>
    <w:p w14:paraId="465D55F5" w14:textId="77777777" w:rsidR="00A42E54" w:rsidRPr="007E650E" w:rsidRDefault="00A42E54" w:rsidP="00A42E54">
      <w:pPr>
        <w:pStyle w:val="BodyText"/>
      </w:pPr>
      <w:r w:rsidRPr="007E650E">
        <w:t xml:space="preserve">There are no required </w:t>
      </w:r>
      <w:proofErr w:type="gramStart"/>
      <w:r w:rsidRPr="007E650E">
        <w:t>leveraged</w:t>
      </w:r>
      <w:proofErr w:type="gramEnd"/>
      <w:r w:rsidRPr="007E650E">
        <w:t xml:space="preserve"> resources for this project. However, applicants are encouraged to leverage human capital and utilize other resources to maximize the project's success. Leveraged resources can come from various sources, including but not limited to businesses, industry associations, labor organizations, community-based organizations, education and training providers, and/or federal, state, and local government programs.</w:t>
      </w:r>
    </w:p>
    <w:p w14:paraId="622575C4" w14:textId="64E4E625" w:rsidR="005F6152" w:rsidRPr="007E650E" w:rsidRDefault="00A42E54" w:rsidP="00A42E54">
      <w:pPr>
        <w:pStyle w:val="BodyText"/>
      </w:pPr>
      <w:r w:rsidRPr="007E650E">
        <w:t xml:space="preserve">Leveraged resources can include non-cash or third-party in-kind contributions to </w:t>
      </w:r>
      <w:proofErr w:type="gramStart"/>
      <w:r w:rsidRPr="007E650E">
        <w:t>share in</w:t>
      </w:r>
      <w:proofErr w:type="gramEnd"/>
      <w:r w:rsidRPr="007E650E">
        <w:t xml:space="preserve"> infrastructure costs. The definition of </w:t>
      </w:r>
      <w:r w:rsidR="000D5ACF">
        <w:t>"</w:t>
      </w:r>
      <w:r w:rsidRPr="007E650E">
        <w:t>in-kind resources</w:t>
      </w:r>
      <w:r w:rsidR="000D5ACF">
        <w:t>"</w:t>
      </w:r>
      <w:r w:rsidRPr="007E650E">
        <w:t xml:space="preserve"> is a contribution of non-cash resources explicitly used for project activities. Examples include but are not limited to donated personnel, services, and use of equipment or space. See Appendix A for more information on adequately documenting pledge contribution agreements.</w:t>
      </w:r>
    </w:p>
    <w:p w14:paraId="5FC21400" w14:textId="7C7F372E" w:rsidR="008544AA" w:rsidRPr="007E650E" w:rsidRDefault="00A42E54" w:rsidP="00F470F1">
      <w:pPr>
        <w:pStyle w:val="BodyText"/>
      </w:pPr>
      <w:r w:rsidRPr="007E650E">
        <w:t xml:space="preserve">All leveraged resources will be subject to the reporting requirements contained in Workforce Services Directive </w:t>
      </w:r>
      <w:r w:rsidRPr="007E650E">
        <w:rPr>
          <w:i/>
          <w:iCs/>
        </w:rPr>
        <w:t>Monthly and Quarterly Financial Reporting Requirements</w:t>
      </w:r>
      <w:r w:rsidRPr="007E650E">
        <w:t xml:space="preserve"> (</w:t>
      </w:r>
      <w:hyperlink r:id="rId21" w:history="1">
        <w:r w:rsidRPr="007E650E">
          <w:rPr>
            <w:color w:val="0070C0"/>
            <w:u w:val="single"/>
          </w:rPr>
          <w:t>WSD19-05</w:t>
        </w:r>
      </w:hyperlink>
      <w:r w:rsidRPr="007E650E">
        <w:t xml:space="preserve">) (December 4, 2019) and Title 2 </w:t>
      </w:r>
      <w:r w:rsidRPr="007E650E">
        <w:rPr>
          <w:i/>
          <w:iCs/>
        </w:rPr>
        <w:t>Code of Federal Regulations</w:t>
      </w:r>
      <w:r w:rsidRPr="007E650E">
        <w:t xml:space="preserve"> (CFR) Part 200: Uniform Administrative Requirements, Cost Principles, and Audit Requirements for Federal Awards (Uniform Guidance), Section </w:t>
      </w:r>
      <w:hyperlink r:id="rId22" w:history="1">
        <w:r w:rsidRPr="007E650E">
          <w:rPr>
            <w:color w:val="0070C0"/>
            <w:u w:val="single"/>
          </w:rPr>
          <w:t>200.306</w:t>
        </w:r>
      </w:hyperlink>
      <w:r w:rsidRPr="007E650E">
        <w:rPr>
          <w:color w:val="0070C0"/>
        </w:rPr>
        <w:t xml:space="preserve"> </w:t>
      </w:r>
      <w:r w:rsidRPr="007E650E">
        <w:t>Cost sharing or leveraging.</w:t>
      </w:r>
      <w:r w:rsidRPr="007E650E">
        <w:rPr>
          <w:vertAlign w:val="superscript"/>
          <w:lang w:val="en-US"/>
        </w:rPr>
        <w:footnoteReference w:id="2"/>
      </w:r>
    </w:p>
    <w:p w14:paraId="68F5E499" w14:textId="77777777" w:rsidR="008544AA" w:rsidRPr="007E650E" w:rsidRDefault="008544AA" w:rsidP="00F470F1">
      <w:pPr>
        <w:pStyle w:val="Heading3"/>
      </w:pPr>
      <w:bookmarkStart w:id="60" w:name="_Toc167356428"/>
      <w:bookmarkStart w:id="61" w:name="_Toc195189592"/>
      <w:r w:rsidRPr="007E650E">
        <w:t>Allowable Uses of Funds</w:t>
      </w:r>
      <w:bookmarkEnd w:id="60"/>
      <w:bookmarkEnd w:id="61"/>
    </w:p>
    <w:p w14:paraId="2965D78C" w14:textId="7F2A9635" w:rsidR="004067F7" w:rsidRPr="007E650E" w:rsidRDefault="004067F7" w:rsidP="004067F7">
      <w:pPr>
        <w:pStyle w:val="BodyText"/>
        <w:rPr>
          <w:lang w:val="en-US"/>
        </w:rPr>
      </w:pPr>
      <w:r w:rsidRPr="007E650E">
        <w:rPr>
          <w:lang w:val="en-US"/>
        </w:rPr>
        <w:t>The use of funds awarded in this SFP is governed by Wagner-Peyser 10 percent Governor</w:t>
      </w:r>
      <w:r w:rsidR="000D5ACF">
        <w:rPr>
          <w:lang w:val="en-US"/>
        </w:rPr>
        <w:t>'</w:t>
      </w:r>
      <w:r w:rsidRPr="007E650E">
        <w:rPr>
          <w:lang w:val="en-US"/>
        </w:rPr>
        <w:t>s Discretionary fund guidelines, state and federal directives, and the applicable uniform administrative requirements, cost principles, and audit requirements included in the appropriate circulars or rules of the Office of Management and Budget (WIOA Section 184[a][2] and [3]).</w:t>
      </w:r>
    </w:p>
    <w:p w14:paraId="10C94F2F" w14:textId="77777777" w:rsidR="004067F7" w:rsidRPr="007E650E" w:rsidRDefault="004067F7" w:rsidP="004067F7">
      <w:pPr>
        <w:pStyle w:val="BodyText"/>
        <w:rPr>
          <w:lang w:val="en-US"/>
        </w:rPr>
      </w:pPr>
      <w:r w:rsidRPr="007E650E">
        <w:rPr>
          <w:lang w:val="en-US"/>
        </w:rPr>
        <w:t>Grantees will be responsible for any charges related to the secure operation of videophones. This includes, but is not limited to, Internet Service Provider, installing upgraded equipment for expansion, and related functions. Services related to the videophones must be coordinated with the EDD Information Technology Branch staff.</w:t>
      </w:r>
    </w:p>
    <w:p w14:paraId="1E4E5B1D" w14:textId="77777777" w:rsidR="004067F7" w:rsidRPr="007E650E" w:rsidRDefault="004067F7" w:rsidP="004067F7">
      <w:pPr>
        <w:pStyle w:val="BodyText"/>
        <w:rPr>
          <w:lang w:val="en-US"/>
        </w:rPr>
      </w:pPr>
      <w:r w:rsidRPr="007E650E">
        <w:rPr>
          <w:lang w:val="en-US"/>
        </w:rPr>
        <w:lastRenderedPageBreak/>
        <w:t xml:space="preserve">On occasions, deaf and hard of hearing staff may be called on to provide interpreting services for deaf and hard of hearing individuals seeking assistance with matters related to Unemployment Insurance, Disability Insurance, and other services that are available, or being provided by the EDD and partner agencies located in the AJCC. These clients are not required to </w:t>
      </w:r>
      <w:proofErr w:type="gramStart"/>
      <w:r w:rsidRPr="007E650E">
        <w:rPr>
          <w:lang w:val="en-US"/>
        </w:rPr>
        <w:t>be enrolled</w:t>
      </w:r>
      <w:proofErr w:type="gramEnd"/>
      <w:r w:rsidRPr="007E650E">
        <w:rPr>
          <w:lang w:val="en-US"/>
        </w:rPr>
        <w:t xml:space="preserve"> or have active status in the DHH program. Grant funds may be used to cover these activities.</w:t>
      </w:r>
    </w:p>
    <w:p w14:paraId="01CF32DC" w14:textId="4043521C" w:rsidR="004067F7" w:rsidRPr="007E650E" w:rsidRDefault="004067F7" w:rsidP="004067F7">
      <w:pPr>
        <w:pStyle w:val="BodyText"/>
        <w:rPr>
          <w:lang w:val="en-US"/>
        </w:rPr>
      </w:pPr>
      <w:r w:rsidRPr="007E650E">
        <w:rPr>
          <w:lang w:val="en-US"/>
        </w:rPr>
        <w:t>In the event of an interpreting scheduling conflict or the temporary vacancy of an available deaf and hard of hearing interpreter, grantees may sub-contract with a local reputable interpreting agency. These services will be reimbursed through the grantee</w:t>
      </w:r>
      <w:r w:rsidR="000D5ACF">
        <w:rPr>
          <w:lang w:val="en-US"/>
        </w:rPr>
        <w:t>'</w:t>
      </w:r>
      <w:r w:rsidRPr="007E650E">
        <w:rPr>
          <w:lang w:val="en-US"/>
        </w:rPr>
        <w:t>s monthly expenditure (invoice) reports. Grantees should allocate a portion of their grant funds to interpreting services. Funds allocated for these expenses should not be used to cover long-term or extended DHH interpreting staff vacancies. Grantees are encouraged to negotiate with the interpreting agency to obtain a discounted fee for exclusive and repeat business.</w:t>
      </w:r>
    </w:p>
    <w:p w14:paraId="42D51B7D" w14:textId="77777777" w:rsidR="004067F7" w:rsidRPr="007E650E" w:rsidRDefault="004067F7" w:rsidP="004067F7">
      <w:pPr>
        <w:pStyle w:val="BodyText"/>
        <w:rPr>
          <w:lang w:val="en-US"/>
        </w:rPr>
      </w:pPr>
      <w:r w:rsidRPr="007E650E">
        <w:rPr>
          <w:lang w:val="en-US"/>
        </w:rPr>
        <w:t>Funds awarded under this SFP cannot be used to purchase real property or to construct buildings.</w:t>
      </w:r>
    </w:p>
    <w:p w14:paraId="28C79BBC" w14:textId="7EBEE483" w:rsidR="008544AA" w:rsidRPr="007E650E" w:rsidRDefault="004F250F" w:rsidP="004067F7">
      <w:pPr>
        <w:pStyle w:val="BodyText"/>
        <w:rPr>
          <w:lang w:val="en-US"/>
        </w:rPr>
      </w:pPr>
      <w:r w:rsidRPr="007E650E">
        <w:rPr>
          <w:lang w:val="en-US"/>
        </w:rPr>
        <w:t>For</w:t>
      </w:r>
      <w:r w:rsidR="00CA31A8" w:rsidRPr="007E650E">
        <w:rPr>
          <w:lang w:val="en-US"/>
        </w:rPr>
        <w:t xml:space="preserve"> Title I and III service category definitions and a comprehensive list of CalJOBS activity codes, see Workforce Services Directives </w:t>
      </w:r>
      <w:r w:rsidR="00CA31A8" w:rsidRPr="007E650E">
        <w:rPr>
          <w:i/>
          <w:iCs/>
          <w:lang w:val="en-US"/>
        </w:rPr>
        <w:t>CalJOBS Activity Codes</w:t>
      </w:r>
      <w:r w:rsidR="00CA31A8" w:rsidRPr="007E650E">
        <w:rPr>
          <w:lang w:val="en-US"/>
        </w:rPr>
        <w:t xml:space="preserve"> (October 10, 2024) (</w:t>
      </w:r>
      <w:hyperlink r:id="rId23" w:history="1">
        <w:r w:rsidR="00CA31A8" w:rsidRPr="007E650E">
          <w:rPr>
            <w:rStyle w:val="Hyperlink"/>
            <w:color w:val="0070C0"/>
            <w:lang w:val="en-US"/>
          </w:rPr>
          <w:t>WSD24-05</w:t>
        </w:r>
      </w:hyperlink>
      <w:r w:rsidR="00CA31A8" w:rsidRPr="007E650E">
        <w:rPr>
          <w:lang w:val="en-US"/>
        </w:rPr>
        <w:t>).</w:t>
      </w:r>
    </w:p>
    <w:p w14:paraId="162A7B38" w14:textId="77777777" w:rsidR="008544AA" w:rsidRPr="007E650E" w:rsidRDefault="008544AA" w:rsidP="00F470F1">
      <w:pPr>
        <w:pStyle w:val="Heading3"/>
      </w:pPr>
      <w:bookmarkStart w:id="62" w:name="_Toc167356429"/>
      <w:bookmarkStart w:id="63" w:name="_Toc195189593"/>
      <w:r w:rsidRPr="007E650E">
        <w:t>Administrative Cost Limits</w:t>
      </w:r>
      <w:bookmarkEnd w:id="62"/>
      <w:bookmarkEnd w:id="63"/>
    </w:p>
    <w:p w14:paraId="76C5CCA9" w14:textId="77777777" w:rsidR="008544AA" w:rsidRPr="007E650E" w:rsidRDefault="008544AA" w:rsidP="00905691">
      <w:pPr>
        <w:pStyle w:val="BodyText"/>
        <w:spacing w:after="0"/>
      </w:pPr>
      <w:r w:rsidRPr="007E650E">
        <w:t>A maximum of 10 percent of the total requested grant amount will be allowed for administrative costs. Refer to Appendix D for the definition of administrative costs.</w:t>
      </w:r>
    </w:p>
    <w:p w14:paraId="1D496DE0" w14:textId="7BB1060A" w:rsidR="008544AA" w:rsidRPr="007E650E" w:rsidRDefault="008544AA" w:rsidP="001F36C1">
      <w:pPr>
        <w:pStyle w:val="BodyText"/>
      </w:pPr>
      <w:bookmarkStart w:id="64" w:name="_Toc167356430"/>
    </w:p>
    <w:p w14:paraId="2508F53B" w14:textId="77777777" w:rsidR="008544AA" w:rsidRPr="007E650E" w:rsidRDefault="008544AA" w:rsidP="00F470F1">
      <w:pPr>
        <w:pStyle w:val="Heading2"/>
        <w:tabs>
          <w:tab w:val="left" w:pos="360"/>
        </w:tabs>
        <w:ind w:left="0" w:firstLine="0"/>
      </w:pPr>
      <w:bookmarkStart w:id="65" w:name="_Toc195189594"/>
      <w:r w:rsidRPr="007E650E">
        <w:t>Submission</w:t>
      </w:r>
      <w:bookmarkEnd w:id="64"/>
      <w:bookmarkEnd w:id="65"/>
    </w:p>
    <w:p w14:paraId="7EF714D1" w14:textId="77777777" w:rsidR="00544A1E" w:rsidRPr="007E650E" w:rsidRDefault="00544A1E" w:rsidP="00905691">
      <w:pPr>
        <w:pStyle w:val="BodyText"/>
        <w:spacing w:after="0"/>
      </w:pPr>
    </w:p>
    <w:p w14:paraId="230BBCED" w14:textId="5091A86C" w:rsidR="008544AA" w:rsidRPr="007E650E" w:rsidRDefault="008544AA" w:rsidP="00DD2DB0">
      <w:pPr>
        <w:pStyle w:val="BodyText"/>
      </w:pPr>
      <w:r w:rsidRPr="007E650E">
        <w:rPr>
          <w:lang w:val="en-US"/>
        </w:rPr>
        <w:t xml:space="preserve">Only one proposal will be accepted from each applicant. If the EDD receives more than one application from a single applicant, the first application received will be the only one accepted. Any subsequent submissions will be disqualified. </w:t>
      </w:r>
      <w:r w:rsidRPr="007E650E">
        <w:rPr>
          <w:b/>
          <w:bCs/>
          <w:lang w:val="en-US"/>
        </w:rPr>
        <w:t>The entire proposal must be submitted electronically by the deadline</w:t>
      </w:r>
      <w:r w:rsidRPr="007E650E">
        <w:rPr>
          <w:lang w:val="en-US"/>
        </w:rPr>
        <w:t>.</w:t>
      </w:r>
    </w:p>
    <w:p w14:paraId="145BA020" w14:textId="77777777" w:rsidR="008544AA" w:rsidRPr="007E650E" w:rsidRDefault="008544AA" w:rsidP="00CF0D6C">
      <w:pPr>
        <w:pStyle w:val="Heading3"/>
        <w:numPr>
          <w:ilvl w:val="0"/>
          <w:numId w:val="10"/>
        </w:numPr>
      </w:pPr>
      <w:bookmarkStart w:id="66" w:name="_Toc97278833"/>
      <w:bookmarkStart w:id="67" w:name="_Toc158817729"/>
      <w:bookmarkStart w:id="68" w:name="_Toc167356431"/>
      <w:bookmarkStart w:id="69" w:name="_Toc195189595"/>
      <w:r w:rsidRPr="007E650E">
        <w:t>Submission Format</w:t>
      </w:r>
      <w:bookmarkEnd w:id="66"/>
      <w:bookmarkEnd w:id="67"/>
      <w:bookmarkEnd w:id="68"/>
      <w:bookmarkEnd w:id="69"/>
    </w:p>
    <w:p w14:paraId="1A1A9ECE" w14:textId="20744DD0" w:rsidR="008544AA" w:rsidRPr="007E650E" w:rsidRDefault="008544AA" w:rsidP="00F470F1">
      <w:pPr>
        <w:pStyle w:val="BodyText"/>
      </w:pPr>
      <w:bookmarkStart w:id="70" w:name="_Hlk159099241"/>
      <w:r w:rsidRPr="007E650E">
        <w:rPr>
          <w:lang w:val="en-US"/>
        </w:rPr>
        <w:t xml:space="preserve">Each applicant must submit their proposal package via email as a compressed (or </w:t>
      </w:r>
      <w:r w:rsidR="000D5ACF">
        <w:rPr>
          <w:lang w:val="en-US"/>
        </w:rPr>
        <w:t>"</w:t>
      </w:r>
      <w:r w:rsidRPr="007E650E">
        <w:rPr>
          <w:lang w:val="en-US"/>
        </w:rPr>
        <w:t>Zipped</w:t>
      </w:r>
      <w:r w:rsidR="000D5ACF">
        <w:rPr>
          <w:lang w:val="en-US"/>
        </w:rPr>
        <w:t>"</w:t>
      </w:r>
      <w:r w:rsidRPr="007E650E">
        <w:rPr>
          <w:lang w:val="en-US"/>
        </w:rPr>
        <w:t xml:space="preserve">) file. Emails must be sent to </w:t>
      </w:r>
      <w:hyperlink r:id="rId24" w:history="1">
        <w:r w:rsidR="00C32224" w:rsidRPr="007E650E">
          <w:rPr>
            <w:rStyle w:val="Hyperlink"/>
            <w:color w:val="0070C0"/>
          </w:rPr>
          <w:t>WSBSFP2@edd.ca.gov</w:t>
        </w:r>
      </w:hyperlink>
      <w:r w:rsidRPr="007E650E">
        <w:rPr>
          <w:lang w:val="en-US"/>
        </w:rPr>
        <w:t xml:space="preserve">. The subject line of each application submission email must include: </w:t>
      </w:r>
      <w:r w:rsidR="000D5ACF">
        <w:rPr>
          <w:lang w:val="en-US"/>
        </w:rPr>
        <w:t>"</w:t>
      </w:r>
      <w:r w:rsidRPr="007E650E">
        <w:rPr>
          <w:lang w:val="en-US"/>
        </w:rPr>
        <w:t>[Applicant</w:t>
      </w:r>
      <w:r w:rsidR="000D5ACF">
        <w:rPr>
          <w:lang w:val="en-US"/>
        </w:rPr>
        <w:t>'</w:t>
      </w:r>
      <w:r w:rsidRPr="007E650E">
        <w:rPr>
          <w:lang w:val="en-US"/>
        </w:rPr>
        <w:t>s Three Digit Initialism] [Grant Initialism Program Year Initialism] Proposal</w:t>
      </w:r>
      <w:r w:rsidR="000D5ACF">
        <w:rPr>
          <w:lang w:val="en-US"/>
        </w:rPr>
        <w:t>"</w:t>
      </w:r>
      <w:r w:rsidRPr="007E650E">
        <w:rPr>
          <w:lang w:val="en-US"/>
        </w:rPr>
        <w:t xml:space="preserve">. Example: </w:t>
      </w:r>
      <w:r w:rsidR="000D5ACF">
        <w:rPr>
          <w:lang w:val="en-US"/>
        </w:rPr>
        <w:t>"</w:t>
      </w:r>
      <w:r w:rsidRPr="007E650E">
        <w:rPr>
          <w:lang w:val="en-US"/>
        </w:rPr>
        <w:t xml:space="preserve">Subject: ABC </w:t>
      </w:r>
      <w:r w:rsidR="00AF7567" w:rsidRPr="007E650E">
        <w:rPr>
          <w:lang w:val="en-US"/>
        </w:rPr>
        <w:t>DHH PY 25-26</w:t>
      </w:r>
      <w:r w:rsidRPr="007E650E">
        <w:rPr>
          <w:lang w:val="en-US"/>
        </w:rPr>
        <w:t xml:space="preserve"> Proposal</w:t>
      </w:r>
      <w:r w:rsidR="000D5ACF">
        <w:rPr>
          <w:lang w:val="en-US"/>
        </w:rPr>
        <w:t>"</w:t>
      </w:r>
      <w:r w:rsidRPr="007E650E">
        <w:rPr>
          <w:lang w:val="en-US"/>
        </w:rPr>
        <w:t xml:space="preserve">. The proposal package is due by </w:t>
      </w:r>
      <w:r w:rsidR="00C32224" w:rsidRPr="007E650E">
        <w:rPr>
          <w:lang w:val="en-US"/>
        </w:rPr>
        <w:t>3</w:t>
      </w:r>
      <w:r w:rsidRPr="007E650E">
        <w:rPr>
          <w:lang w:val="en-US"/>
        </w:rPr>
        <w:t xml:space="preserve"> p.m. on </w:t>
      </w:r>
      <w:r w:rsidR="00C32224" w:rsidRPr="007E650E">
        <w:rPr>
          <w:lang w:val="en-US"/>
        </w:rPr>
        <w:t>May 27, 2025</w:t>
      </w:r>
      <w:r w:rsidRPr="007E650E">
        <w:rPr>
          <w:lang w:val="en-US"/>
        </w:rPr>
        <w:t>. Documents</w:t>
      </w:r>
      <w:r w:rsidR="007C09D3" w:rsidRPr="007E650E">
        <w:rPr>
          <w:lang w:val="en-US"/>
        </w:rPr>
        <w:t xml:space="preserve"> </w:t>
      </w:r>
      <w:r w:rsidRPr="007E650E">
        <w:rPr>
          <w:lang w:val="en-US"/>
        </w:rPr>
        <w:t>must adhere to the following naming convention: [Applicant</w:t>
      </w:r>
      <w:r w:rsidR="000D5ACF">
        <w:rPr>
          <w:lang w:val="en-US"/>
        </w:rPr>
        <w:t>'</w:t>
      </w:r>
      <w:r w:rsidRPr="007E650E">
        <w:rPr>
          <w:lang w:val="en-US"/>
        </w:rPr>
        <w:t xml:space="preserve">s Three Digit Initialism] </w:t>
      </w:r>
      <w:bookmarkStart w:id="71" w:name="_Hlk167167703"/>
      <w:r w:rsidRPr="007E650E">
        <w:rPr>
          <w:lang w:val="en-US"/>
        </w:rPr>
        <w:t>[Grant Initialism Program Year Initialism]</w:t>
      </w:r>
      <w:bookmarkEnd w:id="71"/>
      <w:r w:rsidRPr="007E650E">
        <w:rPr>
          <w:lang w:val="en-US"/>
        </w:rPr>
        <w:t xml:space="preserve"> [Abbreviated Name of Document]. Example: </w:t>
      </w:r>
      <w:r w:rsidR="000D5ACF">
        <w:rPr>
          <w:lang w:val="en-US"/>
        </w:rPr>
        <w:t>"</w:t>
      </w:r>
      <w:r w:rsidRPr="007E650E">
        <w:rPr>
          <w:lang w:val="en-US"/>
        </w:rPr>
        <w:t xml:space="preserve">ABC </w:t>
      </w:r>
      <w:r w:rsidR="00AF7567" w:rsidRPr="007E650E">
        <w:rPr>
          <w:lang w:val="en-US"/>
        </w:rPr>
        <w:t>DHH PY 25-26</w:t>
      </w:r>
      <w:r w:rsidRPr="007E650E">
        <w:rPr>
          <w:lang w:val="en-US"/>
        </w:rPr>
        <w:t xml:space="preserve"> </w:t>
      </w:r>
      <w:proofErr w:type="spellStart"/>
      <w:r w:rsidR="007C09D3" w:rsidRPr="007E650E">
        <w:rPr>
          <w:lang w:val="en-US"/>
        </w:rPr>
        <w:t>ExA</w:t>
      </w:r>
      <w:proofErr w:type="spellEnd"/>
      <w:r w:rsidR="000D5ACF">
        <w:rPr>
          <w:lang w:val="en-US"/>
        </w:rPr>
        <w:t>"</w:t>
      </w:r>
      <w:r w:rsidR="007C09D3" w:rsidRPr="007E650E">
        <w:rPr>
          <w:lang w:val="en-US"/>
        </w:rPr>
        <w:t xml:space="preserve"> for Exhibit A</w:t>
      </w:r>
      <w:r w:rsidRPr="007E650E">
        <w:rPr>
          <w:lang w:val="en-US"/>
        </w:rPr>
        <w:t>.</w:t>
      </w:r>
    </w:p>
    <w:p w14:paraId="797E02B9" w14:textId="33E0815D" w:rsidR="008544AA" w:rsidRPr="007E650E" w:rsidRDefault="008544AA" w:rsidP="00F470F1">
      <w:pPr>
        <w:pStyle w:val="ListParagraph"/>
      </w:pPr>
      <w:r w:rsidRPr="007E650E">
        <w:lastRenderedPageBreak/>
        <w:t>Applicants may utilize an initialism for their organization</w:t>
      </w:r>
      <w:r w:rsidR="000D5ACF">
        <w:t>'</w:t>
      </w:r>
      <w:r w:rsidRPr="007E650E">
        <w:t>s name if desired. Please use the organization</w:t>
      </w:r>
      <w:r w:rsidR="000D5ACF">
        <w:t>'</w:t>
      </w:r>
      <w:r w:rsidRPr="007E650E">
        <w:t>s CalJOBS initialism, if available. File names must not exceed 40 characters.</w:t>
      </w:r>
    </w:p>
    <w:p w14:paraId="723B664B" w14:textId="24078C18" w:rsidR="008544AA" w:rsidRPr="007E650E" w:rsidRDefault="008544AA" w:rsidP="00F470F1">
      <w:pPr>
        <w:pStyle w:val="ListParagraph"/>
      </w:pPr>
      <w:r w:rsidRPr="007E650E">
        <w:t>The Cover/Signature page (</w:t>
      </w:r>
      <w:proofErr w:type="spellStart"/>
      <w:r w:rsidRPr="007E650E">
        <w:t>CovSign</w:t>
      </w:r>
      <w:proofErr w:type="spellEnd"/>
      <w:r w:rsidRPr="007E650E">
        <w:t xml:space="preserve">) and </w:t>
      </w:r>
      <w:r w:rsidR="007C09D3" w:rsidRPr="007E650E">
        <w:t xml:space="preserve">any </w:t>
      </w:r>
      <w:r w:rsidRPr="007E650E">
        <w:t>Commitment Letters (ComLtr) must be submitted in PDF form</w:t>
      </w:r>
      <w:r w:rsidR="00AF7567" w:rsidRPr="007E650E">
        <w:t>. A</w:t>
      </w:r>
      <w:r w:rsidRPr="007E650E">
        <w:t>ll other exhibits and exhibit attachments must be submitted in Word format.</w:t>
      </w:r>
    </w:p>
    <w:p w14:paraId="6BD04B72" w14:textId="1D36AC71" w:rsidR="008544AA" w:rsidRPr="007E650E" w:rsidRDefault="008544AA" w:rsidP="00F470F1">
      <w:pPr>
        <w:pStyle w:val="ListParagraph"/>
      </w:pPr>
      <w:r w:rsidRPr="007E650E">
        <w:t>The Cov</w:t>
      </w:r>
      <w:r w:rsidR="007C09D3" w:rsidRPr="007E650E">
        <w:t>er/</w:t>
      </w:r>
      <w:r w:rsidRPr="007E650E">
        <w:t>Sign</w:t>
      </w:r>
      <w:r w:rsidR="007C09D3" w:rsidRPr="007E650E">
        <w:t>ature</w:t>
      </w:r>
      <w:r w:rsidRPr="007E650E">
        <w:t xml:space="preserve"> page must include the signature of the signatory authority on the form.</w:t>
      </w:r>
    </w:p>
    <w:p w14:paraId="30EB4C86" w14:textId="07BDE127" w:rsidR="008544AA" w:rsidRPr="007E650E" w:rsidRDefault="008544AA" w:rsidP="00F470F1">
      <w:pPr>
        <w:pStyle w:val="ListParagraph"/>
      </w:pPr>
      <w:r w:rsidRPr="007E650E">
        <w:t>Com</w:t>
      </w:r>
      <w:r w:rsidR="007C09D3" w:rsidRPr="007E650E">
        <w:t xml:space="preserve">mitment </w:t>
      </w:r>
      <w:r w:rsidRPr="007E650E">
        <w:t>L</w:t>
      </w:r>
      <w:r w:rsidR="007C09D3" w:rsidRPr="007E650E">
        <w:t>et</w:t>
      </w:r>
      <w:r w:rsidRPr="007E650E">
        <w:t>t</w:t>
      </w:r>
      <w:r w:rsidR="007C09D3" w:rsidRPr="007E650E">
        <w:t>e</w:t>
      </w:r>
      <w:r w:rsidRPr="007E650E">
        <w:t xml:space="preserve">rs should be submitted as </w:t>
      </w:r>
      <w:r w:rsidR="007C09D3" w:rsidRPr="007E650E">
        <w:t>one continuous</w:t>
      </w:r>
      <w:r w:rsidRPr="007E650E">
        <w:t xml:space="preserve"> PDF and saved per the following naming convention: </w:t>
      </w:r>
      <w:r w:rsidR="000D5ACF">
        <w:t>"</w:t>
      </w:r>
      <w:r w:rsidRPr="007E650E">
        <w:t xml:space="preserve">ABC </w:t>
      </w:r>
      <w:r w:rsidR="00AF7567" w:rsidRPr="007E650E">
        <w:t>DHH PY 25-26</w:t>
      </w:r>
      <w:r w:rsidRPr="007E650E">
        <w:t xml:space="preserve"> ComLtr</w:t>
      </w:r>
      <w:r w:rsidR="000D5ACF">
        <w:t>"</w:t>
      </w:r>
      <w:r w:rsidRPr="007E650E">
        <w:t>.</w:t>
      </w:r>
    </w:p>
    <w:p w14:paraId="4DE3911D" w14:textId="2514FB60" w:rsidR="008544AA" w:rsidRPr="007E650E" w:rsidRDefault="008544AA" w:rsidP="00F470F1">
      <w:pPr>
        <w:pStyle w:val="ListParagraph"/>
      </w:pPr>
      <w:r w:rsidRPr="007E650E">
        <w:t>Submit any additional non-required documentation</w:t>
      </w:r>
      <w:r w:rsidR="00072531" w:rsidRPr="007E650E">
        <w:t>,</w:t>
      </w:r>
      <w:r w:rsidRPr="007E650E">
        <w:t xml:space="preserve"> such as data analysis</w:t>
      </w:r>
      <w:r w:rsidR="00072531" w:rsidRPr="007E650E">
        <w:t>,</w:t>
      </w:r>
      <w:r w:rsidRPr="007E650E">
        <w:t xml:space="preserve"> </w:t>
      </w:r>
      <w:r w:rsidR="00AF7567" w:rsidRPr="007E650E">
        <w:t>as a</w:t>
      </w:r>
      <w:r w:rsidRPr="007E650E">
        <w:t>n Adobe PDF</w:t>
      </w:r>
      <w:r w:rsidR="00AF7567" w:rsidRPr="007E650E">
        <w:t xml:space="preserve"> file</w:t>
      </w:r>
      <w:r w:rsidRPr="007E650E">
        <w:t>.</w:t>
      </w:r>
    </w:p>
    <w:p w14:paraId="2E42D69C" w14:textId="77777777" w:rsidR="008544AA" w:rsidRPr="007E650E" w:rsidRDefault="008544AA" w:rsidP="00F470F1">
      <w:pPr>
        <w:pStyle w:val="Heading3"/>
      </w:pPr>
      <w:bookmarkStart w:id="72" w:name="_Toc167356432"/>
      <w:bookmarkStart w:id="73" w:name="_Toc195189596"/>
      <w:bookmarkEnd w:id="70"/>
      <w:r w:rsidRPr="007E650E">
        <w:t>Submission Guidelines</w:t>
      </w:r>
      <w:bookmarkStart w:id="74" w:name="_Toc130496174"/>
      <w:bookmarkEnd w:id="72"/>
      <w:bookmarkEnd w:id="73"/>
    </w:p>
    <w:p w14:paraId="552FE6AD" w14:textId="4AE5B1D7" w:rsidR="008544AA" w:rsidRPr="007E650E" w:rsidRDefault="008544AA" w:rsidP="01476CFA">
      <w:pPr>
        <w:pStyle w:val="BodyText"/>
        <w:rPr>
          <w:rFonts w:cs="Calibri"/>
          <w:lang w:val="en-US"/>
        </w:rPr>
      </w:pPr>
      <w:r w:rsidRPr="007E650E">
        <w:rPr>
          <w:rFonts w:cs="Calibri"/>
          <w:lang w:val="en-US"/>
        </w:rPr>
        <w:t>Complete only the required information in the exhibits. Submit all exhibits and attachments with the following naming convention</w:t>
      </w:r>
      <w:r w:rsidR="00072531" w:rsidRPr="007E650E">
        <w:rPr>
          <w:rFonts w:cs="Calibri"/>
          <w:lang w:val="en-US"/>
        </w:rPr>
        <w:t>:</w:t>
      </w:r>
      <w:r w:rsidRPr="007E650E">
        <w:rPr>
          <w:rFonts w:cs="Calibri"/>
          <w:lang w:val="en-US"/>
        </w:rPr>
        <w:t xml:space="preserve"> </w:t>
      </w:r>
      <w:r w:rsidR="000D5ACF">
        <w:rPr>
          <w:rFonts w:cs="Calibri"/>
          <w:lang w:val="en-US"/>
        </w:rPr>
        <w:t>"</w:t>
      </w:r>
      <w:r w:rsidRPr="007E650E">
        <w:rPr>
          <w:rFonts w:cs="Calibri"/>
          <w:lang w:val="en-US"/>
        </w:rPr>
        <w:t>[Applicant</w:t>
      </w:r>
      <w:r w:rsidR="000D5ACF">
        <w:rPr>
          <w:rFonts w:cs="Calibri"/>
          <w:lang w:val="en-US"/>
        </w:rPr>
        <w:t>'</w:t>
      </w:r>
      <w:r w:rsidRPr="007E650E">
        <w:rPr>
          <w:rFonts w:cs="Calibri"/>
          <w:lang w:val="en-US"/>
        </w:rPr>
        <w:t>s Three Digit Initialism] [Grant Initialism PY XX-XX] [Exhibit or Attachment Initialism].</w:t>
      </w:r>
      <w:r w:rsidR="000D5ACF">
        <w:rPr>
          <w:rFonts w:cs="Calibri"/>
          <w:lang w:val="en-US"/>
        </w:rPr>
        <w:t>"</w:t>
      </w:r>
      <w:r w:rsidRPr="007E650E">
        <w:rPr>
          <w:rFonts w:cs="Calibri"/>
          <w:lang w:val="en-US"/>
        </w:rPr>
        <w:t xml:space="preserve"> For example, </w:t>
      </w:r>
      <w:r w:rsidR="000D5ACF">
        <w:rPr>
          <w:rFonts w:cs="Calibri"/>
          <w:lang w:val="en-US"/>
        </w:rPr>
        <w:t>"</w:t>
      </w:r>
      <w:r w:rsidR="00AE37F3" w:rsidRPr="007E650E">
        <w:rPr>
          <w:rFonts w:cs="Calibri"/>
          <w:lang w:val="en-US"/>
        </w:rPr>
        <w:t>ABC</w:t>
      </w:r>
      <w:r w:rsidRPr="007E650E">
        <w:rPr>
          <w:rFonts w:cs="Calibri"/>
          <w:lang w:val="en-US"/>
        </w:rPr>
        <w:t xml:space="preserve"> </w:t>
      </w:r>
      <w:r w:rsidR="00072531" w:rsidRPr="007E650E">
        <w:rPr>
          <w:rFonts w:cs="Calibri"/>
          <w:lang w:val="en-US"/>
        </w:rPr>
        <w:t>DHH PY 25-26</w:t>
      </w:r>
      <w:r w:rsidRPr="007E650E">
        <w:rPr>
          <w:rFonts w:cs="Calibri"/>
          <w:lang w:val="en-US"/>
        </w:rPr>
        <w:t xml:space="preserve"> </w:t>
      </w:r>
      <w:proofErr w:type="spellStart"/>
      <w:r w:rsidRPr="007E650E">
        <w:rPr>
          <w:rFonts w:cs="Calibri"/>
          <w:lang w:val="en-US"/>
        </w:rPr>
        <w:t>ExF</w:t>
      </w:r>
      <w:proofErr w:type="spellEnd"/>
      <w:r w:rsidR="000D5ACF">
        <w:rPr>
          <w:rFonts w:cs="Calibri"/>
          <w:lang w:val="en-US"/>
        </w:rPr>
        <w:t>"</w:t>
      </w:r>
      <w:r w:rsidRPr="007E650E">
        <w:rPr>
          <w:rFonts w:cs="Calibri"/>
          <w:lang w:val="en-US"/>
        </w:rPr>
        <w:t xml:space="preserve"> for Exhibit F. File names must not exceed 40 Characters. Exhibits must be completed accurately. The following chart lists the documents that must be included in the proposal file submission</w:t>
      </w:r>
      <w:r w:rsidR="00072531" w:rsidRPr="007E650E">
        <w:rPr>
          <w:rFonts w:cs="Calibri"/>
          <w:lang w:val="en-US"/>
        </w:rPr>
        <w:t>,</w:t>
      </w:r>
      <w:r w:rsidRPr="007E650E">
        <w:rPr>
          <w:rFonts w:cs="Calibri"/>
          <w:lang w:val="en-US"/>
        </w:rPr>
        <w:t xml:space="preserve"> with the suggested naming convention for each file. Applications that do not include all the required documents listed and/or submitted after </w:t>
      </w:r>
      <w:r w:rsidR="00B56E8B" w:rsidRPr="007E650E">
        <w:rPr>
          <w:rFonts w:cs="Calibri"/>
          <w:lang w:val="en-US"/>
        </w:rPr>
        <w:t xml:space="preserve">3 </w:t>
      </w:r>
      <w:r w:rsidRPr="007E650E">
        <w:rPr>
          <w:rFonts w:cs="Calibri"/>
          <w:lang w:val="en-US"/>
        </w:rPr>
        <w:t xml:space="preserve">p.m. </w:t>
      </w:r>
      <w:r w:rsidR="00B56E8B" w:rsidRPr="007E650E">
        <w:rPr>
          <w:rFonts w:cs="Calibri"/>
          <w:lang w:val="en-US"/>
        </w:rPr>
        <w:t>PT</w:t>
      </w:r>
      <w:r w:rsidRPr="007E650E">
        <w:rPr>
          <w:rFonts w:cs="Calibri"/>
          <w:lang w:val="en-US"/>
        </w:rPr>
        <w:t xml:space="preserve"> on </w:t>
      </w:r>
      <w:r w:rsidR="00B56E8B" w:rsidRPr="007E650E">
        <w:rPr>
          <w:rFonts w:cs="Calibri"/>
          <w:lang w:val="en-US"/>
        </w:rPr>
        <w:t>May 27, 2025,</w:t>
      </w:r>
      <w:r w:rsidRPr="007E650E">
        <w:rPr>
          <w:rFonts w:cs="Calibri"/>
          <w:lang w:val="en-US"/>
        </w:rPr>
        <w:t xml:space="preserve"> will be deemed non-responsive and automatically disqualified from being considered for funding.</w:t>
      </w:r>
    </w:p>
    <w:p w14:paraId="163DF0C1" w14:textId="5270DB16" w:rsidR="008544AA" w:rsidRPr="007E650E" w:rsidRDefault="008544AA" w:rsidP="00F470F1">
      <w:pPr>
        <w:pStyle w:val="BodyText"/>
        <w:rPr>
          <w:rFonts w:cs="Calibri"/>
        </w:rPr>
      </w:pPr>
      <w:r w:rsidRPr="007E650E">
        <w:rPr>
          <w:rFonts w:cs="Calibri"/>
          <w:b/>
          <w:bCs/>
        </w:rPr>
        <w:t>Disclaimer</w:t>
      </w:r>
      <w:r w:rsidRPr="007E650E">
        <w:rPr>
          <w:rFonts w:cs="Calibri"/>
        </w:rPr>
        <w:t xml:space="preserve"> </w:t>
      </w:r>
      <w:r w:rsidR="00905691" w:rsidRPr="007E650E">
        <w:rPr>
          <w:rFonts w:cs="Calibri"/>
        </w:rPr>
        <w:t xml:space="preserve">– </w:t>
      </w:r>
      <w:r w:rsidRPr="007E650E">
        <w:rPr>
          <w:rFonts w:cs="Calibri"/>
        </w:rPr>
        <w:t>The exhibits have been updated for accessibility in compliance with the Americans with Disabilities Act.</w:t>
      </w:r>
    </w:p>
    <w:p w14:paraId="419045E1" w14:textId="77777777" w:rsidR="00905691" w:rsidRPr="007E650E" w:rsidRDefault="00905691">
      <w:pPr>
        <w:rPr>
          <w:rFonts w:ascii="Calibri" w:eastAsia="Calibri" w:hAnsi="Calibri" w:cs="Calibri"/>
          <w:b/>
          <w:bCs/>
          <w:sz w:val="24"/>
          <w:szCs w:val="24"/>
          <w:lang w:val="en"/>
        </w:rPr>
      </w:pPr>
      <w:r w:rsidRPr="007E650E">
        <w:rPr>
          <w:rFonts w:cs="Calibri"/>
          <w:b/>
          <w:bCs/>
        </w:rPr>
        <w:br w:type="page"/>
      </w:r>
    </w:p>
    <w:p w14:paraId="6149DDE6" w14:textId="6DDC9014" w:rsidR="008544AA" w:rsidRPr="007E650E" w:rsidRDefault="008544AA" w:rsidP="008F564F">
      <w:pPr>
        <w:pStyle w:val="BodyText"/>
        <w:spacing w:after="0"/>
        <w:rPr>
          <w:rFonts w:cs="Calibri"/>
          <w:b/>
          <w:bCs/>
        </w:rPr>
      </w:pPr>
      <w:r w:rsidRPr="007E650E">
        <w:rPr>
          <w:rFonts w:cs="Calibri"/>
          <w:b/>
          <w:bCs/>
        </w:rPr>
        <w:lastRenderedPageBreak/>
        <w:t xml:space="preserve">Figure </w:t>
      </w:r>
      <w:r w:rsidR="3A0706D5" w:rsidRPr="007E650E">
        <w:rPr>
          <w:rFonts w:cs="Calibri"/>
          <w:b/>
          <w:bCs/>
        </w:rPr>
        <w:t>4</w:t>
      </w:r>
      <w:r w:rsidR="008F564F" w:rsidRPr="007E650E">
        <w:rPr>
          <w:rFonts w:cs="Calibri"/>
          <w:b/>
          <w:bCs/>
        </w:rPr>
        <w:t>.</w:t>
      </w:r>
      <w:r w:rsidRPr="007E650E">
        <w:rPr>
          <w:rFonts w:cs="Calibri"/>
          <w:b/>
          <w:bCs/>
        </w:rPr>
        <w:t>1: Document Submission Guidelines</w:t>
      </w:r>
    </w:p>
    <w:tbl>
      <w:tblPr>
        <w:tblStyle w:val="TableGrid3"/>
        <w:tblW w:w="5000" w:type="pct"/>
        <w:tblLook w:val="04A0" w:firstRow="1" w:lastRow="0" w:firstColumn="1" w:lastColumn="0" w:noHBand="0" w:noVBand="1"/>
        <w:tblCaption w:val="Format and Document Order Checklist"/>
        <w:tblDescription w:val="This table list the Document order and can be used as a checklist"/>
      </w:tblPr>
      <w:tblGrid>
        <w:gridCol w:w="5126"/>
        <w:gridCol w:w="4224"/>
      </w:tblGrid>
      <w:tr w:rsidR="008544AA" w:rsidRPr="007E650E" w14:paraId="0A311848" w14:textId="77777777" w:rsidTr="00072531">
        <w:trPr>
          <w:trHeight w:val="440"/>
          <w:tblHeader/>
        </w:trPr>
        <w:tc>
          <w:tcPr>
            <w:tcW w:w="2741" w:type="pct"/>
            <w:shd w:val="clear" w:color="auto" w:fill="D9D9D9" w:themeFill="background1" w:themeFillShade="D9"/>
          </w:tcPr>
          <w:p w14:paraId="69D2ACD3" w14:textId="5B064E8C" w:rsidR="008544AA" w:rsidRPr="007E650E" w:rsidRDefault="008544AA" w:rsidP="00DD2DB0">
            <w:pPr>
              <w:pStyle w:val="BodyText"/>
              <w:spacing w:before="120" w:after="120"/>
              <w:rPr>
                <w:rFonts w:cs="Calibri"/>
                <w:b/>
              </w:rPr>
            </w:pPr>
            <w:r w:rsidRPr="007E650E">
              <w:rPr>
                <w:rFonts w:cs="Calibri"/>
                <w:b/>
              </w:rPr>
              <w:t>Required Documents</w:t>
            </w:r>
          </w:p>
        </w:tc>
        <w:tc>
          <w:tcPr>
            <w:tcW w:w="2259" w:type="pct"/>
            <w:shd w:val="clear" w:color="auto" w:fill="D9D9D9" w:themeFill="background1" w:themeFillShade="D9"/>
          </w:tcPr>
          <w:p w14:paraId="523D068C" w14:textId="77777777" w:rsidR="008544AA" w:rsidRPr="007E650E" w:rsidRDefault="008544AA" w:rsidP="00DD2DB0">
            <w:pPr>
              <w:pStyle w:val="BodyText"/>
              <w:spacing w:before="120" w:after="120"/>
              <w:rPr>
                <w:rFonts w:cs="Calibri"/>
                <w:b/>
              </w:rPr>
            </w:pPr>
            <w:r w:rsidRPr="007E650E">
              <w:rPr>
                <w:rFonts w:cs="Calibri"/>
                <w:b/>
              </w:rPr>
              <w:t>Naming Convention Suggestions</w:t>
            </w:r>
          </w:p>
        </w:tc>
      </w:tr>
      <w:tr w:rsidR="008544AA" w:rsidRPr="007E650E" w14:paraId="26A15B7F" w14:textId="77777777" w:rsidTr="00072531">
        <w:trPr>
          <w:trHeight w:val="360"/>
        </w:trPr>
        <w:tc>
          <w:tcPr>
            <w:tcW w:w="2741" w:type="pct"/>
          </w:tcPr>
          <w:p w14:paraId="187D3975" w14:textId="6854CD73" w:rsidR="008544AA" w:rsidRPr="007E650E" w:rsidRDefault="008544AA" w:rsidP="00DD2DB0">
            <w:pPr>
              <w:pStyle w:val="BodyText"/>
              <w:spacing w:before="120" w:after="120"/>
              <w:rPr>
                <w:rFonts w:cs="Calibri"/>
                <w:b/>
                <w:bCs/>
                <w:lang w:val="en-US"/>
              </w:rPr>
            </w:pPr>
            <w:r w:rsidRPr="007E650E">
              <w:rPr>
                <w:rFonts w:cs="Calibri"/>
                <w:b/>
                <w:bCs/>
                <w:lang w:val="en-US"/>
              </w:rPr>
              <w:t xml:space="preserve">Exhibit A </w:t>
            </w:r>
            <w:r w:rsidR="1EF5C775" w:rsidRPr="007E650E">
              <w:rPr>
                <w:rFonts w:cs="Calibri"/>
                <w:b/>
                <w:bCs/>
                <w:lang w:val="en-US"/>
              </w:rPr>
              <w:t>Project</w:t>
            </w:r>
            <w:r w:rsidRPr="007E650E">
              <w:rPr>
                <w:rFonts w:cs="Calibri"/>
                <w:b/>
                <w:bCs/>
                <w:lang w:val="en-US"/>
              </w:rPr>
              <w:t xml:space="preserve"> Narrative </w:t>
            </w:r>
            <w:r w:rsidR="00F642D6" w:rsidRPr="007E650E">
              <w:rPr>
                <w:rFonts w:cs="Calibri"/>
                <w:b/>
                <w:bCs/>
                <w:lang w:val="en-US"/>
              </w:rPr>
              <w:t xml:space="preserve">- </w:t>
            </w:r>
            <w:proofErr w:type="spellStart"/>
            <w:r w:rsidRPr="007E650E">
              <w:rPr>
                <w:rFonts w:cs="Calibri"/>
                <w:b/>
                <w:bCs/>
                <w:lang w:val="en-US"/>
              </w:rPr>
              <w:t>ExA</w:t>
            </w:r>
            <w:proofErr w:type="spellEnd"/>
          </w:p>
        </w:tc>
        <w:tc>
          <w:tcPr>
            <w:tcW w:w="2259" w:type="pct"/>
          </w:tcPr>
          <w:p w14:paraId="1711F2EE" w14:textId="663382FE" w:rsidR="008544AA" w:rsidRPr="007E650E" w:rsidRDefault="00DD2DB0" w:rsidP="00DD2DB0">
            <w:pPr>
              <w:pStyle w:val="BodyText"/>
              <w:spacing w:before="120" w:after="120"/>
              <w:rPr>
                <w:rFonts w:cs="Calibri"/>
                <w:color w:val="FFFFFF"/>
              </w:rPr>
            </w:pPr>
            <w:r w:rsidRPr="007E650E">
              <w:rPr>
                <w:rFonts w:cs="Calibri"/>
              </w:rPr>
              <w:t xml:space="preserve">ABC DHH PY 25-26 </w:t>
            </w:r>
            <w:proofErr w:type="spellStart"/>
            <w:r w:rsidRPr="007E650E">
              <w:rPr>
                <w:rFonts w:cs="Calibri"/>
              </w:rPr>
              <w:t>ExA</w:t>
            </w:r>
            <w:proofErr w:type="spellEnd"/>
          </w:p>
        </w:tc>
      </w:tr>
      <w:tr w:rsidR="008544AA" w:rsidRPr="007E650E" w14:paraId="45ED2CF1" w14:textId="77777777" w:rsidTr="00072531">
        <w:trPr>
          <w:trHeight w:val="360"/>
        </w:trPr>
        <w:tc>
          <w:tcPr>
            <w:tcW w:w="2741" w:type="pct"/>
          </w:tcPr>
          <w:p w14:paraId="066C2DC7" w14:textId="54807A5F" w:rsidR="008544AA" w:rsidRPr="007E650E" w:rsidRDefault="008544AA" w:rsidP="00DD2DB0">
            <w:pPr>
              <w:pStyle w:val="BodyText"/>
              <w:spacing w:before="120" w:after="120"/>
              <w:rPr>
                <w:rFonts w:cs="Calibri"/>
                <w:b/>
                <w:bCs/>
                <w:lang w:val="en-US"/>
              </w:rPr>
            </w:pPr>
            <w:r w:rsidRPr="007E650E">
              <w:rPr>
                <w:rFonts w:cs="Calibri"/>
                <w:b/>
                <w:bCs/>
                <w:lang w:val="en-US"/>
              </w:rPr>
              <w:t xml:space="preserve">Exhibit F Budget Summary </w:t>
            </w:r>
            <w:r w:rsidR="00F642D6" w:rsidRPr="007E650E">
              <w:rPr>
                <w:rFonts w:cs="Calibri"/>
                <w:b/>
                <w:bCs/>
                <w:lang w:val="en-US"/>
              </w:rPr>
              <w:t xml:space="preserve">- </w:t>
            </w:r>
            <w:proofErr w:type="spellStart"/>
            <w:r w:rsidRPr="007E650E">
              <w:rPr>
                <w:rFonts w:cs="Calibri"/>
                <w:b/>
                <w:bCs/>
                <w:lang w:val="en-US"/>
              </w:rPr>
              <w:t>ExF</w:t>
            </w:r>
            <w:proofErr w:type="spellEnd"/>
          </w:p>
        </w:tc>
        <w:tc>
          <w:tcPr>
            <w:tcW w:w="2259" w:type="pct"/>
          </w:tcPr>
          <w:p w14:paraId="7F24E835" w14:textId="7704810E" w:rsidR="008544AA" w:rsidRPr="007E650E" w:rsidRDefault="00DD2DB0" w:rsidP="00DD2DB0">
            <w:pPr>
              <w:pStyle w:val="BodyText"/>
              <w:spacing w:before="120" w:after="120"/>
              <w:rPr>
                <w:rFonts w:cs="Calibri"/>
                <w:color w:val="FFFFFF"/>
              </w:rPr>
            </w:pPr>
            <w:r w:rsidRPr="007E650E">
              <w:rPr>
                <w:rFonts w:cs="Calibri"/>
              </w:rPr>
              <w:t xml:space="preserve">ABC DHH PY 25-26 </w:t>
            </w:r>
            <w:proofErr w:type="spellStart"/>
            <w:r w:rsidRPr="007E650E">
              <w:rPr>
                <w:rFonts w:cs="Calibri"/>
              </w:rPr>
              <w:t>ExF</w:t>
            </w:r>
            <w:proofErr w:type="spellEnd"/>
          </w:p>
        </w:tc>
      </w:tr>
      <w:tr w:rsidR="008544AA" w:rsidRPr="007E650E" w14:paraId="3751CB99" w14:textId="77777777" w:rsidTr="00072531">
        <w:trPr>
          <w:trHeight w:val="360"/>
        </w:trPr>
        <w:tc>
          <w:tcPr>
            <w:tcW w:w="2741" w:type="pct"/>
          </w:tcPr>
          <w:p w14:paraId="17DDF700" w14:textId="425E994C" w:rsidR="008544AA" w:rsidRPr="007E650E" w:rsidRDefault="008544AA" w:rsidP="00DD2DB0">
            <w:pPr>
              <w:pStyle w:val="BodyText"/>
              <w:spacing w:before="120" w:after="120"/>
              <w:rPr>
                <w:rFonts w:cs="Calibri"/>
                <w:b/>
              </w:rPr>
            </w:pPr>
            <w:r w:rsidRPr="007E650E">
              <w:rPr>
                <w:rFonts w:cs="Calibri"/>
                <w:b/>
              </w:rPr>
              <w:t xml:space="preserve">Exhibit F2 Budget Narrative </w:t>
            </w:r>
            <w:r w:rsidR="00F642D6" w:rsidRPr="007E650E">
              <w:rPr>
                <w:rFonts w:cs="Calibri"/>
                <w:b/>
              </w:rPr>
              <w:t xml:space="preserve">- </w:t>
            </w:r>
            <w:r w:rsidRPr="007E650E">
              <w:rPr>
                <w:rFonts w:cs="Calibri"/>
                <w:b/>
              </w:rPr>
              <w:t>ExF2</w:t>
            </w:r>
          </w:p>
        </w:tc>
        <w:tc>
          <w:tcPr>
            <w:tcW w:w="2259" w:type="pct"/>
          </w:tcPr>
          <w:p w14:paraId="39597106" w14:textId="490E00A5" w:rsidR="008544AA" w:rsidRPr="007E650E" w:rsidRDefault="00DD2DB0" w:rsidP="00DD2DB0">
            <w:pPr>
              <w:pStyle w:val="BodyText"/>
              <w:spacing w:before="120" w:after="120"/>
              <w:rPr>
                <w:rFonts w:cs="Calibri"/>
                <w:color w:val="FFFFFF"/>
              </w:rPr>
            </w:pPr>
            <w:r w:rsidRPr="007E650E">
              <w:rPr>
                <w:rFonts w:cs="Calibri"/>
              </w:rPr>
              <w:t>ABC DHH PY 25-26 ExF2</w:t>
            </w:r>
          </w:p>
        </w:tc>
      </w:tr>
      <w:tr w:rsidR="008544AA" w:rsidRPr="007E650E" w14:paraId="4B6730D8" w14:textId="77777777" w:rsidTr="00072531">
        <w:trPr>
          <w:trHeight w:val="360"/>
        </w:trPr>
        <w:tc>
          <w:tcPr>
            <w:tcW w:w="2741" w:type="pct"/>
          </w:tcPr>
          <w:p w14:paraId="57FC6CF2" w14:textId="68EA4E97" w:rsidR="008544AA" w:rsidRPr="007E650E" w:rsidRDefault="008544AA" w:rsidP="00DD2DB0">
            <w:pPr>
              <w:pStyle w:val="BodyText"/>
              <w:spacing w:before="120" w:after="120"/>
              <w:rPr>
                <w:rFonts w:cs="Calibri"/>
                <w:b/>
                <w:bCs/>
                <w:lang w:val="en-US"/>
              </w:rPr>
            </w:pPr>
            <w:r w:rsidRPr="007E650E">
              <w:rPr>
                <w:rFonts w:cs="Calibri"/>
                <w:b/>
                <w:bCs/>
                <w:lang w:val="en-US"/>
              </w:rPr>
              <w:t xml:space="preserve">Exhibit G Supplemental Budget </w:t>
            </w:r>
            <w:r w:rsidR="00F642D6" w:rsidRPr="007E650E">
              <w:rPr>
                <w:rFonts w:cs="Calibri"/>
                <w:b/>
                <w:bCs/>
                <w:lang w:val="en-US"/>
              </w:rPr>
              <w:t xml:space="preserve">- </w:t>
            </w:r>
            <w:proofErr w:type="spellStart"/>
            <w:r w:rsidRPr="007E650E">
              <w:rPr>
                <w:rFonts w:cs="Calibri"/>
                <w:b/>
                <w:bCs/>
                <w:lang w:val="en-US"/>
              </w:rPr>
              <w:t>ExG</w:t>
            </w:r>
            <w:proofErr w:type="spellEnd"/>
          </w:p>
        </w:tc>
        <w:tc>
          <w:tcPr>
            <w:tcW w:w="2259" w:type="pct"/>
          </w:tcPr>
          <w:p w14:paraId="09EC5AE1" w14:textId="2AF53D81" w:rsidR="008544AA" w:rsidRPr="007E650E" w:rsidRDefault="00DD2DB0" w:rsidP="00DD2DB0">
            <w:pPr>
              <w:pStyle w:val="BodyText"/>
              <w:spacing w:before="120" w:after="120"/>
              <w:rPr>
                <w:rFonts w:cs="Calibri"/>
                <w:color w:val="FFFFFF"/>
              </w:rPr>
            </w:pPr>
            <w:r w:rsidRPr="007E650E">
              <w:rPr>
                <w:rFonts w:cs="Calibri"/>
              </w:rPr>
              <w:t xml:space="preserve">ABC DHH PY 25-26 </w:t>
            </w:r>
            <w:proofErr w:type="spellStart"/>
            <w:r w:rsidRPr="007E650E">
              <w:rPr>
                <w:rFonts w:cs="Calibri"/>
              </w:rPr>
              <w:t>ExG</w:t>
            </w:r>
            <w:proofErr w:type="spellEnd"/>
          </w:p>
        </w:tc>
      </w:tr>
      <w:tr w:rsidR="008544AA" w:rsidRPr="007E650E" w14:paraId="55608516" w14:textId="77777777" w:rsidTr="00072531">
        <w:trPr>
          <w:trHeight w:val="360"/>
        </w:trPr>
        <w:tc>
          <w:tcPr>
            <w:tcW w:w="2741" w:type="pct"/>
          </w:tcPr>
          <w:p w14:paraId="17F485C6" w14:textId="2CBE1F6B" w:rsidR="008544AA" w:rsidRPr="007E650E" w:rsidRDefault="008544AA" w:rsidP="00DD2DB0">
            <w:pPr>
              <w:pStyle w:val="BodyText"/>
              <w:spacing w:before="120" w:after="120"/>
              <w:rPr>
                <w:rFonts w:cs="Calibri"/>
                <w:b/>
                <w:bCs/>
                <w:lang w:val="en-US"/>
              </w:rPr>
            </w:pPr>
            <w:r w:rsidRPr="007E650E">
              <w:rPr>
                <w:rFonts w:cs="Calibri"/>
                <w:b/>
                <w:bCs/>
                <w:lang w:val="en-US"/>
              </w:rPr>
              <w:t xml:space="preserve">Cover/Signature Page </w:t>
            </w:r>
            <w:r w:rsidR="00F642D6" w:rsidRPr="007E650E">
              <w:rPr>
                <w:rFonts w:cs="Calibri"/>
                <w:b/>
                <w:bCs/>
                <w:lang w:val="en-US"/>
              </w:rPr>
              <w:t xml:space="preserve">- </w:t>
            </w:r>
            <w:proofErr w:type="spellStart"/>
            <w:r w:rsidRPr="007E650E">
              <w:rPr>
                <w:rFonts w:cs="Calibri"/>
                <w:b/>
                <w:bCs/>
                <w:lang w:val="en-US"/>
              </w:rPr>
              <w:t>CovSign</w:t>
            </w:r>
            <w:proofErr w:type="spellEnd"/>
          </w:p>
        </w:tc>
        <w:tc>
          <w:tcPr>
            <w:tcW w:w="2259" w:type="pct"/>
          </w:tcPr>
          <w:p w14:paraId="1ABCBB0C" w14:textId="05C1613F" w:rsidR="008544AA" w:rsidRPr="007E650E" w:rsidRDefault="00DD2DB0" w:rsidP="00DD2DB0">
            <w:pPr>
              <w:pStyle w:val="BodyText"/>
              <w:spacing w:before="120" w:after="120"/>
              <w:rPr>
                <w:rFonts w:cs="Calibri"/>
                <w:color w:val="FFFFFF"/>
              </w:rPr>
            </w:pPr>
            <w:r w:rsidRPr="007E650E">
              <w:rPr>
                <w:rFonts w:cs="Calibri"/>
              </w:rPr>
              <w:t xml:space="preserve">ABC DHH PY 25-26 </w:t>
            </w:r>
            <w:proofErr w:type="spellStart"/>
            <w:r w:rsidRPr="007E650E">
              <w:rPr>
                <w:rFonts w:cs="Calibri"/>
              </w:rPr>
              <w:t>CovSign</w:t>
            </w:r>
            <w:proofErr w:type="spellEnd"/>
          </w:p>
        </w:tc>
      </w:tr>
      <w:tr w:rsidR="008544AA" w:rsidRPr="007E650E" w14:paraId="270681BE" w14:textId="77777777" w:rsidTr="00072531">
        <w:trPr>
          <w:trHeight w:val="360"/>
        </w:trPr>
        <w:tc>
          <w:tcPr>
            <w:tcW w:w="2741" w:type="pct"/>
          </w:tcPr>
          <w:p w14:paraId="5FBA6A6C" w14:textId="611893D2" w:rsidR="008544AA" w:rsidRPr="007E650E" w:rsidRDefault="008544AA" w:rsidP="00DD2DB0">
            <w:pPr>
              <w:pStyle w:val="BodyText"/>
              <w:spacing w:before="120" w:after="120"/>
              <w:rPr>
                <w:rFonts w:cs="Calibri"/>
                <w:b/>
                <w:bCs/>
                <w:lang w:val="en-US"/>
              </w:rPr>
            </w:pPr>
            <w:r w:rsidRPr="007E650E">
              <w:rPr>
                <w:rFonts w:cs="Calibri"/>
                <w:b/>
                <w:bCs/>
                <w:lang w:val="en-US"/>
              </w:rPr>
              <w:t xml:space="preserve">Executive Summary </w:t>
            </w:r>
            <w:r w:rsidR="00F642D6" w:rsidRPr="007E650E">
              <w:rPr>
                <w:rFonts w:cs="Calibri"/>
                <w:b/>
                <w:bCs/>
                <w:lang w:val="en-US"/>
              </w:rPr>
              <w:t xml:space="preserve">- </w:t>
            </w:r>
            <w:proofErr w:type="spellStart"/>
            <w:r w:rsidRPr="007E650E">
              <w:rPr>
                <w:rFonts w:cs="Calibri"/>
                <w:b/>
                <w:bCs/>
                <w:lang w:val="en-US"/>
              </w:rPr>
              <w:t>ExecSum</w:t>
            </w:r>
            <w:proofErr w:type="spellEnd"/>
          </w:p>
        </w:tc>
        <w:tc>
          <w:tcPr>
            <w:tcW w:w="2259" w:type="pct"/>
          </w:tcPr>
          <w:p w14:paraId="0D91A228" w14:textId="5738EF2F" w:rsidR="008544AA" w:rsidRPr="007E650E" w:rsidRDefault="00DD2DB0" w:rsidP="00DD2DB0">
            <w:pPr>
              <w:pStyle w:val="BodyText"/>
              <w:spacing w:before="120" w:after="120"/>
              <w:rPr>
                <w:rFonts w:cs="Calibri"/>
                <w:color w:val="FFFFFF"/>
              </w:rPr>
            </w:pPr>
            <w:r w:rsidRPr="007E650E">
              <w:rPr>
                <w:rFonts w:cs="Calibri"/>
              </w:rPr>
              <w:t xml:space="preserve">ABC DHH PY 25-26 </w:t>
            </w:r>
            <w:proofErr w:type="spellStart"/>
            <w:r w:rsidRPr="007E650E">
              <w:rPr>
                <w:rFonts w:cs="Calibri"/>
              </w:rPr>
              <w:t>ExecSum</w:t>
            </w:r>
            <w:proofErr w:type="spellEnd"/>
          </w:p>
        </w:tc>
      </w:tr>
      <w:tr w:rsidR="008544AA" w:rsidRPr="007E650E" w14:paraId="707E9BDC" w14:textId="77777777" w:rsidTr="00072531">
        <w:trPr>
          <w:trHeight w:val="360"/>
        </w:trPr>
        <w:tc>
          <w:tcPr>
            <w:tcW w:w="2741" w:type="pct"/>
          </w:tcPr>
          <w:p w14:paraId="3FAC2C1E" w14:textId="1323746B" w:rsidR="008544AA" w:rsidRPr="007E650E" w:rsidRDefault="008544AA" w:rsidP="00DD2DB0">
            <w:pPr>
              <w:pStyle w:val="BodyText"/>
              <w:spacing w:before="120" w:after="120"/>
              <w:rPr>
                <w:rFonts w:cs="Calibri"/>
                <w:b/>
                <w:bCs/>
                <w:lang w:val="en-US"/>
              </w:rPr>
            </w:pPr>
            <w:r w:rsidRPr="007E650E">
              <w:rPr>
                <w:rFonts w:cs="Calibri"/>
                <w:b/>
                <w:bCs/>
                <w:lang w:val="en-US"/>
              </w:rPr>
              <w:t>Commitment Letters</w:t>
            </w:r>
            <w:r w:rsidR="00F642D6" w:rsidRPr="007E650E">
              <w:rPr>
                <w:rFonts w:cs="Calibri"/>
                <w:b/>
                <w:bCs/>
                <w:lang w:val="en-US"/>
              </w:rPr>
              <w:t xml:space="preserve"> (if applicable)</w:t>
            </w:r>
            <w:r w:rsidRPr="007E650E">
              <w:rPr>
                <w:rFonts w:cs="Calibri"/>
                <w:b/>
                <w:bCs/>
                <w:lang w:val="en-US"/>
              </w:rPr>
              <w:t xml:space="preserve"> </w:t>
            </w:r>
            <w:r w:rsidR="00F642D6" w:rsidRPr="007E650E">
              <w:rPr>
                <w:rFonts w:cs="Calibri"/>
                <w:b/>
                <w:bCs/>
                <w:lang w:val="en-US"/>
              </w:rPr>
              <w:t xml:space="preserve">- </w:t>
            </w:r>
            <w:r w:rsidRPr="007E650E">
              <w:rPr>
                <w:rFonts w:cs="Calibri"/>
                <w:b/>
                <w:bCs/>
                <w:lang w:val="en-US"/>
              </w:rPr>
              <w:t>ComLtr</w:t>
            </w:r>
          </w:p>
        </w:tc>
        <w:tc>
          <w:tcPr>
            <w:tcW w:w="2259" w:type="pct"/>
          </w:tcPr>
          <w:p w14:paraId="4B25496C" w14:textId="779AFB94" w:rsidR="008544AA" w:rsidRPr="007E650E" w:rsidRDefault="00DD2DB0" w:rsidP="00DD2DB0">
            <w:pPr>
              <w:pStyle w:val="BodyText"/>
              <w:spacing w:before="120" w:after="120"/>
              <w:rPr>
                <w:rFonts w:cs="Calibri"/>
                <w:color w:val="FFFFFF"/>
              </w:rPr>
            </w:pPr>
            <w:r w:rsidRPr="007E650E">
              <w:rPr>
                <w:rFonts w:cs="Calibri"/>
              </w:rPr>
              <w:t>ABC DHH PY 25-26 ComLtr</w:t>
            </w:r>
          </w:p>
        </w:tc>
      </w:tr>
    </w:tbl>
    <w:p w14:paraId="4BDE3223" w14:textId="77777777" w:rsidR="008544AA" w:rsidRPr="007E650E" w:rsidRDefault="008544AA" w:rsidP="008544AA">
      <w:pPr>
        <w:rPr>
          <w:rFonts w:cstheme="minorHAnsi"/>
        </w:rPr>
      </w:pPr>
    </w:p>
    <w:p w14:paraId="1AAE1885" w14:textId="77777777" w:rsidR="00FF0731" w:rsidRPr="007E650E" w:rsidRDefault="00FF0731" w:rsidP="00FF0731">
      <w:pPr>
        <w:pStyle w:val="BodyText"/>
        <w:spacing w:after="0"/>
        <w:rPr>
          <w:b/>
          <w:bCs/>
        </w:rPr>
      </w:pPr>
      <w:r w:rsidRPr="007E650E">
        <w:rPr>
          <w:b/>
          <w:bCs/>
        </w:rPr>
        <w:t>Figure 4.2: Application Timeline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4230"/>
      </w:tblGrid>
      <w:tr w:rsidR="00FF0731" w:rsidRPr="007E650E" w14:paraId="3F5BB6BB"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E0E0E0"/>
            <w:hideMark/>
          </w:tcPr>
          <w:p w14:paraId="23EF5AD8" w14:textId="45D638C4" w:rsidR="00FF0731" w:rsidRPr="007E650E" w:rsidRDefault="00FF0731" w:rsidP="00072531">
            <w:pPr>
              <w:spacing w:before="120" w:after="120" w:line="240" w:lineRule="auto"/>
              <w:ind w:firstLine="79"/>
              <w:textAlignment w:val="baseline"/>
              <w:rPr>
                <w:rFonts w:ascii="Segoe UI" w:eastAsia="Times New Roman" w:hAnsi="Segoe UI" w:cs="Segoe UI"/>
                <w:kern w:val="0"/>
                <w:sz w:val="18"/>
                <w:szCs w:val="18"/>
                <w14:ligatures w14:val="none"/>
              </w:rPr>
            </w:pPr>
            <w:r w:rsidRPr="007E650E">
              <w:rPr>
                <w:rFonts w:ascii="Calibri" w:eastAsia="Times New Roman" w:hAnsi="Calibri" w:cs="Calibri"/>
                <w:b/>
                <w:bCs/>
                <w:color w:val="000000"/>
                <w:kern w:val="0"/>
                <w:sz w:val="24"/>
                <w:szCs w:val="24"/>
                <w:lang w:val="en"/>
                <w14:ligatures w14:val="none"/>
              </w:rPr>
              <w:t>Event</w:t>
            </w:r>
          </w:p>
        </w:tc>
        <w:tc>
          <w:tcPr>
            <w:tcW w:w="4230" w:type="dxa"/>
            <w:tcBorders>
              <w:top w:val="single" w:sz="6" w:space="0" w:color="000000"/>
              <w:left w:val="single" w:sz="6" w:space="0" w:color="000000"/>
              <w:bottom w:val="single" w:sz="6" w:space="0" w:color="000000"/>
              <w:right w:val="single" w:sz="6" w:space="0" w:color="000000"/>
            </w:tcBorders>
            <w:shd w:val="clear" w:color="auto" w:fill="E0E0E0"/>
            <w:hideMark/>
          </w:tcPr>
          <w:p w14:paraId="307CD09C" w14:textId="262F9760" w:rsidR="00FF0731" w:rsidRPr="007E650E" w:rsidRDefault="00FF0731" w:rsidP="00072531">
            <w:pPr>
              <w:spacing w:before="120" w:after="120" w:line="240" w:lineRule="auto"/>
              <w:ind w:firstLine="79"/>
              <w:textAlignment w:val="baseline"/>
              <w:rPr>
                <w:rFonts w:ascii="Segoe UI" w:eastAsia="Times New Roman" w:hAnsi="Segoe UI" w:cs="Segoe UI"/>
                <w:kern w:val="0"/>
                <w:sz w:val="18"/>
                <w:szCs w:val="18"/>
                <w14:ligatures w14:val="none"/>
              </w:rPr>
            </w:pPr>
            <w:r w:rsidRPr="007E650E">
              <w:rPr>
                <w:rFonts w:ascii="Calibri" w:eastAsia="Times New Roman" w:hAnsi="Calibri" w:cs="Calibri"/>
                <w:b/>
                <w:bCs/>
                <w:color w:val="000000"/>
                <w:kern w:val="0"/>
                <w:sz w:val="24"/>
                <w:szCs w:val="24"/>
                <w:lang w:val="en"/>
                <w14:ligatures w14:val="none"/>
              </w:rPr>
              <w:t>Date</w:t>
            </w:r>
          </w:p>
        </w:tc>
      </w:tr>
      <w:tr w:rsidR="00FF0731" w:rsidRPr="007E650E" w14:paraId="7074D2A0"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3C7DF767" w14:textId="77777777" w:rsidR="00FF0731" w:rsidRPr="007E650E" w:rsidRDefault="00FF0731" w:rsidP="00072531">
            <w:pPr>
              <w:spacing w:before="120" w:after="120" w:line="240" w:lineRule="auto"/>
              <w:ind w:left="144" w:hanging="65"/>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SFP release</w:t>
            </w:r>
            <w:r w:rsidRPr="007E650E">
              <w:rPr>
                <w:rFonts w:ascii="Calibri" w:eastAsia="Times New Roman" w:hAnsi="Calibri" w:cs="Calibri"/>
                <w:color w:val="000000"/>
                <w:kern w:val="0"/>
                <w:sz w:val="24"/>
                <w:szCs w:val="24"/>
                <w14:ligatures w14:val="none"/>
              </w:rPr>
              <w:t>  </w:t>
            </w:r>
          </w:p>
        </w:tc>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47891198" w14:textId="4A179E78" w:rsidR="00FF0731" w:rsidRPr="007E650E" w:rsidRDefault="00FF0731" w:rsidP="00072531">
            <w:pPr>
              <w:spacing w:before="120" w:after="120" w:line="240" w:lineRule="auto"/>
              <w:ind w:left="144" w:hanging="18"/>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April 23, 2025</w:t>
            </w:r>
          </w:p>
        </w:tc>
      </w:tr>
      <w:tr w:rsidR="00B56E8B" w:rsidRPr="007E650E" w14:paraId="3F830049"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tcPr>
          <w:p w14:paraId="5A66ECEF" w14:textId="755EAB06" w:rsidR="00B56E8B" w:rsidRPr="007E650E" w:rsidRDefault="00B56E8B" w:rsidP="00072531">
            <w:pPr>
              <w:spacing w:before="120" w:after="120" w:line="240" w:lineRule="auto"/>
              <w:ind w:left="144" w:hanging="65"/>
              <w:textAlignment w:val="baseline"/>
              <w:rPr>
                <w:rFonts w:ascii="Calibri" w:eastAsia="Times New Roman" w:hAnsi="Calibri" w:cs="Calibri"/>
                <w:color w:val="000000"/>
                <w:kern w:val="0"/>
                <w:sz w:val="24"/>
                <w:szCs w:val="24"/>
                <w:lang w:val="en"/>
                <w14:ligatures w14:val="none"/>
              </w:rPr>
            </w:pPr>
            <w:r w:rsidRPr="007E650E">
              <w:rPr>
                <w:rFonts w:ascii="Calibri" w:eastAsia="Times New Roman" w:hAnsi="Calibri" w:cs="Calibri"/>
                <w:color w:val="000000"/>
                <w:kern w:val="0"/>
                <w:sz w:val="24"/>
                <w:szCs w:val="24"/>
                <w:lang w:val="en"/>
                <w14:ligatures w14:val="none"/>
              </w:rPr>
              <w:t>Last date to submit questions for the webinar</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14:paraId="399C62B1" w14:textId="70C7CD01" w:rsidR="00B56E8B" w:rsidRPr="007E650E" w:rsidRDefault="00B56E8B" w:rsidP="00072531">
            <w:pPr>
              <w:spacing w:before="120" w:after="120" w:line="240" w:lineRule="auto"/>
              <w:ind w:left="144" w:hanging="18"/>
              <w:textAlignment w:val="baseline"/>
              <w:rPr>
                <w:rFonts w:ascii="Calibri" w:eastAsia="Times New Roman" w:hAnsi="Calibri" w:cs="Calibri"/>
                <w:color w:val="000000"/>
                <w:kern w:val="0"/>
                <w:sz w:val="24"/>
                <w:szCs w:val="24"/>
                <w:lang w:val="en"/>
                <w14:ligatures w14:val="none"/>
              </w:rPr>
            </w:pPr>
            <w:r w:rsidRPr="007E650E">
              <w:rPr>
                <w:rFonts w:ascii="Calibri" w:eastAsia="Times New Roman" w:hAnsi="Calibri" w:cs="Calibri"/>
                <w:color w:val="000000"/>
                <w:kern w:val="0"/>
                <w:sz w:val="24"/>
                <w:szCs w:val="24"/>
                <w:lang w:val="en"/>
                <w14:ligatures w14:val="none"/>
              </w:rPr>
              <w:t>May 2, 2025</w:t>
            </w:r>
          </w:p>
        </w:tc>
      </w:tr>
      <w:tr w:rsidR="00B56E8B" w:rsidRPr="007E650E" w14:paraId="7EE20FB7"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tcPr>
          <w:p w14:paraId="599BB0F7" w14:textId="1B49A10E" w:rsidR="00B56E8B" w:rsidRPr="007E650E" w:rsidRDefault="00B56E8B" w:rsidP="00072531">
            <w:pPr>
              <w:spacing w:before="120" w:after="120" w:line="240" w:lineRule="auto"/>
              <w:ind w:left="144" w:hanging="65"/>
              <w:textAlignment w:val="baseline"/>
              <w:rPr>
                <w:rFonts w:ascii="Calibri" w:eastAsia="Times New Roman" w:hAnsi="Calibri" w:cs="Calibri"/>
                <w:color w:val="000000"/>
                <w:kern w:val="0"/>
                <w:sz w:val="24"/>
                <w:szCs w:val="24"/>
                <w:lang w:val="en"/>
                <w14:ligatures w14:val="none"/>
              </w:rPr>
            </w:pPr>
            <w:r w:rsidRPr="007E650E">
              <w:rPr>
                <w:rFonts w:ascii="Calibri" w:eastAsia="Times New Roman" w:hAnsi="Calibri" w:cs="Calibri"/>
                <w:color w:val="000000"/>
                <w:kern w:val="0"/>
                <w:sz w:val="24"/>
                <w:szCs w:val="24"/>
                <w:lang w:val="en"/>
                <w14:ligatures w14:val="none"/>
              </w:rPr>
              <w:t>Deadline to preregister for the webinar</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14:paraId="44E0CB3F" w14:textId="36A5BA31" w:rsidR="00B56E8B" w:rsidRPr="007E650E" w:rsidRDefault="00B56E8B" w:rsidP="00072531">
            <w:pPr>
              <w:spacing w:before="120" w:after="120" w:line="240" w:lineRule="auto"/>
              <w:ind w:left="144" w:hanging="18"/>
              <w:textAlignment w:val="baseline"/>
              <w:rPr>
                <w:rFonts w:ascii="Calibri" w:eastAsia="Times New Roman" w:hAnsi="Calibri" w:cs="Calibri"/>
                <w:color w:val="000000"/>
                <w:kern w:val="0"/>
                <w:sz w:val="24"/>
                <w:szCs w:val="24"/>
                <w:lang w:val="en"/>
                <w14:ligatures w14:val="none"/>
              </w:rPr>
            </w:pPr>
            <w:r w:rsidRPr="007E650E">
              <w:rPr>
                <w:rFonts w:ascii="Calibri" w:eastAsia="Times New Roman" w:hAnsi="Calibri" w:cs="Calibri"/>
                <w:color w:val="000000"/>
                <w:kern w:val="0"/>
                <w:sz w:val="24"/>
                <w:szCs w:val="24"/>
                <w:lang w:val="en"/>
                <w14:ligatures w14:val="none"/>
              </w:rPr>
              <w:t xml:space="preserve">May </w:t>
            </w:r>
            <w:r w:rsidR="00A42D30" w:rsidRPr="007E650E">
              <w:rPr>
                <w:rFonts w:ascii="Calibri" w:eastAsia="Times New Roman" w:hAnsi="Calibri" w:cs="Calibri"/>
                <w:color w:val="000000"/>
                <w:kern w:val="0"/>
                <w:sz w:val="24"/>
                <w:szCs w:val="24"/>
                <w:lang w:val="en"/>
                <w14:ligatures w14:val="none"/>
              </w:rPr>
              <w:t>5</w:t>
            </w:r>
            <w:r w:rsidRPr="007E650E">
              <w:rPr>
                <w:rFonts w:ascii="Calibri" w:eastAsia="Times New Roman" w:hAnsi="Calibri" w:cs="Calibri"/>
                <w:color w:val="000000"/>
                <w:kern w:val="0"/>
                <w:sz w:val="24"/>
                <w:szCs w:val="24"/>
                <w:lang w:val="en"/>
                <w14:ligatures w14:val="none"/>
              </w:rPr>
              <w:t>, 2025, at 9 a.m. PT</w:t>
            </w:r>
          </w:p>
        </w:tc>
      </w:tr>
      <w:tr w:rsidR="00FF0731" w:rsidRPr="007E650E" w14:paraId="1CFFF623"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4CC13F3B" w14:textId="77777777" w:rsidR="00FF0731" w:rsidRPr="007E650E" w:rsidRDefault="00FF0731" w:rsidP="00072531">
            <w:pPr>
              <w:spacing w:before="120" w:after="120" w:line="240" w:lineRule="auto"/>
              <w:ind w:left="144" w:hanging="65"/>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Informational Webinar</w:t>
            </w:r>
            <w:r w:rsidRPr="007E650E">
              <w:rPr>
                <w:rFonts w:ascii="Calibri" w:eastAsia="Times New Roman" w:hAnsi="Calibri" w:cs="Calibri"/>
                <w:color w:val="000000"/>
                <w:kern w:val="0"/>
                <w:sz w:val="24"/>
                <w:szCs w:val="24"/>
                <w14:ligatures w14:val="none"/>
              </w:rPr>
              <w:t>  </w:t>
            </w:r>
          </w:p>
        </w:tc>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2CA3A50F" w14:textId="365DDDED" w:rsidR="00FF0731" w:rsidRPr="007E650E" w:rsidRDefault="00FF0731" w:rsidP="00072531">
            <w:pPr>
              <w:spacing w:before="120" w:after="120" w:line="240" w:lineRule="auto"/>
              <w:ind w:left="144" w:hanging="18"/>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 xml:space="preserve">May </w:t>
            </w:r>
            <w:r w:rsidR="00A42D30" w:rsidRPr="007E650E">
              <w:rPr>
                <w:rFonts w:ascii="Calibri" w:eastAsia="Times New Roman" w:hAnsi="Calibri" w:cs="Calibri"/>
                <w:color w:val="000000"/>
                <w:kern w:val="0"/>
                <w:sz w:val="24"/>
                <w:szCs w:val="24"/>
                <w:lang w:val="en"/>
                <w14:ligatures w14:val="none"/>
              </w:rPr>
              <w:t>5</w:t>
            </w:r>
            <w:r w:rsidRPr="007E650E">
              <w:rPr>
                <w:rFonts w:ascii="Calibri" w:eastAsia="Times New Roman" w:hAnsi="Calibri" w:cs="Calibri"/>
                <w:color w:val="000000"/>
                <w:kern w:val="0"/>
                <w:sz w:val="24"/>
                <w:szCs w:val="24"/>
                <w:lang w:val="en"/>
                <w14:ligatures w14:val="none"/>
              </w:rPr>
              <w:t>, 2025, at 10 a.m. PT</w:t>
            </w:r>
          </w:p>
        </w:tc>
      </w:tr>
      <w:tr w:rsidR="00FF0731" w:rsidRPr="007E650E" w14:paraId="6B04F880"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22924D58" w14:textId="77777777" w:rsidR="00FF0731" w:rsidRPr="007E650E" w:rsidRDefault="00FF0731" w:rsidP="00072531">
            <w:pPr>
              <w:spacing w:before="120" w:after="120" w:line="240" w:lineRule="auto"/>
              <w:ind w:left="144" w:hanging="65"/>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Notice of Intent to Apply</w:t>
            </w:r>
            <w:r w:rsidRPr="007E650E">
              <w:rPr>
                <w:rFonts w:ascii="Calibri" w:eastAsia="Times New Roman" w:hAnsi="Calibri" w:cs="Calibri"/>
                <w:color w:val="000000"/>
                <w:kern w:val="0"/>
                <w:sz w:val="24"/>
                <w:szCs w:val="24"/>
                <w14:ligatures w14:val="none"/>
              </w:rPr>
              <w:t>  </w:t>
            </w:r>
          </w:p>
        </w:tc>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61ADFE63" w14:textId="41BE2352" w:rsidR="00FF0731" w:rsidRPr="007E650E" w:rsidRDefault="00FF0731" w:rsidP="00072531">
            <w:pPr>
              <w:spacing w:before="120" w:after="120" w:line="240" w:lineRule="auto"/>
              <w:ind w:left="144" w:hanging="18"/>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May 9, 2025, by noon PT</w:t>
            </w:r>
          </w:p>
        </w:tc>
      </w:tr>
      <w:tr w:rsidR="00FF0731" w:rsidRPr="007E650E" w14:paraId="04D9FFAB"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38BE2CDA" w14:textId="77777777" w:rsidR="00FF0731" w:rsidRPr="007E650E" w:rsidRDefault="00FF0731" w:rsidP="00072531">
            <w:pPr>
              <w:spacing w:before="120" w:after="120" w:line="240" w:lineRule="auto"/>
              <w:ind w:left="144" w:hanging="65"/>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Proposals due</w:t>
            </w:r>
            <w:r w:rsidRPr="007E650E">
              <w:rPr>
                <w:rFonts w:ascii="Calibri" w:eastAsia="Times New Roman" w:hAnsi="Calibri" w:cs="Calibri"/>
                <w:color w:val="000000"/>
                <w:kern w:val="0"/>
                <w:sz w:val="24"/>
                <w:szCs w:val="24"/>
                <w14:ligatures w14:val="none"/>
              </w:rPr>
              <w:t>  </w:t>
            </w:r>
          </w:p>
        </w:tc>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72CB85D4" w14:textId="2C0A1AA3" w:rsidR="00FF0731" w:rsidRPr="007E650E" w:rsidRDefault="00FF0731" w:rsidP="00072531">
            <w:pPr>
              <w:spacing w:before="120" w:after="120" w:line="240" w:lineRule="auto"/>
              <w:ind w:left="144" w:hanging="18"/>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May 27, 2025, by 3 p.m. PT</w:t>
            </w:r>
          </w:p>
        </w:tc>
      </w:tr>
      <w:tr w:rsidR="00FF0731" w:rsidRPr="007E650E" w14:paraId="3BC5F171" w14:textId="77777777" w:rsidTr="004246D0">
        <w:trPr>
          <w:trHeight w:val="315"/>
        </w:trPr>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3A31FB18" w14:textId="77777777" w:rsidR="00FF0731" w:rsidRPr="007E650E" w:rsidRDefault="00FF0731" w:rsidP="00072531">
            <w:pPr>
              <w:spacing w:before="120" w:after="120" w:line="240" w:lineRule="auto"/>
              <w:ind w:left="144" w:hanging="65"/>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Estimated proposal review and evaluation</w:t>
            </w:r>
            <w:r w:rsidRPr="007E650E">
              <w:rPr>
                <w:rFonts w:ascii="Calibri" w:eastAsia="Times New Roman" w:hAnsi="Calibri" w:cs="Calibri"/>
                <w:color w:val="000000"/>
                <w:kern w:val="0"/>
                <w:sz w:val="24"/>
                <w:szCs w:val="24"/>
                <w14:ligatures w14:val="none"/>
              </w:rPr>
              <w:t>  </w:t>
            </w:r>
          </w:p>
        </w:tc>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2A7A957F" w14:textId="34B0FC5E" w:rsidR="00FF0731" w:rsidRPr="007E650E" w:rsidRDefault="00FF0731" w:rsidP="00072531">
            <w:pPr>
              <w:spacing w:before="120" w:after="120" w:line="240" w:lineRule="auto"/>
              <w:ind w:left="144" w:hanging="18"/>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June 2, 2025 – June 6, 2025</w:t>
            </w:r>
          </w:p>
        </w:tc>
      </w:tr>
      <w:tr w:rsidR="00FF0731" w:rsidRPr="007E650E" w14:paraId="5BAB4B09"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33CC60C1" w14:textId="77777777" w:rsidR="00FF0731" w:rsidRPr="007E650E" w:rsidRDefault="00FF0731" w:rsidP="00072531">
            <w:pPr>
              <w:spacing w:before="120" w:after="120" w:line="240" w:lineRule="auto"/>
              <w:ind w:left="144" w:hanging="65"/>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Estimated deadline to appeal</w:t>
            </w:r>
            <w:r w:rsidRPr="007E650E">
              <w:rPr>
                <w:rFonts w:ascii="Calibri" w:eastAsia="Times New Roman" w:hAnsi="Calibri" w:cs="Calibri"/>
                <w:color w:val="000000"/>
                <w:kern w:val="0"/>
                <w:sz w:val="24"/>
                <w:szCs w:val="24"/>
                <w14:ligatures w14:val="none"/>
              </w:rPr>
              <w:t>  </w:t>
            </w:r>
          </w:p>
        </w:tc>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42A8AABF" w14:textId="7B70E292" w:rsidR="00FF0731" w:rsidRPr="007E650E" w:rsidRDefault="00FF0731" w:rsidP="00072531">
            <w:pPr>
              <w:spacing w:before="120" w:after="120" w:line="240" w:lineRule="auto"/>
              <w:ind w:left="144" w:hanging="18"/>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June 5, 2025</w:t>
            </w:r>
          </w:p>
        </w:tc>
      </w:tr>
      <w:tr w:rsidR="00FF0731" w:rsidRPr="007E650E" w14:paraId="277ECE85"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556A7674" w14:textId="77777777" w:rsidR="00FF0731" w:rsidRPr="007E650E" w:rsidRDefault="00FF0731" w:rsidP="00072531">
            <w:pPr>
              <w:spacing w:before="120" w:after="120" w:line="240" w:lineRule="auto"/>
              <w:ind w:left="144" w:hanging="65"/>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Estimated award announcements</w:t>
            </w:r>
            <w:r w:rsidRPr="007E650E">
              <w:rPr>
                <w:rFonts w:ascii="Calibri" w:eastAsia="Times New Roman" w:hAnsi="Calibri" w:cs="Calibri"/>
                <w:color w:val="000000"/>
                <w:kern w:val="0"/>
                <w:sz w:val="24"/>
                <w:szCs w:val="24"/>
                <w14:ligatures w14:val="none"/>
              </w:rPr>
              <w:t>  </w:t>
            </w:r>
          </w:p>
        </w:tc>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704F2657" w14:textId="7DAE8AA7" w:rsidR="00FF0731" w:rsidRPr="007E650E" w:rsidRDefault="00FF0731" w:rsidP="00072531">
            <w:pPr>
              <w:spacing w:before="120" w:after="120" w:line="240" w:lineRule="auto"/>
              <w:ind w:left="144" w:hanging="18"/>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July 2025</w:t>
            </w:r>
          </w:p>
        </w:tc>
      </w:tr>
      <w:tr w:rsidR="00FF0731" w:rsidRPr="007E650E" w14:paraId="1D2DBB65" w14:textId="77777777" w:rsidTr="004246D0">
        <w:trPr>
          <w:trHeight w:val="300"/>
        </w:trPr>
        <w:tc>
          <w:tcPr>
            <w:tcW w:w="5085" w:type="dxa"/>
            <w:tcBorders>
              <w:top w:val="single" w:sz="6" w:space="0" w:color="000000"/>
              <w:left w:val="single" w:sz="6" w:space="0" w:color="000000"/>
              <w:bottom w:val="single" w:sz="6" w:space="0" w:color="000000"/>
              <w:right w:val="single" w:sz="6" w:space="0" w:color="000000"/>
            </w:tcBorders>
            <w:shd w:val="clear" w:color="auto" w:fill="auto"/>
            <w:hideMark/>
          </w:tcPr>
          <w:p w14:paraId="46C581FB" w14:textId="77777777" w:rsidR="00FF0731" w:rsidRPr="007E650E" w:rsidRDefault="00FF0731" w:rsidP="00072531">
            <w:pPr>
              <w:spacing w:before="120" w:after="120" w:line="240" w:lineRule="auto"/>
              <w:ind w:left="144" w:hanging="65"/>
              <w:textAlignment w:val="baseline"/>
              <w:rPr>
                <w:rFonts w:ascii="Segoe UI" w:eastAsia="Times New Roman" w:hAnsi="Segoe UI" w:cs="Segoe UI"/>
                <w:kern w:val="0"/>
                <w:sz w:val="18"/>
                <w:szCs w:val="18"/>
                <w14:ligatures w14:val="none"/>
              </w:rPr>
            </w:pPr>
            <w:r w:rsidRPr="007E650E">
              <w:rPr>
                <w:rFonts w:ascii="Calibri" w:eastAsia="Times New Roman" w:hAnsi="Calibri" w:cs="Calibri"/>
                <w:color w:val="000000"/>
                <w:kern w:val="0"/>
                <w:sz w:val="24"/>
                <w:szCs w:val="24"/>
                <w:lang w:val="en"/>
                <w14:ligatures w14:val="none"/>
              </w:rPr>
              <w:t>Estimated project start date</w:t>
            </w:r>
            <w:r w:rsidRPr="007E650E">
              <w:rPr>
                <w:rFonts w:ascii="Calibri" w:eastAsia="Times New Roman" w:hAnsi="Calibri" w:cs="Calibri"/>
                <w:color w:val="000000"/>
                <w:kern w:val="0"/>
                <w:sz w:val="24"/>
                <w:szCs w:val="24"/>
                <w14:ligatures w14:val="none"/>
              </w:rPr>
              <w:t>  </w:t>
            </w:r>
          </w:p>
        </w:tc>
        <w:tc>
          <w:tcPr>
            <w:tcW w:w="4230" w:type="dxa"/>
            <w:tcBorders>
              <w:top w:val="single" w:sz="6" w:space="0" w:color="000000"/>
              <w:left w:val="single" w:sz="6" w:space="0" w:color="000000"/>
              <w:bottom w:val="single" w:sz="6" w:space="0" w:color="000000"/>
              <w:right w:val="single" w:sz="6" w:space="0" w:color="000000"/>
            </w:tcBorders>
            <w:shd w:val="clear" w:color="auto" w:fill="auto"/>
            <w:hideMark/>
          </w:tcPr>
          <w:p w14:paraId="221866D5" w14:textId="04CE6969" w:rsidR="00FF0731" w:rsidRPr="007E650E" w:rsidRDefault="00FF0731" w:rsidP="00072531">
            <w:pPr>
              <w:spacing w:before="120" w:after="120" w:line="240" w:lineRule="auto"/>
              <w:ind w:left="144" w:hanging="18"/>
              <w:textAlignment w:val="baseline"/>
              <w:rPr>
                <w:rFonts w:ascii="Segoe UI" w:eastAsia="Times New Roman" w:hAnsi="Segoe UI" w:cs="Segoe UI"/>
                <w:kern w:val="0"/>
                <w:sz w:val="18"/>
                <w:szCs w:val="18"/>
                <w14:ligatures w14:val="none"/>
              </w:rPr>
            </w:pPr>
            <w:r w:rsidRPr="007E650E">
              <w:rPr>
                <w:rFonts w:ascii="Calibri" w:eastAsia="Times New Roman" w:hAnsi="Calibri" w:cs="Calibri"/>
                <w:kern w:val="0"/>
                <w:sz w:val="24"/>
                <w:szCs w:val="24"/>
                <w:lang w:val="en"/>
                <w14:ligatures w14:val="none"/>
              </w:rPr>
              <w:t>July 2025</w:t>
            </w:r>
          </w:p>
        </w:tc>
      </w:tr>
    </w:tbl>
    <w:p w14:paraId="4710329D" w14:textId="33A7869A" w:rsidR="00FF0731" w:rsidRPr="007E650E" w:rsidRDefault="00FF0731" w:rsidP="00FF0731">
      <w:pPr>
        <w:pStyle w:val="BodyText"/>
        <w:rPr>
          <w:rFonts w:eastAsia="Times New Roman"/>
          <w:bCs/>
        </w:rPr>
      </w:pPr>
      <w:r w:rsidRPr="007E650E">
        <w:rPr>
          <w:rFonts w:eastAsia="Times New Roman"/>
          <w:b/>
        </w:rPr>
        <w:t>Note</w:t>
      </w:r>
      <w:r w:rsidRPr="007E650E">
        <w:rPr>
          <w:rFonts w:eastAsia="Times New Roman"/>
          <w:bCs/>
        </w:rPr>
        <w:t xml:space="preserve"> – All dates after the final proposal submission deadline are approximate and may be adjusted as conditions dictate without </w:t>
      </w:r>
      <w:r w:rsidR="007C09D3" w:rsidRPr="007E650E">
        <w:rPr>
          <w:rFonts w:eastAsia="Times New Roman"/>
          <w:bCs/>
        </w:rPr>
        <w:t xml:space="preserve">an </w:t>
      </w:r>
      <w:r w:rsidRPr="007E650E">
        <w:rPr>
          <w:rFonts w:eastAsia="Times New Roman"/>
          <w:bCs/>
        </w:rPr>
        <w:t>addendum to this SFP.</w:t>
      </w:r>
    </w:p>
    <w:p w14:paraId="18C0FB28" w14:textId="77777777" w:rsidR="008544AA" w:rsidRPr="007E650E" w:rsidRDefault="008544AA" w:rsidP="00F470F1">
      <w:pPr>
        <w:pStyle w:val="Heading3"/>
      </w:pPr>
      <w:bookmarkStart w:id="75" w:name="_Toc167356433"/>
      <w:bookmarkStart w:id="76" w:name="_Toc195189597"/>
      <w:bookmarkEnd w:id="74"/>
      <w:r w:rsidRPr="007E650E">
        <w:lastRenderedPageBreak/>
        <w:t>Questions and Answers</w:t>
      </w:r>
      <w:bookmarkEnd w:id="75"/>
      <w:bookmarkEnd w:id="76"/>
    </w:p>
    <w:p w14:paraId="3E6FE042" w14:textId="1EECBB21" w:rsidR="008544AA" w:rsidRPr="007E650E" w:rsidRDefault="008544AA" w:rsidP="00E60407">
      <w:pPr>
        <w:pStyle w:val="BodyText"/>
      </w:pPr>
      <w:r w:rsidRPr="007E650E">
        <w:rPr>
          <w:lang w:val="en-US"/>
        </w:rPr>
        <w:t xml:space="preserve">An informational webinar to review application requirements and answer questions is scheduled </w:t>
      </w:r>
      <w:r w:rsidR="005A1E42" w:rsidRPr="007E650E">
        <w:rPr>
          <w:lang w:val="en-US"/>
        </w:rPr>
        <w:t>for</w:t>
      </w:r>
      <w:r w:rsidRPr="007E650E">
        <w:rPr>
          <w:lang w:val="en-US"/>
        </w:rPr>
        <w:t xml:space="preserve"> </w:t>
      </w:r>
      <w:r w:rsidR="005112AC" w:rsidRPr="007E650E">
        <w:rPr>
          <w:lang w:val="en-US"/>
        </w:rPr>
        <w:t xml:space="preserve">May </w:t>
      </w:r>
      <w:r w:rsidR="00A42D30" w:rsidRPr="007E650E">
        <w:rPr>
          <w:lang w:val="en-US"/>
        </w:rPr>
        <w:t>5</w:t>
      </w:r>
      <w:r w:rsidR="005112AC" w:rsidRPr="007E650E">
        <w:rPr>
          <w:lang w:val="en-US"/>
        </w:rPr>
        <w:t>, 2025, at 10 a.m. PT</w:t>
      </w:r>
      <w:r w:rsidRPr="007E650E">
        <w:rPr>
          <w:lang w:val="en-US"/>
        </w:rPr>
        <w:t xml:space="preserve">. This webinar will be the final opportunity for applicants to ask specific questions regarding the SFP and the application process. Pre-registration is required for all participants. Refer to the </w:t>
      </w:r>
      <w:hyperlink r:id="rId25" w:history="1">
        <w:r w:rsidR="000D5ACF">
          <w:rPr>
            <w:rStyle w:val="Hyperlink"/>
            <w:color w:val="0070C0"/>
            <w:lang w:val="en-US"/>
          </w:rPr>
          <w:t>EDD's Workforce Development Solicitation for Proposals</w:t>
        </w:r>
      </w:hyperlink>
      <w:r w:rsidRPr="007E650E">
        <w:rPr>
          <w:lang w:val="en-US"/>
        </w:rPr>
        <w:t xml:space="preserve"> </w:t>
      </w:r>
      <w:r w:rsidR="00905691" w:rsidRPr="007E650E">
        <w:rPr>
          <w:lang w:val="en-US"/>
        </w:rPr>
        <w:t xml:space="preserve">website </w:t>
      </w:r>
      <w:r w:rsidRPr="007E650E">
        <w:rPr>
          <w:lang w:val="en-US"/>
        </w:rPr>
        <w:t xml:space="preserve">for the </w:t>
      </w:r>
      <w:hyperlink r:id="rId26" w:history="1">
        <w:r w:rsidR="00AE3155" w:rsidRPr="007E650E">
          <w:rPr>
            <w:rStyle w:val="Hyperlink"/>
            <w:color w:val="0070C0"/>
            <w:lang w:val="en-US"/>
          </w:rPr>
          <w:t>pre-registration link</w:t>
        </w:r>
      </w:hyperlink>
      <w:r w:rsidR="005112AC" w:rsidRPr="007E650E">
        <w:rPr>
          <w:rStyle w:val="Hyperlink"/>
          <w:color w:val="auto"/>
          <w:u w:val="none"/>
          <w:lang w:val="en-US"/>
        </w:rPr>
        <w:t>.</w:t>
      </w:r>
      <w:r w:rsidRPr="007E650E">
        <w:rPr>
          <w:lang w:val="en-US"/>
        </w:rPr>
        <w:t xml:space="preserve"> To complete the process and access the webinar, applicants must fill out their information as prompted by the pre-registration link. A system-generated email will be sent upon completion, including a ZOOM link for the webinar.</w:t>
      </w:r>
    </w:p>
    <w:p w14:paraId="64FB1CB1" w14:textId="2218C939" w:rsidR="008544AA" w:rsidRPr="007E650E" w:rsidRDefault="008544AA" w:rsidP="00E60407">
      <w:pPr>
        <w:pStyle w:val="BodyText"/>
      </w:pPr>
      <w:r w:rsidRPr="007E650E">
        <w:rPr>
          <w:lang w:val="en-US"/>
        </w:rPr>
        <w:t xml:space="preserve">Before submitting questions, applicants must thoroughly review the SFP Proposal Package Instructions in Appendix A: Proposal Package Instructions. Email inquiries for the webinar to </w:t>
      </w:r>
      <w:hyperlink r:id="rId27" w:history="1">
        <w:r w:rsidR="007C09D3" w:rsidRPr="007E650E">
          <w:rPr>
            <w:rStyle w:val="Hyperlink"/>
            <w:color w:val="0070C0"/>
            <w:lang w:val="en-US"/>
          </w:rPr>
          <w:t>WSBSFP2@edd.ca.gov</w:t>
        </w:r>
      </w:hyperlink>
      <w:r w:rsidRPr="007E650E">
        <w:rPr>
          <w:lang w:val="en-US"/>
        </w:rPr>
        <w:t xml:space="preserve"> with the subject line: [Applicant</w:t>
      </w:r>
      <w:r w:rsidR="000D5ACF">
        <w:rPr>
          <w:lang w:val="en-US"/>
        </w:rPr>
        <w:t>'</w:t>
      </w:r>
      <w:r w:rsidRPr="007E650E">
        <w:rPr>
          <w:lang w:val="en-US"/>
        </w:rPr>
        <w:t xml:space="preserve">s Three Digit Initialism] </w:t>
      </w:r>
      <w:r w:rsidR="00C13036" w:rsidRPr="007E650E">
        <w:rPr>
          <w:lang w:val="en-US"/>
        </w:rPr>
        <w:t>DHH PY 25-26</w:t>
      </w:r>
      <w:r w:rsidRPr="007E650E">
        <w:rPr>
          <w:lang w:val="en-US"/>
        </w:rPr>
        <w:t xml:space="preserve"> SFP Inquiry. All inquiries must be received b</w:t>
      </w:r>
      <w:r w:rsidR="00B56E8B" w:rsidRPr="007E650E">
        <w:rPr>
          <w:lang w:val="en-US"/>
        </w:rPr>
        <w:t>y</w:t>
      </w:r>
      <w:r w:rsidRPr="007E650E">
        <w:rPr>
          <w:lang w:val="en-US"/>
        </w:rPr>
        <w:t xml:space="preserve"> </w:t>
      </w:r>
      <w:r w:rsidR="00B56E8B" w:rsidRPr="007E650E">
        <w:rPr>
          <w:lang w:val="en-US"/>
        </w:rPr>
        <w:t xml:space="preserve">Friday, </w:t>
      </w:r>
      <w:r w:rsidR="005112AC" w:rsidRPr="007E650E">
        <w:rPr>
          <w:rFonts w:eastAsia="Times New Roman" w:cs="Calibri"/>
          <w:color w:val="000000"/>
          <w:kern w:val="0"/>
          <w14:ligatures w14:val="none"/>
        </w:rPr>
        <w:t xml:space="preserve">May </w:t>
      </w:r>
      <w:r w:rsidR="00B56E8B" w:rsidRPr="007E650E">
        <w:rPr>
          <w:rFonts w:eastAsia="Times New Roman" w:cs="Calibri"/>
          <w:color w:val="000000"/>
          <w:kern w:val="0"/>
          <w14:ligatures w14:val="none"/>
        </w:rPr>
        <w:t>2</w:t>
      </w:r>
      <w:r w:rsidR="005112AC" w:rsidRPr="007E650E">
        <w:rPr>
          <w:rFonts w:eastAsia="Times New Roman" w:cs="Calibri"/>
          <w:color w:val="000000"/>
          <w:kern w:val="0"/>
          <w14:ligatures w14:val="none"/>
        </w:rPr>
        <w:t>, 2025</w:t>
      </w:r>
      <w:r w:rsidRPr="007E650E">
        <w:rPr>
          <w:lang w:val="en-US"/>
        </w:rPr>
        <w:t>.</w:t>
      </w:r>
    </w:p>
    <w:p w14:paraId="10888E8A" w14:textId="77777777" w:rsidR="008544AA" w:rsidRPr="007E650E" w:rsidRDefault="008544AA" w:rsidP="00E60407">
      <w:pPr>
        <w:pStyle w:val="BodyText"/>
        <w:rPr>
          <w:b/>
          <w:bCs/>
        </w:rPr>
      </w:pPr>
      <w:r w:rsidRPr="007E650E">
        <w:rPr>
          <w:b/>
          <w:bCs/>
          <w:lang w:val="en-US"/>
        </w:rPr>
        <w:t>Please note this webinar will not be recorded.</w:t>
      </w:r>
    </w:p>
    <w:p w14:paraId="61D10E9C" w14:textId="5CDF3432" w:rsidR="008544AA" w:rsidRPr="007E650E" w:rsidRDefault="008544AA" w:rsidP="00E60407">
      <w:pPr>
        <w:pStyle w:val="BodyText"/>
      </w:pPr>
      <w:r w:rsidRPr="007E650E">
        <w:rPr>
          <w:lang w:val="en-US"/>
        </w:rPr>
        <w:t>All registered attendees will receive a summary of the content covered during the webinar. The</w:t>
      </w:r>
      <w:r w:rsidR="43A856AE" w:rsidRPr="007E650E">
        <w:rPr>
          <w:lang w:val="en-US"/>
        </w:rPr>
        <w:t xml:space="preserve"> webinar summary</w:t>
      </w:r>
      <w:r w:rsidRPr="007E650E">
        <w:rPr>
          <w:lang w:val="en-US"/>
        </w:rPr>
        <w:t xml:space="preserve"> should be distributed via email a few days after the webinar. In addition, a comprehensive list of all questions and answers received during the solicitation process will be posted to the EDD website approximately one week after the informational webinar.</w:t>
      </w:r>
    </w:p>
    <w:p w14:paraId="718A1ECA" w14:textId="77777777" w:rsidR="008544AA" w:rsidRPr="007E650E" w:rsidRDefault="008544AA" w:rsidP="00F470F1">
      <w:pPr>
        <w:pStyle w:val="Heading3"/>
      </w:pPr>
      <w:bookmarkStart w:id="77" w:name="_Toc167356434"/>
      <w:bookmarkStart w:id="78" w:name="_Toc195189598"/>
      <w:r w:rsidRPr="007E650E">
        <w:t>Delivery</w:t>
      </w:r>
      <w:bookmarkEnd w:id="77"/>
      <w:bookmarkEnd w:id="78"/>
      <w:r w:rsidRPr="007E650E">
        <w:t xml:space="preserve"> </w:t>
      </w:r>
    </w:p>
    <w:p w14:paraId="5ACC1FE5" w14:textId="49522542" w:rsidR="008544AA" w:rsidRPr="007E650E" w:rsidRDefault="008544AA" w:rsidP="00F470F1">
      <w:pPr>
        <w:pStyle w:val="BodyText"/>
      </w:pPr>
      <w:r w:rsidRPr="007E650E">
        <w:rPr>
          <w:lang w:val="en-US"/>
        </w:rPr>
        <w:t xml:space="preserve">Applicants must submit a complete proposal package with all required elements to </w:t>
      </w:r>
      <w:hyperlink r:id="rId28" w:history="1">
        <w:r w:rsidR="005112AC" w:rsidRPr="007E650E">
          <w:rPr>
            <w:rStyle w:val="Hyperlink"/>
            <w:color w:val="0070C0"/>
          </w:rPr>
          <w:t>WSBSFP2@edd.ca.gov</w:t>
        </w:r>
      </w:hyperlink>
      <w:r w:rsidRPr="007E650E">
        <w:rPr>
          <w:lang w:val="en-US"/>
        </w:rPr>
        <w:t xml:space="preserve"> by no later than </w:t>
      </w:r>
      <w:r w:rsidR="005112AC" w:rsidRPr="007E650E">
        <w:rPr>
          <w:lang w:val="en-US"/>
        </w:rPr>
        <w:t xml:space="preserve">3 </w:t>
      </w:r>
      <w:r w:rsidRPr="007E650E">
        <w:rPr>
          <w:lang w:val="en-US"/>
        </w:rPr>
        <w:t xml:space="preserve">p.m. </w:t>
      </w:r>
      <w:r w:rsidR="005112AC" w:rsidRPr="007E650E">
        <w:rPr>
          <w:lang w:val="en-US"/>
        </w:rPr>
        <w:t>PT</w:t>
      </w:r>
      <w:r w:rsidRPr="007E650E">
        <w:rPr>
          <w:lang w:val="en-US"/>
        </w:rPr>
        <w:t xml:space="preserve"> on </w:t>
      </w:r>
      <w:r w:rsidR="005112AC" w:rsidRPr="007E650E">
        <w:rPr>
          <w:lang w:val="en-US"/>
        </w:rPr>
        <w:t>May 27, 2025</w:t>
      </w:r>
      <w:r w:rsidRPr="007E650E">
        <w:rPr>
          <w:lang w:val="en-US"/>
        </w:rPr>
        <w:t xml:space="preserve">. The </w:t>
      </w:r>
      <w:proofErr w:type="spellStart"/>
      <w:r w:rsidRPr="007E650E">
        <w:rPr>
          <w:lang w:val="en-US"/>
        </w:rPr>
        <w:t>Cov</w:t>
      </w:r>
      <w:proofErr w:type="spellEnd"/>
      <w:r w:rsidRPr="007E650E">
        <w:rPr>
          <w:lang w:val="en-US"/>
        </w:rPr>
        <w:t>/Sign Page must be signed by the signatory authority as stated in the resolution for signatory authority.</w:t>
      </w:r>
    </w:p>
    <w:p w14:paraId="1C54DC94" w14:textId="2C9678F9" w:rsidR="008544AA" w:rsidRPr="007E650E" w:rsidRDefault="008544AA" w:rsidP="00F470F1">
      <w:pPr>
        <w:pStyle w:val="BodyText"/>
      </w:pPr>
      <w:r w:rsidRPr="007E650E">
        <w:t xml:space="preserve">Refer to </w:t>
      </w:r>
      <w:r w:rsidRPr="007E650E">
        <w:rPr>
          <w:i/>
          <w:iCs/>
        </w:rPr>
        <w:t>Appendix A: Proposal Package Instructions</w:t>
      </w:r>
      <w:r w:rsidRPr="007E650E">
        <w:t xml:space="preserve"> for further guidelines on electronic submission and </w:t>
      </w:r>
      <w:r w:rsidRPr="007E650E">
        <w:rPr>
          <w:i/>
          <w:iCs/>
        </w:rPr>
        <w:t xml:space="preserve">Section </w:t>
      </w:r>
      <w:r w:rsidR="004F15A4" w:rsidRPr="007E650E">
        <w:rPr>
          <w:i/>
          <w:iCs/>
        </w:rPr>
        <w:t>5</w:t>
      </w:r>
      <w:r w:rsidRPr="007E650E">
        <w:rPr>
          <w:i/>
          <w:iCs/>
        </w:rPr>
        <w:t>.</w:t>
      </w:r>
      <w:r w:rsidR="00E56373" w:rsidRPr="007E650E">
        <w:rPr>
          <w:i/>
          <w:iCs/>
        </w:rPr>
        <w:t xml:space="preserve"> </w:t>
      </w:r>
      <w:r w:rsidRPr="007E650E">
        <w:rPr>
          <w:i/>
          <w:iCs/>
        </w:rPr>
        <w:t>D: Agreement and Contracting</w:t>
      </w:r>
      <w:r w:rsidRPr="007E650E">
        <w:t xml:space="preserve"> for the signatory authority requirements for the Subgrant Agreement.</w:t>
      </w:r>
    </w:p>
    <w:p w14:paraId="2D9650CD" w14:textId="6AF85BFB" w:rsidR="008544AA" w:rsidRPr="007E650E" w:rsidRDefault="008544AA" w:rsidP="00783B8C">
      <w:pPr>
        <w:pStyle w:val="Heading2"/>
        <w:tabs>
          <w:tab w:val="left" w:pos="360"/>
        </w:tabs>
        <w:ind w:left="0" w:firstLine="0"/>
      </w:pPr>
      <w:bookmarkStart w:id="79" w:name="_Toc167356435"/>
      <w:r w:rsidRPr="007E650E">
        <w:t xml:space="preserve"> </w:t>
      </w:r>
      <w:bookmarkStart w:id="80" w:name="_Toc195189599"/>
      <w:r w:rsidRPr="007E650E">
        <w:t>Award and Contracting Process</w:t>
      </w:r>
      <w:bookmarkEnd w:id="79"/>
      <w:bookmarkEnd w:id="80"/>
    </w:p>
    <w:p w14:paraId="4C879B39" w14:textId="77777777" w:rsidR="00EC4F36" w:rsidRPr="007E650E" w:rsidRDefault="00EC4F36" w:rsidP="002E4765">
      <w:pPr>
        <w:pStyle w:val="BodyText"/>
        <w:spacing w:after="0"/>
      </w:pPr>
    </w:p>
    <w:p w14:paraId="7AA688D5" w14:textId="33A6A63D" w:rsidR="008544AA" w:rsidRPr="007E650E" w:rsidRDefault="008544AA" w:rsidP="00F470F1">
      <w:pPr>
        <w:pStyle w:val="BodyText"/>
      </w:pPr>
      <w:r w:rsidRPr="007E650E">
        <w:rPr>
          <w:lang w:val="en-US"/>
        </w:rPr>
        <w:t>After the deadline, the EDD will: (</w:t>
      </w:r>
      <w:proofErr w:type="spellStart"/>
      <w:r w:rsidRPr="007E650E">
        <w:rPr>
          <w:lang w:val="en-US"/>
        </w:rPr>
        <w:t>i</w:t>
      </w:r>
      <w:proofErr w:type="spellEnd"/>
      <w:r w:rsidRPr="007E650E">
        <w:rPr>
          <w:lang w:val="en-US"/>
        </w:rPr>
        <w:t>) vet the proposals based on the minimum qualifications established in this SFP</w:t>
      </w:r>
      <w:r w:rsidR="00EC4F36" w:rsidRPr="007E650E">
        <w:rPr>
          <w:lang w:val="en-US"/>
        </w:rPr>
        <w:t>;</w:t>
      </w:r>
      <w:r w:rsidRPr="007E650E">
        <w:rPr>
          <w:lang w:val="en-US"/>
        </w:rPr>
        <w:t xml:space="preserve"> and (ii) administer a competitive evaluation for all proposals that meet the minimum qualifications. Funding decisions are based on scoring criteria, performance history, and regional and target population needs. The EDD will notify all applicants regarding the status of submitted proposals. A summary of projects funded under this SFP will be publicly posted on the EDD website.</w:t>
      </w:r>
    </w:p>
    <w:p w14:paraId="5CAA6B02" w14:textId="412B0828" w:rsidR="008544AA" w:rsidRPr="007E650E" w:rsidRDefault="008544AA" w:rsidP="00CF0D6C">
      <w:pPr>
        <w:pStyle w:val="Heading3"/>
        <w:numPr>
          <w:ilvl w:val="0"/>
          <w:numId w:val="11"/>
        </w:numPr>
      </w:pPr>
      <w:bookmarkStart w:id="81" w:name="_Toc117246176"/>
      <w:bookmarkStart w:id="82" w:name="_Toc130496186"/>
      <w:bookmarkStart w:id="83" w:name="_Toc167356436"/>
      <w:bookmarkStart w:id="84" w:name="_Toc195189600"/>
      <w:r w:rsidRPr="007E650E">
        <w:lastRenderedPageBreak/>
        <w:t>Proposal Review, Scoring, and Evaluation</w:t>
      </w:r>
      <w:bookmarkEnd w:id="81"/>
      <w:bookmarkEnd w:id="82"/>
      <w:bookmarkEnd w:id="83"/>
      <w:bookmarkEnd w:id="84"/>
    </w:p>
    <w:p w14:paraId="10D821F7" w14:textId="0391578C" w:rsidR="008544AA" w:rsidRPr="007E650E" w:rsidRDefault="008544AA" w:rsidP="00F470F1">
      <w:pPr>
        <w:pStyle w:val="BodyText"/>
      </w:pPr>
      <w:r w:rsidRPr="007E650E">
        <w:rPr>
          <w:lang w:val="en-US"/>
        </w:rPr>
        <w:t xml:space="preserve">Teams of reviewers will </w:t>
      </w:r>
      <w:proofErr w:type="gramStart"/>
      <w:r w:rsidRPr="007E650E">
        <w:rPr>
          <w:lang w:val="en-US"/>
        </w:rPr>
        <w:t>score</w:t>
      </w:r>
      <w:proofErr w:type="gramEnd"/>
      <w:r w:rsidRPr="007E650E">
        <w:rPr>
          <w:lang w:val="en-US"/>
        </w:rPr>
        <w:t xml:space="preserve"> and rank proposals based on the criteria outlined in this SFP. For those organizations that have participated in past grant programs administered by the EDD</w:t>
      </w:r>
      <w:r w:rsidR="000D5ACF">
        <w:rPr>
          <w:lang w:val="en-US"/>
        </w:rPr>
        <w:t>'</w:t>
      </w:r>
      <w:r w:rsidRPr="007E650E">
        <w:rPr>
          <w:lang w:val="en-US"/>
        </w:rPr>
        <w:t xml:space="preserve">s Workforce Services Branch (WSB), past and present performance will be considered </w:t>
      </w:r>
      <w:r w:rsidR="000D5ACF">
        <w:rPr>
          <w:lang w:val="en-US"/>
        </w:rPr>
        <w:t>whe</w:t>
      </w:r>
      <w:r w:rsidRPr="007E650E">
        <w:rPr>
          <w:lang w:val="en-US"/>
        </w:rPr>
        <w:t>n making funding decisions. An example of the scoring value of each section of the SFP is as follows:</w:t>
      </w:r>
    </w:p>
    <w:p w14:paraId="49FABD48" w14:textId="5B2BDF89" w:rsidR="008544AA" w:rsidRPr="007E650E" w:rsidRDefault="008544AA" w:rsidP="00E56373">
      <w:pPr>
        <w:pStyle w:val="BodyText"/>
        <w:spacing w:after="0"/>
        <w:rPr>
          <w:b/>
        </w:rPr>
      </w:pPr>
      <w:r w:rsidRPr="007E650E">
        <w:rPr>
          <w:b/>
        </w:rPr>
        <w:t xml:space="preserve">Figure </w:t>
      </w:r>
      <w:r w:rsidR="00E56373" w:rsidRPr="007E650E">
        <w:rPr>
          <w:b/>
        </w:rPr>
        <w:t>5</w:t>
      </w:r>
      <w:r w:rsidR="008F564F" w:rsidRPr="007E650E">
        <w:rPr>
          <w:b/>
        </w:rPr>
        <w:t>.1</w:t>
      </w:r>
      <w:r w:rsidRPr="007E650E">
        <w:rPr>
          <w:b/>
        </w:rPr>
        <w:t>: Scoring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5"/>
        <w:gridCol w:w="2605"/>
      </w:tblGrid>
      <w:tr w:rsidR="008544AA" w:rsidRPr="007E650E" w14:paraId="6262A5C8" w14:textId="77777777" w:rsidTr="00E56373">
        <w:trPr>
          <w:cantSplit/>
          <w:trHeight w:val="323"/>
          <w:tblHeader/>
        </w:trPr>
        <w:tc>
          <w:tcPr>
            <w:tcW w:w="3607" w:type="pct"/>
            <w:shd w:val="clear" w:color="auto" w:fill="E6E6E6"/>
            <w:vAlign w:val="center"/>
          </w:tcPr>
          <w:p w14:paraId="333C5C48" w14:textId="77777777" w:rsidR="008544AA" w:rsidRPr="007E650E" w:rsidRDefault="008544AA" w:rsidP="00E56373">
            <w:pPr>
              <w:pStyle w:val="BodyText"/>
              <w:spacing w:before="120" w:after="120"/>
              <w:rPr>
                <w:rFonts w:eastAsia="Times New Roman"/>
                <w:b/>
                <w:bCs/>
              </w:rPr>
            </w:pPr>
            <w:r w:rsidRPr="007E650E">
              <w:rPr>
                <w:rFonts w:eastAsia="Times New Roman"/>
                <w:b/>
                <w:bCs/>
              </w:rPr>
              <w:t xml:space="preserve">Narrative Criteria </w:t>
            </w:r>
          </w:p>
        </w:tc>
        <w:tc>
          <w:tcPr>
            <w:tcW w:w="1393" w:type="pct"/>
            <w:shd w:val="clear" w:color="auto" w:fill="E6E6E6"/>
            <w:vAlign w:val="center"/>
          </w:tcPr>
          <w:p w14:paraId="2DAD09ED" w14:textId="77777777" w:rsidR="008544AA" w:rsidRPr="007E650E" w:rsidRDefault="008544AA" w:rsidP="00E56373">
            <w:pPr>
              <w:pStyle w:val="BodyText"/>
              <w:spacing w:before="120" w:after="120"/>
              <w:rPr>
                <w:b/>
                <w:bCs/>
              </w:rPr>
            </w:pPr>
            <w:bookmarkStart w:id="85" w:name="_Toc50555877"/>
            <w:bookmarkStart w:id="86" w:name="_Toc50619616"/>
            <w:r w:rsidRPr="007E650E">
              <w:rPr>
                <w:b/>
                <w:bCs/>
              </w:rPr>
              <w:t>Maximum Points</w:t>
            </w:r>
            <w:bookmarkEnd w:id="85"/>
            <w:bookmarkEnd w:id="86"/>
          </w:p>
        </w:tc>
      </w:tr>
      <w:tr w:rsidR="008544AA" w:rsidRPr="007E650E" w14:paraId="5A89D211" w14:textId="77777777" w:rsidTr="00E56373">
        <w:trPr>
          <w:cantSplit/>
          <w:tblHeader/>
        </w:trPr>
        <w:tc>
          <w:tcPr>
            <w:tcW w:w="3607" w:type="pct"/>
          </w:tcPr>
          <w:p w14:paraId="7D7EDDF1" w14:textId="31718307" w:rsidR="008544AA" w:rsidRPr="007E650E" w:rsidRDefault="008544AA" w:rsidP="00E56373">
            <w:pPr>
              <w:pStyle w:val="BodyText"/>
              <w:spacing w:before="120" w:after="120"/>
              <w:rPr>
                <w:rFonts w:eastAsia="Times New Roman"/>
              </w:rPr>
            </w:pPr>
            <w:r w:rsidRPr="007E650E">
              <w:rPr>
                <w:rFonts w:eastAsia="Times New Roman"/>
              </w:rPr>
              <w:t xml:space="preserve">Section </w:t>
            </w:r>
            <w:r w:rsidR="00544A1E" w:rsidRPr="007E650E">
              <w:rPr>
                <w:rFonts w:eastAsia="Times New Roman"/>
              </w:rPr>
              <w:t xml:space="preserve">1 </w:t>
            </w:r>
            <w:r w:rsidRPr="007E650E">
              <w:rPr>
                <w:rFonts w:eastAsia="Times New Roman"/>
              </w:rPr>
              <w:t>– Statement of Need</w:t>
            </w:r>
          </w:p>
        </w:tc>
        <w:tc>
          <w:tcPr>
            <w:tcW w:w="1393" w:type="pct"/>
          </w:tcPr>
          <w:p w14:paraId="07156329" w14:textId="3AD6469D" w:rsidR="008544AA" w:rsidRPr="007E650E" w:rsidRDefault="005C5E73" w:rsidP="00E56373">
            <w:pPr>
              <w:pStyle w:val="BodyText"/>
              <w:spacing w:before="120" w:after="120"/>
              <w:rPr>
                <w:rFonts w:eastAsia="Times New Roman"/>
              </w:rPr>
            </w:pPr>
            <w:r w:rsidRPr="007E650E">
              <w:rPr>
                <w:rFonts w:eastAsia="Times New Roman"/>
              </w:rPr>
              <w:t>10</w:t>
            </w:r>
          </w:p>
        </w:tc>
      </w:tr>
      <w:tr w:rsidR="008544AA" w:rsidRPr="007E650E" w14:paraId="3E57CE5D" w14:textId="77777777" w:rsidTr="00E56373">
        <w:trPr>
          <w:cantSplit/>
          <w:tblHeader/>
        </w:trPr>
        <w:tc>
          <w:tcPr>
            <w:tcW w:w="3607" w:type="pct"/>
          </w:tcPr>
          <w:p w14:paraId="6F46FD69" w14:textId="04631052" w:rsidR="008544AA" w:rsidRPr="007E650E" w:rsidRDefault="008544AA" w:rsidP="00E56373">
            <w:pPr>
              <w:pStyle w:val="BodyText"/>
              <w:spacing w:before="120" w:after="120"/>
              <w:rPr>
                <w:rFonts w:eastAsia="Times New Roman"/>
              </w:rPr>
            </w:pPr>
            <w:r w:rsidRPr="007E650E">
              <w:rPr>
                <w:rFonts w:eastAsia="Times New Roman"/>
              </w:rPr>
              <w:t xml:space="preserve">Section </w:t>
            </w:r>
            <w:r w:rsidR="78555B09" w:rsidRPr="007E650E">
              <w:rPr>
                <w:rFonts w:eastAsia="Times New Roman"/>
              </w:rPr>
              <w:t>2</w:t>
            </w:r>
            <w:r w:rsidRPr="007E650E">
              <w:rPr>
                <w:rFonts w:eastAsia="Times New Roman"/>
              </w:rPr>
              <w:t xml:space="preserve"> – </w:t>
            </w:r>
            <w:r w:rsidR="005C5E73" w:rsidRPr="007E650E">
              <w:rPr>
                <w:rFonts w:eastAsia="Times New Roman"/>
              </w:rPr>
              <w:t>Target Group</w:t>
            </w:r>
          </w:p>
        </w:tc>
        <w:tc>
          <w:tcPr>
            <w:tcW w:w="1393" w:type="pct"/>
          </w:tcPr>
          <w:p w14:paraId="1174867B" w14:textId="7987F074" w:rsidR="008544AA" w:rsidRPr="007E650E" w:rsidRDefault="005C5E73" w:rsidP="00E56373">
            <w:pPr>
              <w:pStyle w:val="BodyText"/>
              <w:spacing w:before="120" w:after="120"/>
              <w:rPr>
                <w:rFonts w:eastAsia="Times New Roman"/>
              </w:rPr>
            </w:pPr>
            <w:r w:rsidRPr="007E650E">
              <w:rPr>
                <w:rFonts w:eastAsia="Times New Roman"/>
              </w:rPr>
              <w:t>10</w:t>
            </w:r>
          </w:p>
        </w:tc>
      </w:tr>
      <w:tr w:rsidR="008544AA" w:rsidRPr="007E650E" w14:paraId="5727CF89" w14:textId="77777777" w:rsidTr="00E56373">
        <w:trPr>
          <w:cantSplit/>
          <w:tblHeader/>
        </w:trPr>
        <w:tc>
          <w:tcPr>
            <w:tcW w:w="3607" w:type="pct"/>
          </w:tcPr>
          <w:p w14:paraId="499489AC" w14:textId="36C4F7E0" w:rsidR="008544AA" w:rsidRPr="007E650E" w:rsidRDefault="008544AA" w:rsidP="00E56373">
            <w:pPr>
              <w:pStyle w:val="BodyText"/>
              <w:spacing w:before="120" w:after="120"/>
              <w:rPr>
                <w:rFonts w:eastAsia="Times New Roman"/>
              </w:rPr>
            </w:pPr>
            <w:r w:rsidRPr="007E650E">
              <w:rPr>
                <w:rFonts w:eastAsia="Times New Roman"/>
              </w:rPr>
              <w:t xml:space="preserve">Section </w:t>
            </w:r>
            <w:r w:rsidR="7A9FBCEB" w:rsidRPr="007E650E">
              <w:rPr>
                <w:rFonts w:eastAsia="Times New Roman"/>
              </w:rPr>
              <w:t>3</w:t>
            </w:r>
            <w:r w:rsidRPr="007E650E">
              <w:rPr>
                <w:rFonts w:eastAsia="Times New Roman"/>
              </w:rPr>
              <w:t xml:space="preserve"> – </w:t>
            </w:r>
            <w:r w:rsidR="005C5E73" w:rsidRPr="007E650E">
              <w:rPr>
                <w:rFonts w:eastAsia="Times New Roman"/>
              </w:rPr>
              <w:t>Planned Approach</w:t>
            </w:r>
          </w:p>
        </w:tc>
        <w:tc>
          <w:tcPr>
            <w:tcW w:w="1393" w:type="pct"/>
          </w:tcPr>
          <w:p w14:paraId="627254B0" w14:textId="4C569146" w:rsidR="008544AA" w:rsidRPr="007E650E" w:rsidRDefault="005C5E73" w:rsidP="00E56373">
            <w:pPr>
              <w:pStyle w:val="BodyText"/>
              <w:spacing w:before="120" w:after="120"/>
              <w:rPr>
                <w:rFonts w:eastAsia="Times New Roman"/>
              </w:rPr>
            </w:pPr>
            <w:r w:rsidRPr="007E650E">
              <w:rPr>
                <w:rFonts w:eastAsia="Times New Roman"/>
              </w:rPr>
              <w:t>15</w:t>
            </w:r>
          </w:p>
        </w:tc>
      </w:tr>
      <w:tr w:rsidR="008544AA" w:rsidRPr="007E650E" w14:paraId="62E2A88A" w14:textId="77777777" w:rsidTr="00E56373">
        <w:trPr>
          <w:cantSplit/>
          <w:tblHeader/>
        </w:trPr>
        <w:tc>
          <w:tcPr>
            <w:tcW w:w="3607" w:type="pct"/>
          </w:tcPr>
          <w:p w14:paraId="2D518E51" w14:textId="58D53425" w:rsidR="008544AA" w:rsidRPr="007E650E" w:rsidRDefault="008544AA" w:rsidP="00E56373">
            <w:pPr>
              <w:pStyle w:val="BodyText"/>
              <w:spacing w:before="120" w:after="120"/>
              <w:rPr>
                <w:rFonts w:eastAsia="Times New Roman"/>
              </w:rPr>
            </w:pPr>
            <w:r w:rsidRPr="007E650E">
              <w:rPr>
                <w:rFonts w:eastAsia="Times New Roman"/>
              </w:rPr>
              <w:t xml:space="preserve">Section </w:t>
            </w:r>
            <w:r w:rsidR="6C15E451" w:rsidRPr="007E650E">
              <w:rPr>
                <w:rFonts w:eastAsia="Times New Roman"/>
              </w:rPr>
              <w:t>4</w:t>
            </w:r>
            <w:r w:rsidRPr="007E650E">
              <w:rPr>
                <w:rFonts w:eastAsia="Times New Roman"/>
              </w:rPr>
              <w:t xml:space="preserve"> – </w:t>
            </w:r>
            <w:r w:rsidR="005C5E73" w:rsidRPr="007E650E">
              <w:rPr>
                <w:rFonts w:eastAsia="Times New Roman"/>
              </w:rPr>
              <w:t>Performance Goals</w:t>
            </w:r>
          </w:p>
        </w:tc>
        <w:tc>
          <w:tcPr>
            <w:tcW w:w="1393" w:type="pct"/>
          </w:tcPr>
          <w:p w14:paraId="2CCD8135" w14:textId="72F08C2F" w:rsidR="008544AA" w:rsidRPr="007E650E" w:rsidRDefault="005C5E73" w:rsidP="00E56373">
            <w:pPr>
              <w:pStyle w:val="BodyText"/>
              <w:spacing w:before="120" w:after="120"/>
              <w:rPr>
                <w:rFonts w:eastAsia="Times New Roman"/>
              </w:rPr>
            </w:pPr>
            <w:r w:rsidRPr="007E650E">
              <w:rPr>
                <w:rFonts w:eastAsia="Times New Roman"/>
              </w:rPr>
              <w:t>10</w:t>
            </w:r>
          </w:p>
        </w:tc>
      </w:tr>
      <w:tr w:rsidR="008544AA" w:rsidRPr="007E650E" w14:paraId="177F254A" w14:textId="77777777" w:rsidTr="00E56373">
        <w:trPr>
          <w:cantSplit/>
          <w:tblHeader/>
        </w:trPr>
        <w:tc>
          <w:tcPr>
            <w:tcW w:w="3607" w:type="pct"/>
          </w:tcPr>
          <w:p w14:paraId="2C68B19E" w14:textId="5FAA9000" w:rsidR="008544AA" w:rsidRPr="007E650E" w:rsidRDefault="008544AA" w:rsidP="00E56373">
            <w:pPr>
              <w:pStyle w:val="BodyText"/>
              <w:spacing w:before="120" w:after="120"/>
              <w:rPr>
                <w:rFonts w:eastAsia="Times New Roman"/>
              </w:rPr>
            </w:pPr>
            <w:r w:rsidRPr="007E650E">
              <w:rPr>
                <w:rFonts w:eastAsia="Times New Roman"/>
              </w:rPr>
              <w:t xml:space="preserve">Section </w:t>
            </w:r>
            <w:r w:rsidR="1D9342AF" w:rsidRPr="007E650E">
              <w:rPr>
                <w:rFonts w:eastAsia="Times New Roman"/>
              </w:rPr>
              <w:t>5</w:t>
            </w:r>
            <w:r w:rsidRPr="007E650E">
              <w:rPr>
                <w:rFonts w:eastAsia="Times New Roman"/>
              </w:rPr>
              <w:t xml:space="preserve"> – </w:t>
            </w:r>
            <w:r w:rsidR="005C5E73" w:rsidRPr="007E650E">
              <w:rPr>
                <w:rFonts w:eastAsia="Times New Roman"/>
              </w:rPr>
              <w:t>Local Collaboration</w:t>
            </w:r>
          </w:p>
        </w:tc>
        <w:tc>
          <w:tcPr>
            <w:tcW w:w="1393" w:type="pct"/>
          </w:tcPr>
          <w:p w14:paraId="4772BB10" w14:textId="30DA52FA" w:rsidR="008544AA" w:rsidRPr="007E650E" w:rsidRDefault="005C5E73" w:rsidP="00E56373">
            <w:pPr>
              <w:pStyle w:val="BodyText"/>
              <w:spacing w:before="120" w:after="120"/>
              <w:rPr>
                <w:rFonts w:eastAsia="Times New Roman"/>
              </w:rPr>
            </w:pPr>
            <w:r w:rsidRPr="007E650E">
              <w:rPr>
                <w:rFonts w:eastAsia="Times New Roman"/>
              </w:rPr>
              <w:t>15</w:t>
            </w:r>
          </w:p>
        </w:tc>
      </w:tr>
      <w:tr w:rsidR="005C5E73" w:rsidRPr="007E650E" w14:paraId="23AE8906" w14:textId="77777777" w:rsidTr="00E56373">
        <w:trPr>
          <w:cantSplit/>
          <w:tblHeader/>
        </w:trPr>
        <w:tc>
          <w:tcPr>
            <w:tcW w:w="3607" w:type="pct"/>
          </w:tcPr>
          <w:p w14:paraId="39747CA4" w14:textId="3021C067" w:rsidR="005C5E73" w:rsidRPr="007E650E" w:rsidRDefault="005C5E73" w:rsidP="00E56373">
            <w:pPr>
              <w:pStyle w:val="BodyText"/>
              <w:spacing w:before="120" w:after="120"/>
              <w:rPr>
                <w:rFonts w:eastAsia="Times New Roman"/>
              </w:rPr>
            </w:pPr>
            <w:r w:rsidRPr="007E650E">
              <w:rPr>
                <w:rFonts w:eastAsia="Times New Roman"/>
              </w:rPr>
              <w:t>Section 6 – Resource Utilization</w:t>
            </w:r>
          </w:p>
        </w:tc>
        <w:tc>
          <w:tcPr>
            <w:tcW w:w="1393" w:type="pct"/>
          </w:tcPr>
          <w:p w14:paraId="44DE6AA8" w14:textId="2CA072CD" w:rsidR="005C5E73" w:rsidRPr="007E650E" w:rsidRDefault="005C5E73" w:rsidP="00E56373">
            <w:pPr>
              <w:pStyle w:val="BodyText"/>
              <w:spacing w:before="120" w:after="120"/>
              <w:rPr>
                <w:rFonts w:eastAsia="Times New Roman"/>
              </w:rPr>
            </w:pPr>
            <w:r w:rsidRPr="007E650E">
              <w:rPr>
                <w:rFonts w:eastAsia="Times New Roman"/>
              </w:rPr>
              <w:t>10</w:t>
            </w:r>
          </w:p>
        </w:tc>
      </w:tr>
      <w:tr w:rsidR="005C5E73" w:rsidRPr="007E650E" w14:paraId="3887B50F" w14:textId="77777777" w:rsidTr="00E56373">
        <w:trPr>
          <w:cantSplit/>
          <w:tblHeader/>
        </w:trPr>
        <w:tc>
          <w:tcPr>
            <w:tcW w:w="3607" w:type="pct"/>
          </w:tcPr>
          <w:p w14:paraId="1F70A809" w14:textId="29EB948B" w:rsidR="005C5E73" w:rsidRPr="007E650E" w:rsidRDefault="005C5E73" w:rsidP="00E56373">
            <w:pPr>
              <w:pStyle w:val="BodyText"/>
              <w:spacing w:before="120" w:after="120"/>
              <w:rPr>
                <w:rFonts w:eastAsia="Times New Roman"/>
              </w:rPr>
            </w:pPr>
            <w:r w:rsidRPr="007E650E">
              <w:rPr>
                <w:rFonts w:eastAsia="Times New Roman"/>
              </w:rPr>
              <w:t>Section 7 – Statement of Capabilities</w:t>
            </w:r>
          </w:p>
        </w:tc>
        <w:tc>
          <w:tcPr>
            <w:tcW w:w="1393" w:type="pct"/>
          </w:tcPr>
          <w:p w14:paraId="3FEB14BF" w14:textId="7A891F97" w:rsidR="005C5E73" w:rsidRPr="007E650E" w:rsidRDefault="005C5E73" w:rsidP="00E56373">
            <w:pPr>
              <w:pStyle w:val="BodyText"/>
              <w:spacing w:before="120" w:after="120"/>
              <w:rPr>
                <w:rFonts w:eastAsia="Times New Roman"/>
              </w:rPr>
            </w:pPr>
            <w:r w:rsidRPr="007E650E">
              <w:rPr>
                <w:rFonts w:eastAsia="Times New Roman"/>
              </w:rPr>
              <w:t>20</w:t>
            </w:r>
          </w:p>
        </w:tc>
      </w:tr>
      <w:tr w:rsidR="008544AA" w:rsidRPr="007E650E" w14:paraId="537D7384" w14:textId="77777777" w:rsidTr="00E56373">
        <w:trPr>
          <w:cantSplit/>
          <w:tblHeader/>
        </w:trPr>
        <w:tc>
          <w:tcPr>
            <w:tcW w:w="3607" w:type="pct"/>
            <w:tcBorders>
              <w:bottom w:val="single" w:sz="4" w:space="0" w:color="auto"/>
            </w:tcBorders>
          </w:tcPr>
          <w:p w14:paraId="03C63E82" w14:textId="621FDB18" w:rsidR="008544AA" w:rsidRPr="007E650E" w:rsidRDefault="008544AA" w:rsidP="00E56373">
            <w:pPr>
              <w:pStyle w:val="BodyText"/>
              <w:spacing w:before="120" w:after="120"/>
              <w:rPr>
                <w:rFonts w:eastAsia="Times New Roman"/>
              </w:rPr>
            </w:pPr>
            <w:r w:rsidRPr="007E650E">
              <w:rPr>
                <w:rFonts w:eastAsia="Times New Roman"/>
              </w:rPr>
              <w:t xml:space="preserve">Section </w:t>
            </w:r>
            <w:r w:rsidR="005C5E73" w:rsidRPr="007E650E">
              <w:rPr>
                <w:rFonts w:eastAsia="Times New Roman"/>
              </w:rPr>
              <w:t>8</w:t>
            </w:r>
            <w:r w:rsidRPr="007E650E">
              <w:rPr>
                <w:rFonts w:eastAsia="Times New Roman"/>
              </w:rPr>
              <w:t xml:space="preserve"> – Budget Summary </w:t>
            </w:r>
            <w:r w:rsidR="005C5E73" w:rsidRPr="007E650E">
              <w:rPr>
                <w:rFonts w:eastAsia="Times New Roman"/>
              </w:rPr>
              <w:t xml:space="preserve">and </w:t>
            </w:r>
            <w:r w:rsidRPr="007E650E">
              <w:rPr>
                <w:rFonts w:eastAsia="Times New Roman"/>
              </w:rPr>
              <w:t>Narrative</w:t>
            </w:r>
          </w:p>
        </w:tc>
        <w:tc>
          <w:tcPr>
            <w:tcW w:w="1393" w:type="pct"/>
            <w:tcBorders>
              <w:bottom w:val="single" w:sz="4" w:space="0" w:color="auto"/>
            </w:tcBorders>
          </w:tcPr>
          <w:p w14:paraId="6758C4A9" w14:textId="512B5F60" w:rsidR="008544AA" w:rsidRPr="007E650E" w:rsidRDefault="005C5E73" w:rsidP="00E56373">
            <w:pPr>
              <w:pStyle w:val="BodyText"/>
              <w:spacing w:before="120" w:after="120"/>
              <w:rPr>
                <w:rFonts w:eastAsia="Times New Roman"/>
              </w:rPr>
            </w:pPr>
            <w:r w:rsidRPr="007E650E">
              <w:rPr>
                <w:rFonts w:eastAsia="Times New Roman"/>
              </w:rPr>
              <w:t>10</w:t>
            </w:r>
          </w:p>
        </w:tc>
      </w:tr>
      <w:tr w:rsidR="008544AA" w:rsidRPr="007E650E" w14:paraId="04C77340" w14:textId="77777777" w:rsidTr="00E56373">
        <w:trPr>
          <w:cantSplit/>
          <w:trHeight w:val="562"/>
          <w:tblHeader/>
        </w:trPr>
        <w:tc>
          <w:tcPr>
            <w:tcW w:w="3607" w:type="pct"/>
            <w:shd w:val="clear" w:color="auto" w:fill="E6E6E6"/>
            <w:vAlign w:val="center"/>
          </w:tcPr>
          <w:p w14:paraId="0EC56CEB" w14:textId="0AF6D4C2" w:rsidR="008544AA" w:rsidRPr="007E650E" w:rsidRDefault="00F46AEB" w:rsidP="00E56373">
            <w:pPr>
              <w:pStyle w:val="BodyText"/>
              <w:spacing w:before="120" w:after="120"/>
              <w:rPr>
                <w:rFonts w:eastAsia="Times New Roman"/>
                <w:b/>
              </w:rPr>
            </w:pPr>
            <w:r w:rsidRPr="007E650E">
              <w:rPr>
                <w:rFonts w:eastAsia="Times New Roman"/>
                <w:b/>
              </w:rPr>
              <w:t>Total Points Available</w:t>
            </w:r>
          </w:p>
        </w:tc>
        <w:tc>
          <w:tcPr>
            <w:tcW w:w="1393" w:type="pct"/>
            <w:shd w:val="clear" w:color="auto" w:fill="E6E6E6"/>
            <w:vAlign w:val="center"/>
          </w:tcPr>
          <w:p w14:paraId="46F01E4E" w14:textId="77777777" w:rsidR="008544AA" w:rsidRPr="007E650E" w:rsidRDefault="008544AA" w:rsidP="00E56373">
            <w:pPr>
              <w:pStyle w:val="BodyText"/>
              <w:spacing w:before="120" w:after="120"/>
              <w:rPr>
                <w:rFonts w:eastAsia="Times New Roman"/>
                <w:b/>
              </w:rPr>
            </w:pPr>
            <w:r w:rsidRPr="007E650E">
              <w:rPr>
                <w:rFonts w:eastAsia="Times New Roman"/>
                <w:b/>
              </w:rPr>
              <w:t>100</w:t>
            </w:r>
          </w:p>
        </w:tc>
      </w:tr>
    </w:tbl>
    <w:p w14:paraId="7A2A8881" w14:textId="77777777" w:rsidR="008F564F" w:rsidRPr="007E650E" w:rsidRDefault="008F564F" w:rsidP="008F564F">
      <w:pPr>
        <w:pStyle w:val="BodyText"/>
      </w:pPr>
    </w:p>
    <w:p w14:paraId="1016CEBA" w14:textId="6804B79E" w:rsidR="008544AA" w:rsidRPr="007E650E" w:rsidRDefault="008544AA" w:rsidP="00F470F1">
      <w:pPr>
        <w:pStyle w:val="BodyText"/>
        <w:rPr>
          <w:lang w:val="en-US"/>
        </w:rPr>
      </w:pPr>
      <w:r w:rsidRPr="007E650E">
        <w:rPr>
          <w:lang w:val="en-US"/>
        </w:rPr>
        <w:t xml:space="preserve">Only proposals that score in the top tier, are deemed meritorious, and are in the state's best interest will be recommended for funding. The EDD reserves the right to conduct on-site reviews before making final funding recommendations. After completion of the evaluation process, the EDD Director will receive the funding recommendations. </w:t>
      </w:r>
    </w:p>
    <w:p w14:paraId="16474C66" w14:textId="3A6CF139" w:rsidR="00340B6A" w:rsidRPr="007E650E" w:rsidRDefault="00340B6A" w:rsidP="00F470F1">
      <w:pPr>
        <w:pStyle w:val="BodyText"/>
      </w:pPr>
      <w:r w:rsidRPr="007E650E">
        <w:t>All projects selected for funding are contingent upon the revision and approval of the contract exhibits. Project exhibits are not automatically approved. Subrecipients may be required to revise the project exhibits to comply with federal and state mandates during the approval and contract negotiation process. The EDD will provide guidance with finalizing the exhibits to be incorporated into the official Subgrant Agreement (contract). The EDD reserves the right to rescind any funding offer if a subrecipient does not comply with the revision process and the terms of the Subgrant Agreement.</w:t>
      </w:r>
    </w:p>
    <w:p w14:paraId="29313C4F" w14:textId="0770BC7B" w:rsidR="008544AA" w:rsidRPr="007E650E" w:rsidRDefault="008544AA" w:rsidP="00F470F1">
      <w:pPr>
        <w:pStyle w:val="Heading3"/>
      </w:pPr>
      <w:bookmarkStart w:id="87" w:name="_Toc167356437"/>
      <w:bookmarkStart w:id="88" w:name="_Toc195189601"/>
      <w:r w:rsidRPr="007E650E">
        <w:lastRenderedPageBreak/>
        <w:t>Appeals Process</w:t>
      </w:r>
      <w:bookmarkEnd w:id="87"/>
      <w:bookmarkEnd w:id="88"/>
    </w:p>
    <w:p w14:paraId="60E3659C" w14:textId="77777777" w:rsidR="008544AA" w:rsidRPr="007E650E" w:rsidRDefault="008544AA" w:rsidP="00F470F1">
      <w:pPr>
        <w:pStyle w:val="BodyText"/>
      </w:pPr>
      <w:bookmarkStart w:id="89" w:name="_2u6wntf"/>
      <w:bookmarkStart w:id="90" w:name="_Toc116915394"/>
      <w:bookmarkStart w:id="91" w:name="_Hlk159100677"/>
      <w:bookmarkEnd w:id="89"/>
      <w:bookmarkEnd w:id="90"/>
      <w:r w:rsidRPr="007E650E">
        <w:rPr>
          <w:lang w:val="en-US"/>
        </w:rPr>
        <w:t xml:space="preserve">A proposal may be disqualified for not meeting the application requirements. Please read the SFP carefully and consult </w:t>
      </w:r>
      <w:r w:rsidRPr="007E650E">
        <w:rPr>
          <w:i/>
          <w:iCs/>
          <w:lang w:val="en-US"/>
        </w:rPr>
        <w:t>Appendix A: Proposal Package Instructions</w:t>
      </w:r>
      <w:r w:rsidRPr="007E650E">
        <w:rPr>
          <w:lang w:val="en-US"/>
        </w:rPr>
        <w:t xml:space="preserve"> for detailed instructions on adequately completing and submitting all application elements to ensure all applicable requirements have been met.</w:t>
      </w:r>
    </w:p>
    <w:p w14:paraId="282EA4AF" w14:textId="77777777" w:rsidR="008544AA" w:rsidRPr="007E650E" w:rsidRDefault="008544AA" w:rsidP="00F470F1">
      <w:pPr>
        <w:pStyle w:val="BodyText"/>
      </w:pPr>
      <w:r w:rsidRPr="007E650E">
        <w:t xml:space="preserve">Disqualification decisions can be appealed, but disqualifications can only be overturned in specific instances. Please take into consideration the following: </w:t>
      </w:r>
    </w:p>
    <w:p w14:paraId="20709C40" w14:textId="77777777" w:rsidR="008544AA" w:rsidRPr="007E650E" w:rsidRDefault="008544AA" w:rsidP="00F470F1">
      <w:pPr>
        <w:pStyle w:val="ListParagraph"/>
      </w:pPr>
      <w:r w:rsidRPr="007E650E">
        <w:t xml:space="preserve">There is no appeal process for not meeting the proposal submission deadline. </w:t>
      </w:r>
    </w:p>
    <w:p w14:paraId="1B271274" w14:textId="77777777" w:rsidR="008544AA" w:rsidRPr="007E650E" w:rsidRDefault="008544AA" w:rsidP="00F470F1">
      <w:pPr>
        <w:pStyle w:val="ListParagraph"/>
      </w:pPr>
      <w:r w:rsidRPr="007E650E">
        <w:t>Final funding decisions cannot be appealed.</w:t>
      </w:r>
    </w:p>
    <w:p w14:paraId="44FB9F64" w14:textId="1673C88B" w:rsidR="008544AA" w:rsidRPr="007E650E" w:rsidRDefault="008544AA" w:rsidP="00F470F1">
      <w:pPr>
        <w:pStyle w:val="ListParagraph"/>
      </w:pPr>
      <w:r w:rsidRPr="007E650E">
        <w:t xml:space="preserve">The application requirements are those conditions that must be met for the proposal to be forwarded for evaluation and scoring. See </w:t>
      </w:r>
      <w:r w:rsidRPr="007E650E">
        <w:rPr>
          <w:i/>
          <w:iCs/>
          <w:shd w:val="clear" w:color="auto" w:fill="FFFFFF"/>
        </w:rPr>
        <w:t xml:space="preserve">Section </w:t>
      </w:r>
      <w:r w:rsidR="004F15A4" w:rsidRPr="007E650E">
        <w:rPr>
          <w:i/>
          <w:iCs/>
          <w:shd w:val="clear" w:color="auto" w:fill="FFFFFF"/>
        </w:rPr>
        <w:t>4</w:t>
      </w:r>
      <w:r w:rsidRPr="007E650E">
        <w:rPr>
          <w:i/>
          <w:iCs/>
          <w:shd w:val="clear" w:color="auto" w:fill="FFFFFF"/>
        </w:rPr>
        <w:t xml:space="preserve">: Submission, Section </w:t>
      </w:r>
      <w:r w:rsidR="004F15A4" w:rsidRPr="007E650E">
        <w:rPr>
          <w:i/>
          <w:iCs/>
          <w:shd w:val="clear" w:color="auto" w:fill="FFFFFF"/>
        </w:rPr>
        <w:t>5</w:t>
      </w:r>
      <w:r w:rsidRPr="007E650E">
        <w:rPr>
          <w:i/>
          <w:iCs/>
          <w:shd w:val="clear" w:color="auto" w:fill="FFFFFF"/>
        </w:rPr>
        <w:t>: Award</w:t>
      </w:r>
      <w:r w:rsidR="004F15A4" w:rsidRPr="007E650E">
        <w:rPr>
          <w:i/>
          <w:iCs/>
          <w:shd w:val="clear" w:color="auto" w:fill="FFFFFF"/>
        </w:rPr>
        <w:t xml:space="preserve"> and Contracting Process</w:t>
      </w:r>
      <w:r w:rsidRPr="007E650E">
        <w:rPr>
          <w:i/>
          <w:iCs/>
          <w:shd w:val="clear" w:color="auto" w:fill="FFFFFF"/>
        </w:rPr>
        <w:t>,</w:t>
      </w:r>
      <w:r w:rsidRPr="007E650E">
        <w:rPr>
          <w:shd w:val="clear" w:color="auto" w:fill="FFFFFF"/>
        </w:rPr>
        <w:t xml:space="preserve"> and </w:t>
      </w:r>
      <w:r w:rsidRPr="007E650E">
        <w:rPr>
          <w:i/>
          <w:iCs/>
          <w:shd w:val="clear" w:color="auto" w:fill="FFFFFF"/>
        </w:rPr>
        <w:t>Appendix A: Proposal Package Instructions</w:t>
      </w:r>
      <w:r w:rsidRPr="007E650E">
        <w:rPr>
          <w:shd w:val="clear" w:color="auto" w:fill="FFFFFF"/>
        </w:rPr>
        <w:t xml:space="preserve"> for more information on application and submission requirements.</w:t>
      </w:r>
    </w:p>
    <w:p w14:paraId="264B4842" w14:textId="29630351" w:rsidR="008544AA" w:rsidRPr="007E650E" w:rsidRDefault="008544AA" w:rsidP="00F470F1">
      <w:pPr>
        <w:pStyle w:val="BodyText"/>
      </w:pPr>
      <w:r w:rsidRPr="007E650E">
        <w:t xml:space="preserve">The EDD will distribute disqualification letters to applicants by email. Applicants have seven calendar days from the date their disqualification email is </w:t>
      </w:r>
      <w:r w:rsidR="4808E176" w:rsidRPr="007E650E">
        <w:t>emailed</w:t>
      </w:r>
      <w:r w:rsidR="1FA2BBE6" w:rsidRPr="007E650E">
        <w:t xml:space="preserve"> </w:t>
      </w:r>
      <w:r w:rsidRPr="007E650E">
        <w:t>in which to appeal. Please send all appeals</w:t>
      </w:r>
      <w:r w:rsidR="00CC5753" w:rsidRPr="007E650E">
        <w:t xml:space="preserve"> to </w:t>
      </w:r>
      <w:hyperlink r:id="rId29" w:history="1">
        <w:r w:rsidR="007C09D3" w:rsidRPr="007E650E">
          <w:rPr>
            <w:rStyle w:val="Hyperlink"/>
            <w:color w:val="0070C0"/>
          </w:rPr>
          <w:t>WSBSFP2@edd.ca.gov</w:t>
        </w:r>
      </w:hyperlink>
      <w:r w:rsidRPr="007E650E">
        <w:t xml:space="preserve"> </w:t>
      </w:r>
      <w:r w:rsidR="00CC5753" w:rsidRPr="007E650E">
        <w:t xml:space="preserve">by </w:t>
      </w:r>
      <w:r w:rsidRPr="007E650E">
        <w:t>the close of business</w:t>
      </w:r>
      <w:r w:rsidR="00CC5753" w:rsidRPr="007E650E">
        <w:t xml:space="preserve"> </w:t>
      </w:r>
      <w:r w:rsidRPr="007E650E">
        <w:t>on the seventh calendar day.</w:t>
      </w:r>
    </w:p>
    <w:p w14:paraId="2DD7AA96" w14:textId="77777777" w:rsidR="008544AA" w:rsidRPr="007E650E" w:rsidRDefault="008544AA" w:rsidP="00F470F1">
      <w:pPr>
        <w:pStyle w:val="BodyText"/>
      </w:pPr>
      <w:r w:rsidRPr="007E650E">
        <w:rPr>
          <w:lang w:val="en-US"/>
        </w:rPr>
        <w:t xml:space="preserve">Each appellant must submit all the facts related to their appeal </w:t>
      </w:r>
      <w:r w:rsidRPr="007E650E">
        <w:rPr>
          <w:b/>
          <w:bCs/>
          <w:lang w:val="en-US"/>
        </w:rPr>
        <w:t>in writing</w:t>
      </w:r>
      <w:r w:rsidRPr="007E650E">
        <w:rPr>
          <w:lang w:val="en-US"/>
        </w:rPr>
        <w:t>. The review will be limited to the information provided in writing. To be considered for review, the appeal must contain the following information:</w:t>
      </w:r>
    </w:p>
    <w:p w14:paraId="45B7F98F" w14:textId="44A38129" w:rsidR="008544AA" w:rsidRPr="007E650E" w:rsidRDefault="008544AA" w:rsidP="00F470F1">
      <w:pPr>
        <w:pStyle w:val="ListParagraph"/>
      </w:pPr>
      <w:r w:rsidRPr="007E650E">
        <w:t>Appealing organization</w:t>
      </w:r>
      <w:r w:rsidR="000D5ACF">
        <w:t>'</w:t>
      </w:r>
      <w:r w:rsidRPr="007E650E">
        <w:t>s full name, address, and telephone number</w:t>
      </w:r>
      <w:r w:rsidR="00E60407" w:rsidRPr="007E650E">
        <w:t>.</w:t>
      </w:r>
    </w:p>
    <w:p w14:paraId="3DEDBE36" w14:textId="77777777" w:rsidR="008544AA" w:rsidRPr="007E650E" w:rsidRDefault="008544AA" w:rsidP="00F470F1">
      <w:pPr>
        <w:pStyle w:val="ListParagraph"/>
      </w:pPr>
      <w:r w:rsidRPr="007E650E">
        <w:t>A brief statement of the reasons for the appeal, including citations from the SFP and other pertinent documents.</w:t>
      </w:r>
    </w:p>
    <w:p w14:paraId="64A70098" w14:textId="77777777" w:rsidR="008544AA" w:rsidRPr="007E650E" w:rsidRDefault="008544AA" w:rsidP="00F470F1">
      <w:pPr>
        <w:pStyle w:val="ListParagraph"/>
      </w:pPr>
      <w:r w:rsidRPr="007E650E">
        <w:t>A statement of the relief sought.</w:t>
      </w:r>
    </w:p>
    <w:p w14:paraId="75CEC565" w14:textId="0CC10246" w:rsidR="008544AA" w:rsidRPr="007E650E" w:rsidRDefault="008544AA" w:rsidP="00F470F1">
      <w:pPr>
        <w:pStyle w:val="ListParagraph"/>
      </w:pPr>
      <w:r w:rsidRPr="007E650E">
        <w:t>All corrective documentation</w:t>
      </w:r>
      <w:r w:rsidR="00E60407" w:rsidRPr="007E650E">
        <w:t>.</w:t>
      </w:r>
    </w:p>
    <w:p w14:paraId="1877AF67" w14:textId="73303688" w:rsidR="008544AA" w:rsidRPr="007E650E" w:rsidRDefault="008544AA" w:rsidP="00F470F1">
      <w:pPr>
        <w:pStyle w:val="ListParagraph"/>
      </w:pPr>
      <w:r w:rsidRPr="007E650E">
        <w:t>A scanned copy of the statement with the original wet signature of the authorized signatory authority for the applicant organization</w:t>
      </w:r>
      <w:r w:rsidR="00E60407" w:rsidRPr="007E650E">
        <w:t>.</w:t>
      </w:r>
    </w:p>
    <w:p w14:paraId="4290B1B3" w14:textId="159AC3A0" w:rsidR="008544AA" w:rsidRPr="007E650E" w:rsidRDefault="008544AA" w:rsidP="00F470F1">
      <w:pPr>
        <w:pStyle w:val="ListParagraph"/>
      </w:pPr>
      <w:r w:rsidRPr="007E650E">
        <w:t xml:space="preserve">Appeals must be submitted in PDF form to </w:t>
      </w:r>
      <w:hyperlink r:id="rId30" w:history="1">
        <w:r w:rsidR="007C09D3" w:rsidRPr="007E650E">
          <w:rPr>
            <w:rStyle w:val="Hyperlink"/>
            <w:color w:val="0070C0"/>
          </w:rPr>
          <w:t>WSBSFP2@edd.ca.gov</w:t>
        </w:r>
      </w:hyperlink>
      <w:r w:rsidRPr="007E650E">
        <w:t>. The WSB/DDO will respond to all appeals via email. The review of each appeal will be limited to determining whether the applicant's corrective actions successfully addressed the non-responsiveness indicated in their disqualification letter and whether the proposal now meets the minimum application requirements relayed by the SFP to be evaluated.</w:t>
      </w:r>
    </w:p>
    <w:p w14:paraId="7F3144CB" w14:textId="24AE6DFD" w:rsidR="008544AA" w:rsidRPr="007E650E" w:rsidRDefault="008544AA" w:rsidP="00F470F1">
      <w:pPr>
        <w:pStyle w:val="Heading3"/>
      </w:pPr>
      <w:bookmarkStart w:id="92" w:name="_Toc167356438"/>
      <w:bookmarkStart w:id="93" w:name="_Toc117246179"/>
      <w:bookmarkStart w:id="94" w:name="_Toc130496188"/>
      <w:bookmarkStart w:id="95" w:name="_Toc195189602"/>
      <w:bookmarkEnd w:id="91"/>
      <w:r w:rsidRPr="007E650E">
        <w:lastRenderedPageBreak/>
        <w:t>Award Notification</w:t>
      </w:r>
      <w:bookmarkEnd w:id="92"/>
      <w:bookmarkEnd w:id="93"/>
      <w:bookmarkEnd w:id="94"/>
      <w:bookmarkEnd w:id="95"/>
    </w:p>
    <w:p w14:paraId="022E1795" w14:textId="6F610F78" w:rsidR="00E60407" w:rsidRPr="007E650E" w:rsidRDefault="008544AA" w:rsidP="00E60407">
      <w:pPr>
        <w:pStyle w:val="BodyText"/>
      </w:pPr>
      <w:r w:rsidRPr="007E650E">
        <w:rPr>
          <w:lang w:val="en-US"/>
        </w:rPr>
        <w:t>Awards will be announced on the EDD website, and applicants will be notified of the funding decisions. Award decision notices are anticipated to be ma</w:t>
      </w:r>
      <w:r w:rsidR="00C66AB6" w:rsidRPr="007E650E">
        <w:rPr>
          <w:lang w:val="en-US"/>
        </w:rPr>
        <w:t>d</w:t>
      </w:r>
      <w:r w:rsidRPr="007E650E">
        <w:rPr>
          <w:lang w:val="en-US"/>
        </w:rPr>
        <w:t xml:space="preserve">e </w:t>
      </w:r>
      <w:r w:rsidR="00C66AB6" w:rsidRPr="007E650E">
        <w:rPr>
          <w:lang w:val="en-US"/>
        </w:rPr>
        <w:t>in</w:t>
      </w:r>
      <w:r w:rsidRPr="007E650E">
        <w:rPr>
          <w:lang w:val="en-US"/>
        </w:rPr>
        <w:t xml:space="preserve"> </w:t>
      </w:r>
      <w:r w:rsidR="00C66AB6" w:rsidRPr="007E650E">
        <w:rPr>
          <w:lang w:val="en-US"/>
        </w:rPr>
        <w:t>July 2025</w:t>
      </w:r>
      <w:r w:rsidRPr="007E650E">
        <w:rPr>
          <w:lang w:val="en-US"/>
        </w:rPr>
        <w:t>. An award offer does not constitute approval of the application as submitted. The applicant is required to negotiate with the EDD to finalize program components, staffing levels, budget elements, and administrative systems to support grant implementation. If the negotiations do not result in a mutually acceptable submission, the EDD reserves the right to terminate negotiations and decline to fund the application.</w:t>
      </w:r>
      <w:bookmarkStart w:id="96" w:name="_Toc117246180"/>
      <w:bookmarkStart w:id="97" w:name="_Toc130496189"/>
      <w:bookmarkStart w:id="98" w:name="_Toc167356439"/>
    </w:p>
    <w:p w14:paraId="6598D4FD" w14:textId="21A997B7" w:rsidR="008544AA" w:rsidRPr="007E650E" w:rsidRDefault="008544AA" w:rsidP="00F470F1">
      <w:pPr>
        <w:pStyle w:val="Heading3"/>
      </w:pPr>
      <w:bookmarkStart w:id="99" w:name="_Toc195189603"/>
      <w:r w:rsidRPr="007E650E">
        <w:t>Agreement and Contracting</w:t>
      </w:r>
      <w:bookmarkEnd w:id="96"/>
      <w:bookmarkEnd w:id="97"/>
      <w:bookmarkEnd w:id="98"/>
      <w:bookmarkEnd w:id="99"/>
    </w:p>
    <w:p w14:paraId="332FE340" w14:textId="1ACE1F14" w:rsidR="008544AA" w:rsidRPr="007E650E" w:rsidRDefault="008544AA" w:rsidP="00F470F1">
      <w:pPr>
        <w:pStyle w:val="BodyText"/>
      </w:pPr>
      <w:bookmarkStart w:id="100" w:name="_19c6y18"/>
      <w:bookmarkStart w:id="101" w:name="_Hlk130055003"/>
      <w:bookmarkStart w:id="102" w:name="_Hlk130053198"/>
      <w:bookmarkEnd w:id="100"/>
      <w:r w:rsidRPr="007E650E">
        <w:rPr>
          <w:lang w:val="en-US"/>
        </w:rPr>
        <w:t xml:space="preserve">The EDD will contact the subrecipients to finalize the Subgrant Agreement details. The EDD may request that the </w:t>
      </w:r>
      <w:r w:rsidR="00C66AB6" w:rsidRPr="007E650E">
        <w:rPr>
          <w:lang w:val="en-US"/>
        </w:rPr>
        <w:t>agreements</w:t>
      </w:r>
      <w:r w:rsidRPr="007E650E">
        <w:rPr>
          <w:lang w:val="en-US"/>
        </w:rPr>
        <w:t xml:space="preserve"> incorporate changes to the original project proposals. After all exhibits are finalized, the awardee will officially </w:t>
      </w:r>
      <w:proofErr w:type="gramStart"/>
      <w:r w:rsidRPr="007E650E">
        <w:rPr>
          <w:lang w:val="en-US"/>
        </w:rPr>
        <w:t>enter into</w:t>
      </w:r>
      <w:proofErr w:type="gramEnd"/>
      <w:r w:rsidRPr="007E650E">
        <w:rPr>
          <w:lang w:val="en-US"/>
        </w:rPr>
        <w:t xml:space="preserve"> a contract with EDD to provide the services and serve the number of participants listed in the contract for the amount awarded. Any unauthorized deviation or non-responsiveness may be grounds for breach of contract with legal repercussions. Please ensure that the contract goals and objectives are feasible and reasonable for your organization to accomplish and that your infrastructure supports the administrative and operational requirements. The state expects contract negotiations to begin</w:t>
      </w:r>
      <w:r w:rsidRPr="007E650E">
        <w:rPr>
          <w:rFonts w:eastAsia="Arial"/>
          <w:lang w:val="en-US"/>
        </w:rPr>
        <w:t xml:space="preserve"> </w:t>
      </w:r>
      <w:r w:rsidRPr="007E650E">
        <w:rPr>
          <w:lang w:val="en-US"/>
        </w:rPr>
        <w:t>immediately after providing official award notices. A Notice of Award does not automatically entitle the subrecipient to funding. The EDD reserves the right to terminate any funding offer if a subrecipient does not negotiate in good faith. Subrecipients are advised to consider whether official action by a County Board of Supervisors, City Council, or other similar decision-making body will be necessary before accepting funds awarded under this SFP. The time needed for such official action will affect the subrecipient</w:t>
      </w:r>
      <w:r w:rsidR="000D5ACF">
        <w:rPr>
          <w:lang w:val="en-US"/>
        </w:rPr>
        <w:t>'</w:t>
      </w:r>
      <w:r w:rsidRPr="007E650E">
        <w:rPr>
          <w:lang w:val="en-US"/>
        </w:rPr>
        <w:t xml:space="preserve">s ability to meet the project terms and conditions and the projected work plan. </w:t>
      </w:r>
    </w:p>
    <w:p w14:paraId="2C02F080" w14:textId="1EDF64D0" w:rsidR="008544AA" w:rsidRPr="007E650E" w:rsidRDefault="008544AA" w:rsidP="00F470F1">
      <w:pPr>
        <w:pStyle w:val="BodyText"/>
      </w:pPr>
      <w:r w:rsidRPr="007E650E">
        <w:rPr>
          <w:lang w:val="en-US"/>
        </w:rPr>
        <w:t xml:space="preserve">All projects selected for funding are contingent upon the revision and approval of the contract exhibits. Project exhibits are not automatically approved. Subrecipients may be required to revise the project exhibits to comply with federal and state mandates during the approval and contract negotiation process. The Special Initiatives Support Group will guide finalizing the exhibits and verify that all requirements are met to be incorporated into the official Subgrant Agreement (contract). The subrecipients must submit a resolution for </w:t>
      </w:r>
      <w:proofErr w:type="gramStart"/>
      <w:r w:rsidRPr="007E650E">
        <w:rPr>
          <w:lang w:val="en-US"/>
        </w:rPr>
        <w:t>signatory</w:t>
      </w:r>
      <w:proofErr w:type="gramEnd"/>
      <w:r w:rsidRPr="007E650E">
        <w:rPr>
          <w:lang w:val="en-US"/>
        </w:rPr>
        <w:t xml:space="preserve"> authority designating the position having the authority to sign for the organization. The EDD reserves the right to rescind any funding offer if a subrecipient does not comply with the revision process and the terms of the Subgrant Agreement.</w:t>
      </w:r>
    </w:p>
    <w:p w14:paraId="7C4962DE" w14:textId="4F3A4F23" w:rsidR="008544AA" w:rsidRPr="007E650E" w:rsidRDefault="008544AA" w:rsidP="00783B8C">
      <w:pPr>
        <w:pStyle w:val="Heading2"/>
        <w:tabs>
          <w:tab w:val="left" w:pos="360"/>
        </w:tabs>
        <w:ind w:left="0" w:firstLine="0"/>
        <w:rPr>
          <w:rFonts w:eastAsia="Arial"/>
        </w:rPr>
      </w:pPr>
      <w:bookmarkStart w:id="103" w:name="_Toc117246181"/>
      <w:bookmarkStart w:id="104" w:name="_Toc130496190"/>
      <w:bookmarkStart w:id="105" w:name="_Toc167356440"/>
      <w:bookmarkStart w:id="106" w:name="_Toc195189604"/>
      <w:bookmarkEnd w:id="101"/>
      <w:bookmarkEnd w:id="102"/>
      <w:r w:rsidRPr="007E650E">
        <w:rPr>
          <w:rFonts w:eastAsia="Arial"/>
        </w:rPr>
        <w:lastRenderedPageBreak/>
        <w:t>Administrative Requirements</w:t>
      </w:r>
      <w:bookmarkEnd w:id="103"/>
      <w:bookmarkEnd w:id="104"/>
      <w:bookmarkEnd w:id="105"/>
      <w:bookmarkEnd w:id="106"/>
    </w:p>
    <w:p w14:paraId="25C3DD09" w14:textId="77777777" w:rsidR="002E4765" w:rsidRPr="007E650E" w:rsidRDefault="002E4765" w:rsidP="002E4765">
      <w:pPr>
        <w:pStyle w:val="Heading3"/>
        <w:numPr>
          <w:ilvl w:val="0"/>
          <w:numId w:val="0"/>
        </w:numPr>
        <w:spacing w:before="0" w:after="0"/>
      </w:pPr>
      <w:bookmarkStart w:id="107" w:name="_Toc117246182"/>
      <w:bookmarkStart w:id="108" w:name="_Toc130496191"/>
      <w:bookmarkStart w:id="109" w:name="_Toc167356441"/>
      <w:bookmarkStart w:id="110" w:name="_Toc195189605"/>
    </w:p>
    <w:p w14:paraId="06FB96CF" w14:textId="1B44497C" w:rsidR="008544AA" w:rsidRPr="007E650E" w:rsidRDefault="008544AA" w:rsidP="002E4765">
      <w:pPr>
        <w:pStyle w:val="Heading3"/>
        <w:numPr>
          <w:ilvl w:val="0"/>
          <w:numId w:val="12"/>
        </w:numPr>
        <w:spacing w:before="0"/>
      </w:pPr>
      <w:r w:rsidRPr="007E650E">
        <w:t>Monitoring and Audits</w:t>
      </w:r>
      <w:bookmarkStart w:id="111" w:name="_nmf14n"/>
      <w:bookmarkEnd w:id="107"/>
      <w:bookmarkEnd w:id="108"/>
      <w:bookmarkEnd w:id="109"/>
      <w:bookmarkEnd w:id="111"/>
      <w:bookmarkEnd w:id="110"/>
    </w:p>
    <w:p w14:paraId="1D766FEF" w14:textId="1E2A89E3" w:rsidR="00C32224" w:rsidRPr="007E650E" w:rsidRDefault="00C32224" w:rsidP="00C32224">
      <w:pPr>
        <w:pStyle w:val="BodyText"/>
        <w:rPr>
          <w:lang w:val="en-US"/>
        </w:rPr>
      </w:pPr>
      <w:r w:rsidRPr="007E650E">
        <w:rPr>
          <w:lang w:val="en-US"/>
        </w:rPr>
        <w:t>Grantees may be monitored and/or audited by the EDD, in accordance with existing policies, procedures, and requirements governing the use of Wagner-Peyser funds. Grantees are expected to be responsive to all reviewers</w:t>
      </w:r>
      <w:r w:rsidR="000D5ACF">
        <w:rPr>
          <w:lang w:val="en-US"/>
        </w:rPr>
        <w:t>'</w:t>
      </w:r>
      <w:r w:rsidRPr="007E650E">
        <w:rPr>
          <w:lang w:val="en-US"/>
        </w:rPr>
        <w:t xml:space="preserve"> requests, provide reasonable and timely access to records and staff, facilitate access to subcontractors, and communicate with reviewers in a timely and accurate manner.</w:t>
      </w:r>
    </w:p>
    <w:p w14:paraId="4914E95C" w14:textId="16B2C36F" w:rsidR="008544AA" w:rsidRPr="007E650E" w:rsidRDefault="00C32224" w:rsidP="00C32224">
      <w:pPr>
        <w:pStyle w:val="BodyText"/>
        <w:rPr>
          <w:rFonts w:eastAsia="Arial"/>
          <w:lang w:val="en-US"/>
        </w:rPr>
      </w:pPr>
      <w:r w:rsidRPr="007E650E">
        <w:rPr>
          <w:lang w:val="en-US"/>
        </w:rPr>
        <w:t>Grantees that are units of local government and non-profit entities must ensure that audits required under OMB guidelines are performed and submitted when due.</w:t>
      </w:r>
      <w:r w:rsidR="008544AA" w:rsidRPr="007E650E">
        <w:rPr>
          <w:lang w:val="en-US"/>
        </w:rPr>
        <w:t xml:space="preserve"> </w:t>
      </w:r>
    </w:p>
    <w:p w14:paraId="42494830" w14:textId="036016CF" w:rsidR="008544AA" w:rsidRPr="007E650E" w:rsidRDefault="008544AA" w:rsidP="00F470F1">
      <w:pPr>
        <w:pStyle w:val="Heading3"/>
      </w:pPr>
      <w:bookmarkStart w:id="112" w:name="_Toc117246183"/>
      <w:bookmarkStart w:id="113" w:name="_Toc130496192"/>
      <w:bookmarkStart w:id="114" w:name="_Toc167356442"/>
      <w:bookmarkStart w:id="115" w:name="_Toc195189606"/>
      <w:r w:rsidRPr="007E650E">
        <w:t>Record Retention</w:t>
      </w:r>
      <w:bookmarkEnd w:id="112"/>
      <w:bookmarkEnd w:id="113"/>
      <w:bookmarkEnd w:id="114"/>
      <w:bookmarkEnd w:id="115"/>
    </w:p>
    <w:p w14:paraId="10632425" w14:textId="55B6EE8C" w:rsidR="008544AA" w:rsidRPr="007E650E" w:rsidRDefault="00C32224" w:rsidP="008F564F">
      <w:pPr>
        <w:pStyle w:val="BodyText"/>
      </w:pPr>
      <w:bookmarkStart w:id="116" w:name="_37m2jsg"/>
      <w:bookmarkEnd w:id="116"/>
      <w:r w:rsidRPr="007E650E">
        <w:rPr>
          <w:lang w:val="en-US"/>
        </w:rPr>
        <w:t>Grantees will be required to maintain project and fiscal records sufficient to allow federal, state, and local reviewers to evaluate the project effectiveness and proper use of funds. The record keeping system must include both original and summary (e.g., computer generated) data sources. Grantees will retain all records pertinent to this subgrant (contract) for a period of five years from the date of final payment on the subgrant.</w:t>
      </w:r>
    </w:p>
    <w:p w14:paraId="11FCACB6" w14:textId="39300FDA" w:rsidR="008544AA" w:rsidRPr="007E650E" w:rsidRDefault="008544AA" w:rsidP="00F470F1">
      <w:pPr>
        <w:pStyle w:val="Heading3"/>
      </w:pPr>
      <w:bookmarkStart w:id="117" w:name="_Toc117246184"/>
      <w:bookmarkStart w:id="118" w:name="_Toc130496193"/>
      <w:bookmarkStart w:id="119" w:name="_Toc167356443"/>
      <w:bookmarkStart w:id="120" w:name="_Toc195189607"/>
      <w:r w:rsidRPr="007E650E">
        <w:t>Reporting</w:t>
      </w:r>
      <w:bookmarkEnd w:id="117"/>
      <w:bookmarkEnd w:id="118"/>
      <w:bookmarkEnd w:id="119"/>
      <w:bookmarkEnd w:id="120"/>
    </w:p>
    <w:p w14:paraId="2D10E048" w14:textId="77777777" w:rsidR="00C32224" w:rsidRPr="007E650E" w:rsidRDefault="00C32224" w:rsidP="00C32224">
      <w:pPr>
        <w:pStyle w:val="BodyText"/>
        <w:rPr>
          <w:lang w:val="en-US"/>
        </w:rPr>
      </w:pPr>
      <w:bookmarkStart w:id="121" w:name="_1mrcu09"/>
      <w:bookmarkStart w:id="122" w:name="_Hlk185253509"/>
      <w:bookmarkEnd w:id="121"/>
      <w:r w:rsidRPr="007E650E">
        <w:rPr>
          <w:lang w:val="en-US"/>
        </w:rPr>
        <w:t>Grantees must have the capability to report expenditures and outcome data to the EDD, in a manner that is timely, thorough, and accurate. Grantees will be required to submit by email a signed copy of the monthly expenditure reports (invoice) and supporting documentation for reimbursement, and a monthly narrative report. These reports must be submitted by the 20th of the following month in which expenditures and activities occurred.</w:t>
      </w:r>
    </w:p>
    <w:p w14:paraId="6B398F37" w14:textId="6DF4A9BD" w:rsidR="00C32224" w:rsidRPr="007E650E" w:rsidRDefault="00C32224" w:rsidP="00C32224">
      <w:pPr>
        <w:pStyle w:val="BodyText"/>
        <w:rPr>
          <w:lang w:val="en-US"/>
        </w:rPr>
      </w:pPr>
      <w:r w:rsidRPr="007E650E">
        <w:rPr>
          <w:lang w:val="en-US"/>
        </w:rPr>
        <w:t xml:space="preserve">All subrecipients will be </w:t>
      </w:r>
      <w:proofErr w:type="gramStart"/>
      <w:r w:rsidRPr="007E650E">
        <w:rPr>
          <w:lang w:val="en-US"/>
        </w:rPr>
        <w:t>provided</w:t>
      </w:r>
      <w:proofErr w:type="gramEnd"/>
      <w:r w:rsidRPr="007E650E">
        <w:rPr>
          <w:lang w:val="en-US"/>
        </w:rPr>
        <w:t xml:space="preserve"> access to the CalJOBS</w:t>
      </w:r>
      <w:r w:rsidR="00297DCA" w:rsidRPr="007E650E">
        <w:rPr>
          <w:lang w:val="en-US"/>
        </w:rPr>
        <w:t xml:space="preserve"> </w:t>
      </w:r>
      <w:r w:rsidRPr="007E650E">
        <w:rPr>
          <w:lang w:val="en-US"/>
        </w:rPr>
        <w:t xml:space="preserve">website to report participant information and outcome data to the state promptly and accurately. Refer to Appendix F: CalJOBS Workstation and Software Requirements for more information. The state will provide training on how to use the CalJOBS reporting system. Review </w:t>
      </w:r>
      <w:r w:rsidRPr="007E650E">
        <w:rPr>
          <w:i/>
          <w:iCs/>
          <w:lang w:val="en-US"/>
        </w:rPr>
        <w:t>CalJOBS Activity Codes</w:t>
      </w:r>
      <w:r w:rsidRPr="007E650E">
        <w:rPr>
          <w:lang w:val="en-US"/>
        </w:rPr>
        <w:t xml:space="preserve"> (</w:t>
      </w:r>
      <w:hyperlink r:id="rId31" w:history="1">
        <w:r w:rsidR="000C009A" w:rsidRPr="007E650E">
          <w:rPr>
            <w:color w:val="0070C0"/>
            <w:u w:val="single"/>
          </w:rPr>
          <w:t>WSD24-05</w:t>
        </w:r>
      </w:hyperlink>
      <w:r w:rsidRPr="007E650E">
        <w:rPr>
          <w:lang w:val="en-US"/>
        </w:rPr>
        <w:t xml:space="preserve">) for guidance on entering grant activity codes. See </w:t>
      </w:r>
      <w:r w:rsidRPr="007E650E">
        <w:rPr>
          <w:i/>
          <w:iCs/>
          <w:lang w:val="en-US"/>
        </w:rPr>
        <w:t>CalJOBS Participant Reporting</w:t>
      </w:r>
      <w:r w:rsidRPr="007E650E">
        <w:rPr>
          <w:lang w:val="en-US"/>
        </w:rPr>
        <w:t xml:space="preserve"> (</w:t>
      </w:r>
      <w:hyperlink r:id="rId32" w:history="1">
        <w:r w:rsidRPr="007E650E">
          <w:rPr>
            <w:color w:val="0070C0"/>
            <w:u w:val="single"/>
          </w:rPr>
          <w:t>WSD20-10</w:t>
        </w:r>
      </w:hyperlink>
      <w:r w:rsidRPr="007E650E">
        <w:rPr>
          <w:lang w:val="en-US"/>
        </w:rPr>
        <w:t>) for more information regarding participant reporting requirements.</w:t>
      </w:r>
    </w:p>
    <w:p w14:paraId="742EDE95" w14:textId="6FCBF290" w:rsidR="00C32224" w:rsidRPr="007E650E" w:rsidRDefault="00C32224" w:rsidP="00C32224">
      <w:pPr>
        <w:pStyle w:val="BodyText"/>
        <w:rPr>
          <w:lang w:val="en-US"/>
        </w:rPr>
      </w:pPr>
      <w:r w:rsidRPr="007E650E">
        <w:rPr>
          <w:lang w:val="en-US"/>
        </w:rPr>
        <w:t xml:space="preserve">The expenditure invoice and supporting documents must be transmitted through email to </w:t>
      </w:r>
      <w:hyperlink r:id="rId33" w:history="1">
        <w:r w:rsidR="0072705C" w:rsidRPr="007E650E">
          <w:rPr>
            <w:rStyle w:val="Hyperlink"/>
            <w:color w:val="0070C0"/>
            <w:lang w:val="en-US"/>
          </w:rPr>
          <w:t>WSBSpecialPopulations@edd.ca.gov</w:t>
        </w:r>
      </w:hyperlink>
      <w:r w:rsidRPr="007E650E">
        <w:rPr>
          <w:lang w:val="en-US"/>
        </w:rPr>
        <w:t xml:space="preserve">. In the case that the expenditure invoice and supporting documents are required to be mailed, EDD will promptly notify </w:t>
      </w:r>
      <w:r w:rsidR="002151C7" w:rsidRPr="007E650E">
        <w:rPr>
          <w:lang w:val="en-US"/>
        </w:rPr>
        <w:t>grantees,</w:t>
      </w:r>
      <w:r w:rsidRPr="007E650E">
        <w:rPr>
          <w:lang w:val="en-US"/>
        </w:rPr>
        <w:t xml:space="preserve"> and all correspondence related to expenditures, allocations, or activities should be addressed to the following:</w:t>
      </w:r>
    </w:p>
    <w:p w14:paraId="0E906783" w14:textId="77777777" w:rsidR="002E4765" w:rsidRPr="007E650E" w:rsidRDefault="002E4765">
      <w:pPr>
        <w:rPr>
          <w:rFonts w:ascii="Calibri" w:eastAsia="Calibri" w:hAnsi="Calibri" w:cstheme="minorHAnsi"/>
          <w:sz w:val="24"/>
          <w:szCs w:val="24"/>
        </w:rPr>
      </w:pPr>
      <w:r w:rsidRPr="007E650E">
        <w:br w:type="page"/>
      </w:r>
    </w:p>
    <w:p w14:paraId="2A1680D5" w14:textId="39731243" w:rsidR="00C32224" w:rsidRPr="007E650E" w:rsidRDefault="00C32224" w:rsidP="0077164E">
      <w:pPr>
        <w:pStyle w:val="BodyText"/>
        <w:spacing w:after="0"/>
        <w:ind w:firstLine="2790"/>
        <w:rPr>
          <w:lang w:val="en-US"/>
        </w:rPr>
      </w:pPr>
      <w:r w:rsidRPr="007E650E">
        <w:rPr>
          <w:lang w:val="en-US"/>
        </w:rPr>
        <w:lastRenderedPageBreak/>
        <w:t>Employment Development Department</w:t>
      </w:r>
    </w:p>
    <w:p w14:paraId="3C593077" w14:textId="77777777" w:rsidR="00C32224" w:rsidRPr="007E650E" w:rsidRDefault="00C32224" w:rsidP="0077164E">
      <w:pPr>
        <w:pStyle w:val="BodyText"/>
        <w:spacing w:after="0"/>
        <w:ind w:firstLine="2790"/>
        <w:rPr>
          <w:lang w:val="en-US"/>
        </w:rPr>
      </w:pPr>
      <w:r w:rsidRPr="007E650E">
        <w:rPr>
          <w:lang w:val="en-US"/>
        </w:rPr>
        <w:t>Deaf and Hard of Hearing Program</w:t>
      </w:r>
    </w:p>
    <w:p w14:paraId="44A50AD7" w14:textId="77777777" w:rsidR="00C32224" w:rsidRPr="007E650E" w:rsidRDefault="00C32224" w:rsidP="0077164E">
      <w:pPr>
        <w:pStyle w:val="BodyText"/>
        <w:spacing w:after="0"/>
        <w:ind w:firstLine="2790"/>
        <w:rPr>
          <w:lang w:val="en-US"/>
        </w:rPr>
      </w:pPr>
      <w:r w:rsidRPr="007E650E">
        <w:rPr>
          <w:lang w:val="en-US"/>
        </w:rPr>
        <w:t>Special Populations Support Unit</w:t>
      </w:r>
    </w:p>
    <w:p w14:paraId="0A9DAA22" w14:textId="77777777" w:rsidR="00C32224" w:rsidRPr="007E650E" w:rsidRDefault="00C32224" w:rsidP="0077164E">
      <w:pPr>
        <w:pStyle w:val="BodyText"/>
        <w:spacing w:after="0"/>
        <w:ind w:firstLine="2790"/>
        <w:rPr>
          <w:lang w:val="en-US"/>
        </w:rPr>
      </w:pPr>
      <w:r w:rsidRPr="007E650E">
        <w:rPr>
          <w:lang w:val="en-US"/>
        </w:rPr>
        <w:t>Attention: Project Manager</w:t>
      </w:r>
    </w:p>
    <w:p w14:paraId="5D948D87" w14:textId="77777777" w:rsidR="00C32224" w:rsidRPr="007E650E" w:rsidRDefault="00C32224" w:rsidP="0077164E">
      <w:pPr>
        <w:pStyle w:val="BodyText"/>
        <w:spacing w:after="0"/>
        <w:ind w:firstLine="2790"/>
        <w:rPr>
          <w:lang w:val="en-US"/>
        </w:rPr>
      </w:pPr>
      <w:r w:rsidRPr="007E650E">
        <w:rPr>
          <w:lang w:val="en-US"/>
        </w:rPr>
        <w:t>722 Capitol Mall, MIC 50</w:t>
      </w:r>
    </w:p>
    <w:p w14:paraId="27065035" w14:textId="77777777" w:rsidR="00C32224" w:rsidRPr="007E650E" w:rsidRDefault="00C32224" w:rsidP="0077164E">
      <w:pPr>
        <w:pStyle w:val="BodyText"/>
        <w:ind w:firstLine="2790"/>
        <w:rPr>
          <w:lang w:val="en-US"/>
        </w:rPr>
      </w:pPr>
      <w:r w:rsidRPr="007E650E">
        <w:rPr>
          <w:lang w:val="en-US"/>
        </w:rPr>
        <w:t>Sacramento, CA 95814</w:t>
      </w:r>
    </w:p>
    <w:p w14:paraId="236BC6A3" w14:textId="3AA6DB27" w:rsidR="008544AA" w:rsidRPr="007E650E" w:rsidRDefault="00C32224" w:rsidP="00C32224">
      <w:pPr>
        <w:pStyle w:val="BodyText"/>
        <w:rPr>
          <w:lang w:val="en-US"/>
        </w:rPr>
      </w:pPr>
      <w:r w:rsidRPr="007E650E">
        <w:rPr>
          <w:lang w:val="en-US"/>
        </w:rPr>
        <w:t>All funds provided under this SFP are subject to revocation by the State of California in the event of failure to meet the performance criteria and reporting requirements as described in the grantee</w:t>
      </w:r>
      <w:r w:rsidR="000D5ACF">
        <w:rPr>
          <w:lang w:val="en-US"/>
        </w:rPr>
        <w:t>'</w:t>
      </w:r>
      <w:r w:rsidRPr="007E650E">
        <w:rPr>
          <w:lang w:val="en-US"/>
        </w:rPr>
        <w:t xml:space="preserve">s subgrant agreement. This also includes failure to comply with procedures for amending and/or modifying the subgrant agreement. Additionally, grantees will be required to provide an </w:t>
      </w:r>
      <w:r w:rsidR="00C134B9" w:rsidRPr="007E650E">
        <w:rPr>
          <w:lang w:val="en-US"/>
        </w:rPr>
        <w:t>end-of-project</w:t>
      </w:r>
      <w:r w:rsidRPr="007E650E">
        <w:rPr>
          <w:lang w:val="en-US"/>
        </w:rPr>
        <w:t xml:space="preserve"> report at the end of the program year. A template will be provided to grantees after the award is announced. </w:t>
      </w:r>
      <w:bookmarkStart w:id="123" w:name="_Hlk195012315"/>
      <w:r w:rsidRPr="007E650E">
        <w:rPr>
          <w:lang w:val="en-US"/>
        </w:rPr>
        <w:t xml:space="preserve">The </w:t>
      </w:r>
      <w:r w:rsidR="00F16239" w:rsidRPr="007E650E">
        <w:rPr>
          <w:lang w:val="en-US"/>
        </w:rPr>
        <w:t>end-of-project</w:t>
      </w:r>
      <w:r w:rsidRPr="007E650E">
        <w:rPr>
          <w:lang w:val="en-US"/>
        </w:rPr>
        <w:t xml:space="preserve"> report will be due </w:t>
      </w:r>
      <w:r w:rsidR="003B6F33" w:rsidRPr="007E650E">
        <w:rPr>
          <w:lang w:val="en-US"/>
        </w:rPr>
        <w:t>by July 20</w:t>
      </w:r>
      <w:r w:rsidRPr="007E650E">
        <w:rPr>
          <w:lang w:val="en-US"/>
        </w:rPr>
        <w:t xml:space="preserve"> after the end of the subgrant agreement and must be submitted to the PM.</w:t>
      </w:r>
      <w:bookmarkEnd w:id="123"/>
    </w:p>
    <w:p w14:paraId="02917936" w14:textId="30CB775C" w:rsidR="002151C7" w:rsidRPr="007E650E" w:rsidRDefault="002151C7" w:rsidP="002151C7">
      <w:pPr>
        <w:pStyle w:val="Heading3"/>
      </w:pPr>
      <w:bookmarkStart w:id="124" w:name="_Toc195189608"/>
      <w:r w:rsidRPr="007E650E">
        <w:t>Performance</w:t>
      </w:r>
      <w:bookmarkEnd w:id="124"/>
    </w:p>
    <w:p w14:paraId="35C596B4" w14:textId="0EABF577" w:rsidR="002151C7" w:rsidRPr="007E650E" w:rsidRDefault="002151C7" w:rsidP="002151C7">
      <w:r w:rsidRPr="007E650E">
        <w:rPr>
          <w:lang w:bidi="en-US"/>
        </w:rPr>
        <w:t>Each proposal must describe specific program goals and objectives to enable EDD and the grantee to measure performance.</w:t>
      </w:r>
    </w:p>
    <w:p w14:paraId="1707D8C4" w14:textId="09CA4A73" w:rsidR="008544AA" w:rsidRPr="007E650E" w:rsidRDefault="008544AA" w:rsidP="00F470F1">
      <w:pPr>
        <w:pStyle w:val="Heading3"/>
      </w:pPr>
      <w:bookmarkStart w:id="125" w:name="_Toc117246185"/>
      <w:bookmarkStart w:id="126" w:name="_Toc130496194"/>
      <w:bookmarkStart w:id="127" w:name="_Toc167356444"/>
      <w:bookmarkStart w:id="128" w:name="_Toc195189609"/>
      <w:bookmarkEnd w:id="122"/>
      <w:r w:rsidRPr="007E650E">
        <w:t>Closeout</w:t>
      </w:r>
      <w:bookmarkStart w:id="129" w:name="_46r0co2"/>
      <w:bookmarkEnd w:id="125"/>
      <w:bookmarkEnd w:id="126"/>
      <w:bookmarkEnd w:id="127"/>
      <w:bookmarkEnd w:id="129"/>
      <w:bookmarkEnd w:id="128"/>
    </w:p>
    <w:p w14:paraId="23139911" w14:textId="5D8B568A" w:rsidR="008544AA" w:rsidRPr="007E650E" w:rsidRDefault="002151C7" w:rsidP="00F470F1">
      <w:pPr>
        <w:pStyle w:val="BodyText"/>
      </w:pPr>
      <w:bookmarkStart w:id="130" w:name="_Toc117246186"/>
      <w:r w:rsidRPr="007E650E">
        <w:rPr>
          <w:lang w:bidi="en-US"/>
        </w:rPr>
        <w:t xml:space="preserve">Grantees must </w:t>
      </w:r>
      <w:proofErr w:type="gramStart"/>
      <w:r w:rsidRPr="007E650E">
        <w:rPr>
          <w:lang w:bidi="en-US"/>
        </w:rPr>
        <w:t>closeout</w:t>
      </w:r>
      <w:proofErr w:type="gramEnd"/>
      <w:r w:rsidRPr="007E650E">
        <w:rPr>
          <w:lang w:bidi="en-US"/>
        </w:rPr>
        <w:t xml:space="preserve"> grant codes or subgrant agreements within 60 calendar days of the term end date or when the funding has been fully utilized, whichever comes first. Grantees should refer to </w:t>
      </w:r>
      <w:r w:rsidRPr="007E650E">
        <w:rPr>
          <w:i/>
          <w:iCs/>
          <w:lang w:bidi="en-US"/>
        </w:rPr>
        <w:t>WIOA Closeout Requirements</w:t>
      </w:r>
      <w:r w:rsidR="002E4765" w:rsidRPr="007E650E">
        <w:rPr>
          <w:lang w:bidi="en-US"/>
        </w:rPr>
        <w:t xml:space="preserve"> (</w:t>
      </w:r>
      <w:hyperlink r:id="rId34" w:history="1">
        <w:r w:rsidR="002E4765" w:rsidRPr="007E650E">
          <w:rPr>
            <w:rStyle w:val="Hyperlink"/>
            <w:color w:val="0070C0"/>
            <w:lang w:bidi="en-US"/>
          </w:rPr>
          <w:t>WSD16-05</w:t>
        </w:r>
      </w:hyperlink>
      <w:r w:rsidR="002E4765" w:rsidRPr="007E650E">
        <w:rPr>
          <w:lang w:bidi="en-US"/>
        </w:rPr>
        <w:t>)</w:t>
      </w:r>
      <w:r w:rsidRPr="007E650E">
        <w:rPr>
          <w:lang w:bidi="en-US"/>
        </w:rPr>
        <w:t>, for additional closeout requirements.</w:t>
      </w:r>
    </w:p>
    <w:p w14:paraId="41E3EE0D" w14:textId="7FCBAEEB" w:rsidR="008544AA" w:rsidRPr="007E650E" w:rsidRDefault="008544AA" w:rsidP="00F470F1">
      <w:pPr>
        <w:pStyle w:val="Heading3"/>
      </w:pPr>
      <w:bookmarkStart w:id="131" w:name="_Toc130496195"/>
      <w:bookmarkStart w:id="132" w:name="_Toc167356445"/>
      <w:bookmarkStart w:id="133" w:name="_Toc195189610"/>
      <w:r w:rsidRPr="007E650E">
        <w:t>Compliance</w:t>
      </w:r>
      <w:bookmarkEnd w:id="130"/>
      <w:bookmarkEnd w:id="131"/>
      <w:bookmarkEnd w:id="132"/>
      <w:bookmarkEnd w:id="133"/>
    </w:p>
    <w:p w14:paraId="6030507F" w14:textId="46C3BDDA" w:rsidR="008544AA" w:rsidRPr="007E650E" w:rsidRDefault="0077164E" w:rsidP="00F470F1">
      <w:pPr>
        <w:pStyle w:val="BodyText"/>
      </w:pPr>
      <w:bookmarkStart w:id="134" w:name="_2lwamvv"/>
      <w:bookmarkEnd w:id="134"/>
      <w:r w:rsidRPr="007E650E">
        <w:t>All funds are subject to their related state and federal statutory and regulatory requirements. These requirements are detailed in governing documents that include, but are not limited to, Title 22 and its associated federal regulations, including Title 29 of the Code of Federal Regulations (CFR), and Office of Management and Budget (OMB) Circulars.</w:t>
      </w:r>
    </w:p>
    <w:p w14:paraId="388D07EE" w14:textId="549E5B6C" w:rsidR="008544AA" w:rsidRPr="007E650E" w:rsidRDefault="008544AA" w:rsidP="00F470F1">
      <w:pPr>
        <w:pStyle w:val="Heading3"/>
      </w:pPr>
      <w:bookmarkStart w:id="135" w:name="_Toc117246187"/>
      <w:bookmarkStart w:id="136" w:name="_Toc130496196"/>
      <w:bookmarkStart w:id="137" w:name="_Toc167356446"/>
      <w:bookmarkStart w:id="138" w:name="_Toc195189611"/>
      <w:r w:rsidRPr="007E650E">
        <w:t>Intellectual Property Rights/Creative Common</w:t>
      </w:r>
      <w:r w:rsidR="00E01582" w:rsidRPr="007E650E">
        <w:t>s</w:t>
      </w:r>
      <w:r w:rsidRPr="007E650E">
        <w:t xml:space="preserve"> Attribution License</w:t>
      </w:r>
      <w:bookmarkEnd w:id="135"/>
      <w:bookmarkEnd w:id="136"/>
      <w:bookmarkEnd w:id="137"/>
      <w:bookmarkEnd w:id="138"/>
    </w:p>
    <w:p w14:paraId="15760F9A" w14:textId="5ABCC41D" w:rsidR="008544AA" w:rsidRPr="007E650E" w:rsidRDefault="008544AA" w:rsidP="008F564F">
      <w:pPr>
        <w:pStyle w:val="BodyText"/>
      </w:pPr>
      <w:bookmarkStart w:id="139" w:name="_111kx3o"/>
      <w:bookmarkEnd w:id="139"/>
      <w:r w:rsidRPr="007E650E">
        <w:rPr>
          <w:lang w:val="en-US"/>
        </w:rPr>
        <w:t>Subrecipients of a federal award obtain the title to intangible property once acquired. The subrecipient must use the property for the originally</w:t>
      </w:r>
      <w:r w:rsidR="00BB547A" w:rsidRPr="007E650E">
        <w:rPr>
          <w:lang w:val="en-US"/>
        </w:rPr>
        <w:t xml:space="preserve"> </w:t>
      </w:r>
      <w:r w:rsidRPr="007E650E">
        <w:rPr>
          <w:lang w:val="en-US"/>
        </w:rPr>
        <w:t xml:space="preserve">authorized purpose and must not encumber the property without approval from the EDD. Further, the DOL has the right to obtain, reproduce, publish, or otherwise use the data produced under a federal award and authorize others to receive, reproduce, publish, or otherwise use such data for federal purposes (Uniform Guidance Section 200.315[a],[d]). In addition, </w:t>
      </w:r>
      <w:proofErr w:type="gramStart"/>
      <w:r w:rsidRPr="007E650E">
        <w:rPr>
          <w:lang w:val="en-US"/>
        </w:rPr>
        <w:t>the DOL</w:t>
      </w:r>
      <w:proofErr w:type="gramEnd"/>
      <w:r w:rsidRPr="007E650E">
        <w:rPr>
          <w:lang w:val="en-US"/>
        </w:rPr>
        <w:t xml:space="preserve"> requires intellectual property developed under a competitive federal award process to be licensed under a Creative Commons Attribution license. This license allows subsequent users to copy, distribute, transmit, and adapt </w:t>
      </w:r>
      <w:r w:rsidRPr="007E650E">
        <w:rPr>
          <w:lang w:val="en-US"/>
        </w:rPr>
        <w:lastRenderedPageBreak/>
        <w:t xml:space="preserve">the copyrighted work and requires such users to attribute the work as specified by the recipient (DOL Exceptions 2 CFR Section 2900.13). Refer to </w:t>
      </w:r>
      <w:r w:rsidRPr="007E650E">
        <w:rPr>
          <w:i/>
          <w:iCs/>
          <w:lang w:val="en-US"/>
        </w:rPr>
        <w:t>Property – Purchasing, Inventory, and Disposal</w:t>
      </w:r>
      <w:r w:rsidRPr="007E650E">
        <w:rPr>
          <w:lang w:val="en-US"/>
        </w:rPr>
        <w:t xml:space="preserve"> </w:t>
      </w:r>
      <w:r w:rsidR="002E4765" w:rsidRPr="007E650E">
        <w:rPr>
          <w:lang w:val="en-US"/>
        </w:rPr>
        <w:t>(</w:t>
      </w:r>
      <w:hyperlink r:id="rId35">
        <w:r w:rsidR="002E4765" w:rsidRPr="007E650E">
          <w:rPr>
            <w:color w:val="0070C0"/>
            <w:u w:val="single"/>
            <w:lang w:val="en-US"/>
          </w:rPr>
          <w:t>WSD16-10</w:t>
        </w:r>
      </w:hyperlink>
      <w:r w:rsidR="002E4765" w:rsidRPr="007E650E">
        <w:rPr>
          <w:lang w:val="en-US"/>
        </w:rPr>
        <w:t xml:space="preserve">) </w:t>
      </w:r>
      <w:r w:rsidRPr="007E650E">
        <w:rPr>
          <w:lang w:val="en-US"/>
        </w:rPr>
        <w:t>(November 10, 2016) for more information.</w:t>
      </w:r>
    </w:p>
    <w:p w14:paraId="7D5F10E4" w14:textId="11B576FE" w:rsidR="008544AA" w:rsidRPr="007E650E" w:rsidRDefault="008544AA" w:rsidP="00F470F1">
      <w:pPr>
        <w:pStyle w:val="Heading3"/>
      </w:pPr>
      <w:bookmarkStart w:id="140" w:name="_Toc130496197"/>
      <w:bookmarkStart w:id="141" w:name="_Toc167356447"/>
      <w:bookmarkStart w:id="142" w:name="_Toc195189612"/>
      <w:r w:rsidRPr="007E650E">
        <w:t>Public Communications – Certain Information Requirement</w:t>
      </w:r>
      <w:bookmarkEnd w:id="140"/>
      <w:bookmarkEnd w:id="141"/>
      <w:bookmarkEnd w:id="142"/>
      <w:r w:rsidRPr="007E650E">
        <w:t xml:space="preserve"> </w:t>
      </w:r>
    </w:p>
    <w:p w14:paraId="088504FD" w14:textId="11E3339E" w:rsidR="008544AA" w:rsidRPr="007E650E" w:rsidRDefault="008544AA" w:rsidP="1E88D79A">
      <w:pPr>
        <w:pStyle w:val="BodyText"/>
        <w:rPr>
          <w:lang w:val="en-US"/>
        </w:rPr>
      </w:pPr>
      <w:r w:rsidRPr="007E650E">
        <w:rPr>
          <w:lang w:val="en-US"/>
        </w:rPr>
        <w:t xml:space="preserve">Pursuant to P.L. 117-103, Division H, Title V, Section 505, when issuing statements, press releases, requests for proposals, bid solicitations, and other documents describing projects or programs funded in whole or in part with </w:t>
      </w:r>
      <w:r w:rsidR="00A544A1" w:rsidRPr="007E650E">
        <w:rPr>
          <w:lang w:val="en-US"/>
        </w:rPr>
        <w:t>f</w:t>
      </w:r>
      <w:r w:rsidRPr="007E650E">
        <w:rPr>
          <w:lang w:val="en-US"/>
        </w:rPr>
        <w:t>ederal money, all non-</w:t>
      </w:r>
      <w:r w:rsidR="0077164E" w:rsidRPr="007E650E">
        <w:rPr>
          <w:lang w:val="en-US"/>
        </w:rPr>
        <w:t>f</w:t>
      </w:r>
      <w:r w:rsidRPr="007E650E">
        <w:rPr>
          <w:lang w:val="en-US"/>
        </w:rPr>
        <w:t xml:space="preserve">ederal entities receiving </w:t>
      </w:r>
      <w:r w:rsidR="00A544A1" w:rsidRPr="007E650E">
        <w:rPr>
          <w:lang w:val="en-US"/>
        </w:rPr>
        <w:t>f</w:t>
      </w:r>
      <w:r w:rsidRPr="007E650E">
        <w:rPr>
          <w:lang w:val="en-US"/>
        </w:rPr>
        <w:t>ederal funds shall clearly state:</w:t>
      </w:r>
    </w:p>
    <w:p w14:paraId="5DAFD17A" w14:textId="6576786D" w:rsidR="008544AA" w:rsidRPr="007E650E" w:rsidRDefault="008544AA" w:rsidP="00FA7433">
      <w:pPr>
        <w:pStyle w:val="ListParagraph"/>
        <w:spacing w:after="0" w:line="240" w:lineRule="auto"/>
      </w:pPr>
      <w:r w:rsidRPr="007E650E">
        <w:t xml:space="preserve">The percentage of the total costs of the program or </w:t>
      </w:r>
      <w:proofErr w:type="gramStart"/>
      <w:r w:rsidRPr="007E650E">
        <w:t>project which</w:t>
      </w:r>
      <w:proofErr w:type="gramEnd"/>
      <w:r w:rsidRPr="007E650E">
        <w:t xml:space="preserve"> will be financed</w:t>
      </w:r>
      <w:r w:rsidR="00FA7433" w:rsidRPr="007E650E">
        <w:t xml:space="preserve"> </w:t>
      </w:r>
      <w:r w:rsidRPr="007E650E">
        <w:t xml:space="preserve">with </w:t>
      </w:r>
      <w:r w:rsidR="00A544A1" w:rsidRPr="007E650E">
        <w:t>f</w:t>
      </w:r>
      <w:r w:rsidRPr="007E650E">
        <w:t xml:space="preserve">ederal money. </w:t>
      </w:r>
    </w:p>
    <w:p w14:paraId="3D040D10" w14:textId="0CF6D381" w:rsidR="008544AA" w:rsidRPr="007E650E" w:rsidRDefault="008544AA" w:rsidP="00FA7433">
      <w:pPr>
        <w:pStyle w:val="ListParagraph"/>
        <w:spacing w:after="0" w:line="240" w:lineRule="auto"/>
      </w:pPr>
      <w:r w:rsidRPr="007E650E">
        <w:t xml:space="preserve">The dollar amount of </w:t>
      </w:r>
      <w:r w:rsidR="00A544A1" w:rsidRPr="007E650E">
        <w:t>f</w:t>
      </w:r>
      <w:r w:rsidRPr="007E650E">
        <w:t>ederal funds for the project or program.</w:t>
      </w:r>
    </w:p>
    <w:p w14:paraId="4A192420" w14:textId="636A713E" w:rsidR="008544AA" w:rsidRPr="007E650E" w:rsidRDefault="008544AA" w:rsidP="00377B44">
      <w:pPr>
        <w:pStyle w:val="ListParagraph"/>
      </w:pPr>
      <w:r w:rsidRPr="007E650E">
        <w:t>The percentage and dollar amount of the total costs of the project or program that will</w:t>
      </w:r>
      <w:r w:rsidR="00FA7433" w:rsidRPr="007E650E">
        <w:t xml:space="preserve"> </w:t>
      </w:r>
      <w:r w:rsidRPr="007E650E">
        <w:t xml:space="preserve">be financed by non-governmental sources. </w:t>
      </w:r>
    </w:p>
    <w:p w14:paraId="20EEC895" w14:textId="1ABB69FF" w:rsidR="008544AA" w:rsidRPr="007E650E" w:rsidRDefault="008544AA" w:rsidP="00F470F1">
      <w:pPr>
        <w:pStyle w:val="BodyText"/>
      </w:pPr>
      <w:r w:rsidRPr="007E650E">
        <w:rPr>
          <w:lang w:val="en-US"/>
        </w:rPr>
        <w:t>The requirements of this term are separate from those in 2 CFR Part 200, and, when applicable, both must be complied with.</w:t>
      </w:r>
    </w:p>
    <w:p w14:paraId="0BBC28ED" w14:textId="77777777" w:rsidR="008544AA" w:rsidRPr="007E650E" w:rsidRDefault="008544AA" w:rsidP="00F470F1">
      <w:pPr>
        <w:pStyle w:val="Heading3"/>
      </w:pPr>
      <w:bookmarkStart w:id="143" w:name="_Toc116915405"/>
      <w:bookmarkStart w:id="144" w:name="_Toc117246189"/>
      <w:bookmarkStart w:id="145" w:name="_Toc130496198"/>
      <w:bookmarkStart w:id="146" w:name="_Toc167356448"/>
      <w:bookmarkStart w:id="147" w:name="_Toc195189613"/>
      <w:r w:rsidRPr="007E650E">
        <w:t>Evaluation</w:t>
      </w:r>
      <w:bookmarkEnd w:id="143"/>
      <w:bookmarkEnd w:id="144"/>
      <w:bookmarkEnd w:id="145"/>
      <w:bookmarkEnd w:id="146"/>
      <w:bookmarkEnd w:id="147"/>
    </w:p>
    <w:p w14:paraId="4C7AC2DF" w14:textId="5534A698" w:rsidR="008544AA" w:rsidRPr="007E650E" w:rsidRDefault="00C32224" w:rsidP="00F470F1">
      <w:pPr>
        <w:pStyle w:val="BodyText"/>
      </w:pPr>
      <w:r w:rsidRPr="007E650E">
        <w:rPr>
          <w:lang w:val="en-US"/>
        </w:rPr>
        <w:t>Evaluation of activities allows the State of California to determine the effectiveness of the Wagner-Peyser Governor</w:t>
      </w:r>
      <w:r w:rsidR="000D5ACF">
        <w:rPr>
          <w:lang w:val="en-US"/>
        </w:rPr>
        <w:t>'</w:t>
      </w:r>
      <w:r w:rsidRPr="007E650E">
        <w:rPr>
          <w:lang w:val="en-US"/>
        </w:rPr>
        <w:t>s 10 percent funds in addressing the identified needs and the level of continued funding. As a result, the EDD may pursue an evaluation of the projects awarded through this SFP. If an evaluation is implemented, the applicant will be required to participate in that evaluation by providing</w:t>
      </w:r>
      <w:r w:rsidR="0077164E" w:rsidRPr="007E650E">
        <w:rPr>
          <w:lang w:val="en-US"/>
        </w:rPr>
        <w:t xml:space="preserve"> any</w:t>
      </w:r>
      <w:r w:rsidRPr="007E650E">
        <w:rPr>
          <w:lang w:val="en-US"/>
        </w:rPr>
        <w:t xml:space="preserve"> requested data and information. All award recipients are expected to document lessons learned, and effective and promising practices ascertained through this project.</w:t>
      </w:r>
    </w:p>
    <w:p w14:paraId="1C92B663" w14:textId="77777777" w:rsidR="008544AA" w:rsidRPr="007E650E" w:rsidRDefault="008544AA" w:rsidP="00F470F1">
      <w:pPr>
        <w:pStyle w:val="BodyText"/>
      </w:pPr>
      <w:r w:rsidRPr="007E650E">
        <w:br w:type="page"/>
      </w:r>
    </w:p>
    <w:p w14:paraId="4A2CC3FA" w14:textId="77777777" w:rsidR="008544AA" w:rsidRPr="007E650E" w:rsidRDefault="008544AA" w:rsidP="00F470F1">
      <w:pPr>
        <w:pStyle w:val="Heading2"/>
        <w:numPr>
          <w:ilvl w:val="0"/>
          <w:numId w:val="0"/>
        </w:numPr>
        <w:rPr>
          <w:rFonts w:eastAsia="Arial"/>
        </w:rPr>
      </w:pPr>
      <w:bookmarkStart w:id="148" w:name="_Toc117246190"/>
      <w:bookmarkStart w:id="149" w:name="_Toc130496199"/>
      <w:bookmarkStart w:id="150" w:name="_Toc195189614"/>
      <w:r w:rsidRPr="007E650E">
        <w:rPr>
          <w:rFonts w:eastAsia="Arial"/>
        </w:rPr>
        <w:lastRenderedPageBreak/>
        <w:t>Appendix A: Proposal Package Instructions</w:t>
      </w:r>
      <w:bookmarkEnd w:id="148"/>
      <w:bookmarkEnd w:id="149"/>
      <w:bookmarkEnd w:id="150"/>
    </w:p>
    <w:p w14:paraId="32673466" w14:textId="601B979B" w:rsidR="008544AA" w:rsidRPr="007E650E" w:rsidRDefault="008544AA" w:rsidP="01476CFA">
      <w:pPr>
        <w:pStyle w:val="BodyText"/>
        <w:rPr>
          <w:rFonts w:cs="Calibri"/>
          <w:lang w:val="en-US"/>
        </w:rPr>
      </w:pPr>
      <w:r w:rsidRPr="007E650E">
        <w:rPr>
          <w:rFonts w:cs="Calibri"/>
          <w:lang w:val="en-US"/>
        </w:rPr>
        <w:t xml:space="preserve">Applicants must follow the instructions below and complete all requested exhibits in the SFP announcement. The Cover/Signature Page, Executive Summary, Project Narrative, and all Exhibits must be completed in Calibri 12-point font. </w:t>
      </w:r>
      <w:r w:rsidR="002233F7" w:rsidRPr="007E650E">
        <w:rPr>
          <w:rFonts w:cs="Calibri"/>
          <w:lang w:val="en-US"/>
        </w:rPr>
        <w:t>The Cover/Signature Page, Executive Summary, and required exhibits are not included in the 15-page limit, which applies only to the Project Narrative.</w:t>
      </w:r>
      <w:r w:rsidRPr="007E650E">
        <w:rPr>
          <w:rFonts w:cs="Calibri"/>
          <w:lang w:val="en-US"/>
        </w:rPr>
        <w:t xml:space="preserve"> </w:t>
      </w:r>
      <w:r w:rsidR="002233F7" w:rsidRPr="007E650E">
        <w:rPr>
          <w:rFonts w:cs="Calibri"/>
          <w:lang w:val="en-US"/>
        </w:rPr>
        <w:t xml:space="preserve">After carefully reviewing the SFP and Appendices, questions regarding the proposal package can be emailed to </w:t>
      </w:r>
      <w:hyperlink r:id="rId36" w:history="1">
        <w:r w:rsidR="002233F7" w:rsidRPr="007E650E">
          <w:rPr>
            <w:rStyle w:val="Hyperlink"/>
            <w:rFonts w:cs="Calibri"/>
            <w:color w:val="0070C0"/>
            <w:lang w:val="en-US"/>
          </w:rPr>
          <w:t>WSBSFP2@edd.ca.gov</w:t>
        </w:r>
      </w:hyperlink>
      <w:r w:rsidR="002233F7" w:rsidRPr="007E650E">
        <w:rPr>
          <w:rFonts w:cs="Calibri"/>
          <w:lang w:val="en-US"/>
        </w:rPr>
        <w:t>.</w:t>
      </w:r>
    </w:p>
    <w:p w14:paraId="2FF3C6FB" w14:textId="56FCEAC6" w:rsidR="008544AA" w:rsidRPr="007E650E" w:rsidRDefault="00F16239" w:rsidP="00CF0D6C">
      <w:pPr>
        <w:pStyle w:val="Heading3"/>
        <w:numPr>
          <w:ilvl w:val="0"/>
          <w:numId w:val="15"/>
        </w:numPr>
      </w:pPr>
      <w:bookmarkStart w:id="151" w:name="_Toc195189615"/>
      <w:bookmarkStart w:id="152" w:name="_Hlk158715575"/>
      <w:bookmarkStart w:id="153" w:name="_Hlk130057537"/>
      <w:r w:rsidRPr="007E650E">
        <w:t xml:space="preserve">Required Documents and </w:t>
      </w:r>
      <w:r w:rsidR="008544AA" w:rsidRPr="007E650E">
        <w:t>Format</w:t>
      </w:r>
      <w:bookmarkEnd w:id="151"/>
    </w:p>
    <w:p w14:paraId="1F05C22E" w14:textId="654C380B" w:rsidR="00E60407" w:rsidRPr="007E650E" w:rsidRDefault="008544AA" w:rsidP="00E60407">
      <w:pPr>
        <w:rPr>
          <w:rFonts w:ascii="Calibri" w:hAnsi="Calibri" w:cs="Calibri"/>
          <w:sz w:val="24"/>
          <w:szCs w:val="24"/>
        </w:rPr>
      </w:pPr>
      <w:bookmarkStart w:id="154" w:name="_Hlk195005633"/>
      <w:bookmarkEnd w:id="152"/>
      <w:r w:rsidRPr="007E650E">
        <w:rPr>
          <w:rFonts w:ascii="Calibri" w:hAnsi="Calibri" w:cs="Calibri"/>
          <w:sz w:val="24"/>
          <w:szCs w:val="24"/>
        </w:rPr>
        <w:t xml:space="preserve">Figure </w:t>
      </w:r>
      <w:r w:rsidR="2ED26F21" w:rsidRPr="007E650E">
        <w:rPr>
          <w:rFonts w:ascii="Calibri" w:hAnsi="Calibri" w:cs="Calibri"/>
          <w:sz w:val="24"/>
          <w:szCs w:val="24"/>
        </w:rPr>
        <w:t>A.1</w:t>
      </w:r>
      <w:r w:rsidRPr="007E650E">
        <w:rPr>
          <w:rFonts w:ascii="Calibri" w:hAnsi="Calibri" w:cs="Calibri"/>
          <w:sz w:val="24"/>
          <w:szCs w:val="24"/>
        </w:rPr>
        <w:t xml:space="preserve"> below lists the SFP Exhibits and Exhibit Attachments </w:t>
      </w:r>
      <w:r w:rsidR="0002540E" w:rsidRPr="007E650E">
        <w:rPr>
          <w:rFonts w:ascii="Calibri" w:hAnsi="Calibri" w:cs="Calibri"/>
          <w:sz w:val="24"/>
          <w:szCs w:val="24"/>
        </w:rPr>
        <w:t xml:space="preserve">the applicant is </w:t>
      </w:r>
      <w:r w:rsidRPr="007E650E">
        <w:rPr>
          <w:rFonts w:ascii="Calibri" w:hAnsi="Calibri" w:cs="Calibri"/>
          <w:sz w:val="24"/>
          <w:szCs w:val="24"/>
        </w:rPr>
        <w:t>required to download and complete according to the instructions in th</w:t>
      </w:r>
      <w:r w:rsidR="0002540E" w:rsidRPr="007E650E">
        <w:rPr>
          <w:rFonts w:ascii="Calibri" w:hAnsi="Calibri" w:cs="Calibri"/>
          <w:sz w:val="24"/>
          <w:szCs w:val="24"/>
        </w:rPr>
        <w:t>is</w:t>
      </w:r>
      <w:r w:rsidRPr="007E650E">
        <w:rPr>
          <w:rFonts w:ascii="Calibri" w:hAnsi="Calibri" w:cs="Calibri"/>
          <w:sz w:val="24"/>
          <w:szCs w:val="24"/>
        </w:rPr>
        <w:t xml:space="preserve"> SFP</w:t>
      </w:r>
      <w:r w:rsidR="0002540E" w:rsidRPr="007E650E">
        <w:rPr>
          <w:rFonts w:ascii="Calibri" w:hAnsi="Calibri" w:cs="Calibri"/>
          <w:sz w:val="24"/>
          <w:szCs w:val="24"/>
        </w:rPr>
        <w:t>.</w:t>
      </w:r>
      <w:r w:rsidRPr="007E650E">
        <w:rPr>
          <w:rFonts w:ascii="Calibri" w:hAnsi="Calibri" w:cs="Calibri"/>
          <w:sz w:val="24"/>
          <w:szCs w:val="24"/>
        </w:rPr>
        <w:t xml:space="preserve"> </w:t>
      </w:r>
      <w:r w:rsidR="0002540E" w:rsidRPr="007E650E">
        <w:rPr>
          <w:rFonts w:ascii="Calibri" w:hAnsi="Calibri" w:cs="Calibri"/>
          <w:sz w:val="24"/>
          <w:szCs w:val="24"/>
        </w:rPr>
        <w:t>Applicants should</w:t>
      </w:r>
      <w:r w:rsidRPr="007E650E">
        <w:rPr>
          <w:rFonts w:ascii="Calibri" w:hAnsi="Calibri" w:cs="Calibri"/>
          <w:sz w:val="24"/>
          <w:szCs w:val="24"/>
        </w:rPr>
        <w:t xml:space="preserve"> submit </w:t>
      </w:r>
      <w:r w:rsidR="0002540E" w:rsidRPr="007E650E">
        <w:rPr>
          <w:rFonts w:ascii="Calibri" w:hAnsi="Calibri" w:cs="Calibri"/>
          <w:sz w:val="24"/>
          <w:szCs w:val="24"/>
        </w:rPr>
        <w:t xml:space="preserve">documents according to the </w:t>
      </w:r>
      <w:r w:rsidRPr="007E650E">
        <w:rPr>
          <w:rFonts w:ascii="Calibri" w:hAnsi="Calibri" w:cs="Calibri"/>
          <w:sz w:val="24"/>
          <w:szCs w:val="24"/>
        </w:rPr>
        <w:t xml:space="preserve">naming convention guidelines by the deadline </w:t>
      </w:r>
      <w:r w:rsidR="0002540E" w:rsidRPr="007E650E">
        <w:rPr>
          <w:rFonts w:ascii="Calibri" w:hAnsi="Calibri" w:cs="Calibri"/>
          <w:sz w:val="24"/>
          <w:szCs w:val="24"/>
        </w:rPr>
        <w:t>stated</w:t>
      </w:r>
      <w:r w:rsidRPr="007E650E">
        <w:rPr>
          <w:rFonts w:ascii="Calibri" w:hAnsi="Calibri" w:cs="Calibri"/>
          <w:sz w:val="24"/>
          <w:szCs w:val="24"/>
        </w:rPr>
        <w:t xml:space="preserve"> in the SFP</w:t>
      </w:r>
      <w:r w:rsidR="0002540E" w:rsidRPr="007E650E">
        <w:rPr>
          <w:rFonts w:ascii="Calibri" w:hAnsi="Calibri" w:cs="Calibri"/>
          <w:sz w:val="24"/>
          <w:szCs w:val="24"/>
        </w:rPr>
        <w:t>. Applications that fail to do this may be</w:t>
      </w:r>
      <w:r w:rsidRPr="007E650E">
        <w:rPr>
          <w:rFonts w:ascii="Calibri" w:hAnsi="Calibri" w:cs="Calibri"/>
          <w:sz w:val="24"/>
          <w:szCs w:val="24"/>
        </w:rPr>
        <w:t xml:space="preserve"> deemed non-responsive and disqualified </w:t>
      </w:r>
      <w:r w:rsidR="0002540E" w:rsidRPr="007E650E">
        <w:rPr>
          <w:rFonts w:ascii="Calibri" w:hAnsi="Calibri" w:cs="Calibri"/>
          <w:sz w:val="24"/>
          <w:szCs w:val="24"/>
        </w:rPr>
        <w:t>from being</w:t>
      </w:r>
      <w:r w:rsidRPr="007E650E">
        <w:rPr>
          <w:rFonts w:ascii="Calibri" w:hAnsi="Calibri" w:cs="Calibri"/>
          <w:sz w:val="24"/>
          <w:szCs w:val="24"/>
        </w:rPr>
        <w:t xml:space="preserve"> forward</w:t>
      </w:r>
      <w:r w:rsidR="0002540E" w:rsidRPr="007E650E">
        <w:rPr>
          <w:rFonts w:ascii="Calibri" w:hAnsi="Calibri" w:cs="Calibri"/>
          <w:sz w:val="24"/>
          <w:szCs w:val="24"/>
        </w:rPr>
        <w:t>ed</w:t>
      </w:r>
      <w:r w:rsidRPr="007E650E">
        <w:rPr>
          <w:rFonts w:ascii="Calibri" w:hAnsi="Calibri" w:cs="Calibri"/>
          <w:sz w:val="24"/>
          <w:szCs w:val="24"/>
        </w:rPr>
        <w:t xml:space="preserve"> for funding consideration</w:t>
      </w:r>
      <w:bookmarkEnd w:id="154"/>
      <w:r w:rsidRPr="007E650E">
        <w:rPr>
          <w:rFonts w:ascii="Calibri" w:hAnsi="Calibri" w:cs="Calibri"/>
          <w:sz w:val="24"/>
          <w:szCs w:val="24"/>
        </w:rPr>
        <w:t>. The list may also be used as a checklist to help ensure a complete SFP application package submission.</w:t>
      </w:r>
    </w:p>
    <w:p w14:paraId="39C2368F" w14:textId="5298F464" w:rsidR="008544AA" w:rsidRPr="007E650E" w:rsidRDefault="008544AA" w:rsidP="007B1140">
      <w:pPr>
        <w:spacing w:after="0" w:line="240" w:lineRule="auto"/>
        <w:ind w:left="-187" w:firstLine="187"/>
        <w:rPr>
          <w:rFonts w:ascii="Calibri" w:hAnsi="Calibri" w:cs="Calibri"/>
          <w:sz w:val="24"/>
          <w:szCs w:val="24"/>
        </w:rPr>
      </w:pPr>
      <w:r w:rsidRPr="007E650E">
        <w:rPr>
          <w:rFonts w:ascii="Calibri" w:hAnsi="Calibri" w:cs="Calibri"/>
          <w:b/>
          <w:bCs/>
          <w:sz w:val="24"/>
          <w:szCs w:val="24"/>
        </w:rPr>
        <w:t xml:space="preserve">Figure </w:t>
      </w:r>
      <w:r w:rsidR="008F564F" w:rsidRPr="007E650E">
        <w:rPr>
          <w:rFonts w:ascii="Calibri" w:hAnsi="Calibri" w:cs="Calibri"/>
          <w:b/>
          <w:bCs/>
          <w:sz w:val="24"/>
          <w:szCs w:val="24"/>
        </w:rPr>
        <w:t>A.1</w:t>
      </w:r>
      <w:r w:rsidRPr="007E650E">
        <w:rPr>
          <w:rFonts w:ascii="Calibri" w:hAnsi="Calibri" w:cs="Calibri"/>
          <w:b/>
          <w:bCs/>
          <w:sz w:val="24"/>
          <w:szCs w:val="24"/>
        </w:rPr>
        <w:t>: Required Document Format Checklist</w:t>
      </w:r>
    </w:p>
    <w:tbl>
      <w:tblPr>
        <w:tblStyle w:val="TableGrid3"/>
        <w:tblW w:w="5000" w:type="pct"/>
        <w:tblInd w:w="-5" w:type="dxa"/>
        <w:tblLook w:val="04A0" w:firstRow="1" w:lastRow="0" w:firstColumn="1" w:lastColumn="0" w:noHBand="0" w:noVBand="1"/>
        <w:tblCaption w:val="Format and Document Order Checklist"/>
        <w:tblDescription w:val="This table list the Document order and can be used as a checklist"/>
      </w:tblPr>
      <w:tblGrid>
        <w:gridCol w:w="8810"/>
        <w:gridCol w:w="540"/>
      </w:tblGrid>
      <w:tr w:rsidR="00E60407" w:rsidRPr="007E650E" w14:paraId="18D2E758" w14:textId="77777777" w:rsidTr="543319F8">
        <w:trPr>
          <w:trHeight w:val="323"/>
        </w:trPr>
        <w:tc>
          <w:tcPr>
            <w:tcW w:w="4711" w:type="pct"/>
            <w:shd w:val="clear" w:color="auto" w:fill="F2F2F2" w:themeFill="background1" w:themeFillShade="F2"/>
          </w:tcPr>
          <w:p w14:paraId="6AB3D201" w14:textId="128CBB0F" w:rsidR="008544AA" w:rsidRPr="007E650E" w:rsidRDefault="008544AA" w:rsidP="00F470F1">
            <w:pPr>
              <w:pStyle w:val="BodyText"/>
              <w:rPr>
                <w:rFonts w:cs="Calibri"/>
              </w:rPr>
            </w:pPr>
            <w:r w:rsidRPr="007E650E">
              <w:rPr>
                <w:rFonts w:cs="Calibri"/>
                <w:b/>
              </w:rPr>
              <w:t>Required SFP Exhibits</w:t>
            </w:r>
          </w:p>
        </w:tc>
        <w:tc>
          <w:tcPr>
            <w:tcW w:w="289" w:type="pct"/>
            <w:shd w:val="clear" w:color="auto" w:fill="F2F2F2" w:themeFill="background1" w:themeFillShade="F2"/>
          </w:tcPr>
          <w:p w14:paraId="0F8C6A33" w14:textId="77777777" w:rsidR="008544AA" w:rsidRPr="007E650E" w:rsidRDefault="008544AA" w:rsidP="00F470F1">
            <w:pPr>
              <w:pStyle w:val="BodyText"/>
              <w:rPr>
                <w:rFonts w:cs="Calibri"/>
                <w:color w:val="FFFFFF"/>
              </w:rPr>
            </w:pPr>
          </w:p>
        </w:tc>
      </w:tr>
      <w:tr w:rsidR="00E60407" w:rsidRPr="007E650E" w14:paraId="127F09CA" w14:textId="77777777" w:rsidTr="543319F8">
        <w:trPr>
          <w:trHeight w:val="360"/>
        </w:trPr>
        <w:tc>
          <w:tcPr>
            <w:tcW w:w="4711" w:type="pct"/>
          </w:tcPr>
          <w:p w14:paraId="6E01D303" w14:textId="0100B364" w:rsidR="008544AA" w:rsidRPr="007E650E" w:rsidRDefault="008544AA" w:rsidP="01476CFA">
            <w:pPr>
              <w:pStyle w:val="BodyText"/>
              <w:rPr>
                <w:rFonts w:cs="Calibri"/>
                <w:lang w:val="en-US"/>
              </w:rPr>
            </w:pPr>
            <w:r w:rsidRPr="007E650E">
              <w:rPr>
                <w:rFonts w:cs="Calibri"/>
                <w:b/>
                <w:bCs/>
                <w:lang w:val="en-US"/>
              </w:rPr>
              <w:t xml:space="preserve">1. Exhibit A: </w:t>
            </w:r>
            <w:r w:rsidR="15A953B0" w:rsidRPr="007E650E">
              <w:rPr>
                <w:rFonts w:cs="Calibri"/>
                <w:b/>
                <w:bCs/>
                <w:lang w:val="en-US"/>
              </w:rPr>
              <w:t>Project</w:t>
            </w:r>
            <w:r w:rsidRPr="007E650E">
              <w:rPr>
                <w:rFonts w:cs="Calibri"/>
                <w:b/>
                <w:bCs/>
                <w:lang w:val="en-US"/>
              </w:rPr>
              <w:t xml:space="preserve"> Narrative</w:t>
            </w:r>
            <w:r w:rsidR="00BF353D" w:rsidRPr="007E650E">
              <w:rPr>
                <w:rFonts w:cs="Calibri"/>
                <w:b/>
                <w:bCs/>
                <w:lang w:val="en-US"/>
              </w:rPr>
              <w:t xml:space="preserve"> </w:t>
            </w:r>
            <w:r w:rsidRPr="007E650E">
              <w:rPr>
                <w:rFonts w:cs="Calibri"/>
                <w:b/>
                <w:bCs/>
                <w:lang w:val="en-US"/>
              </w:rPr>
              <w:t>-</w:t>
            </w:r>
            <w:r w:rsidR="00BF353D" w:rsidRPr="007E650E">
              <w:rPr>
                <w:rFonts w:cs="Calibri"/>
                <w:b/>
                <w:bCs/>
                <w:lang w:val="en-US"/>
              </w:rPr>
              <w:t xml:space="preserve"> </w:t>
            </w:r>
            <w:proofErr w:type="spellStart"/>
            <w:r w:rsidRPr="007E650E">
              <w:rPr>
                <w:rFonts w:cs="Calibri"/>
                <w:b/>
                <w:bCs/>
                <w:lang w:val="en-US"/>
              </w:rPr>
              <w:t>ExA</w:t>
            </w:r>
            <w:proofErr w:type="spellEnd"/>
            <w:r w:rsidRPr="007E650E">
              <w:rPr>
                <w:rFonts w:cs="Calibri"/>
                <w:b/>
                <w:bCs/>
                <w:lang w:val="en-US"/>
              </w:rPr>
              <w:t xml:space="preserve"> </w:t>
            </w:r>
            <w:r w:rsidRPr="007E650E">
              <w:rPr>
                <w:rFonts w:cs="Calibri"/>
                <w:lang w:val="en-US"/>
              </w:rPr>
              <w:t xml:space="preserve">(must complete the </w:t>
            </w:r>
            <w:r w:rsidR="00E01582" w:rsidRPr="007E650E">
              <w:rPr>
                <w:rFonts w:cs="Calibri"/>
                <w:lang w:val="en-US"/>
              </w:rPr>
              <w:t>Word</w:t>
            </w:r>
            <w:r w:rsidRPr="007E650E">
              <w:rPr>
                <w:rFonts w:cs="Calibri"/>
                <w:lang w:val="en-US"/>
              </w:rPr>
              <w:t xml:space="preserve"> version including all required sections and sub-sections)</w:t>
            </w:r>
            <w:r w:rsidRPr="007E650E">
              <w:rPr>
                <w:rFonts w:cs="Calibri"/>
                <w:b/>
                <w:bCs/>
                <w:lang w:val="en-US"/>
              </w:rPr>
              <w:t xml:space="preserve"> </w:t>
            </w:r>
          </w:p>
        </w:tc>
        <w:tc>
          <w:tcPr>
            <w:tcW w:w="289" w:type="pct"/>
          </w:tcPr>
          <w:p w14:paraId="57091532" w14:textId="77777777" w:rsidR="008544AA" w:rsidRPr="007E650E" w:rsidRDefault="008544AA" w:rsidP="00F470F1">
            <w:pPr>
              <w:pStyle w:val="BodyText"/>
              <w:rPr>
                <w:rFonts w:cs="Calibri"/>
                <w:color w:val="FFFFFF"/>
              </w:rPr>
            </w:pPr>
          </w:p>
        </w:tc>
      </w:tr>
      <w:tr w:rsidR="00E60407" w:rsidRPr="007E650E" w14:paraId="0FCA0E0B" w14:textId="77777777" w:rsidTr="543319F8">
        <w:trPr>
          <w:trHeight w:val="360"/>
        </w:trPr>
        <w:tc>
          <w:tcPr>
            <w:tcW w:w="4711" w:type="pct"/>
          </w:tcPr>
          <w:p w14:paraId="2EA75011" w14:textId="5A011C24" w:rsidR="008544AA" w:rsidRPr="007E650E" w:rsidRDefault="008544AA" w:rsidP="01476CFA">
            <w:pPr>
              <w:pStyle w:val="BodyText"/>
              <w:rPr>
                <w:rFonts w:cs="Calibri"/>
                <w:lang w:val="en-US"/>
              </w:rPr>
            </w:pPr>
            <w:r w:rsidRPr="007E650E">
              <w:rPr>
                <w:rFonts w:cs="Calibri"/>
                <w:b/>
                <w:bCs/>
                <w:lang w:val="en-US"/>
              </w:rPr>
              <w:t>2. Exhibit F: Budget Summary</w:t>
            </w:r>
            <w:r w:rsidR="00BF353D" w:rsidRPr="007E650E">
              <w:rPr>
                <w:rFonts w:cs="Calibri"/>
                <w:b/>
                <w:bCs/>
                <w:lang w:val="en-US"/>
              </w:rPr>
              <w:t xml:space="preserve"> </w:t>
            </w:r>
            <w:r w:rsidRPr="007E650E">
              <w:rPr>
                <w:rFonts w:cs="Calibri"/>
                <w:b/>
                <w:bCs/>
                <w:lang w:val="en-US"/>
              </w:rPr>
              <w:t>-</w:t>
            </w:r>
            <w:r w:rsidR="00BF353D" w:rsidRPr="007E650E">
              <w:rPr>
                <w:rFonts w:cs="Calibri"/>
                <w:b/>
                <w:bCs/>
                <w:lang w:val="en-US"/>
              </w:rPr>
              <w:t xml:space="preserve"> </w:t>
            </w:r>
            <w:proofErr w:type="spellStart"/>
            <w:r w:rsidRPr="007E650E">
              <w:rPr>
                <w:rFonts w:cs="Calibri"/>
                <w:b/>
                <w:bCs/>
                <w:lang w:val="en-US"/>
              </w:rPr>
              <w:t>ExF</w:t>
            </w:r>
            <w:proofErr w:type="spellEnd"/>
            <w:r w:rsidRPr="007E650E">
              <w:rPr>
                <w:rFonts w:cs="Calibri"/>
                <w:lang w:val="en-US"/>
              </w:rPr>
              <w:t xml:space="preserve"> (must complete the </w:t>
            </w:r>
            <w:r w:rsidR="00E01582" w:rsidRPr="007E650E">
              <w:rPr>
                <w:rFonts w:cs="Calibri"/>
                <w:lang w:val="en-US"/>
              </w:rPr>
              <w:t>Word</w:t>
            </w:r>
            <w:r w:rsidRPr="007E650E">
              <w:rPr>
                <w:rFonts w:cs="Calibri"/>
                <w:lang w:val="en-US"/>
              </w:rPr>
              <w:t xml:space="preserve"> version provided in the SFP)</w:t>
            </w:r>
          </w:p>
        </w:tc>
        <w:tc>
          <w:tcPr>
            <w:tcW w:w="289" w:type="pct"/>
          </w:tcPr>
          <w:p w14:paraId="63B7732A" w14:textId="77777777" w:rsidR="008544AA" w:rsidRPr="007E650E" w:rsidRDefault="008544AA" w:rsidP="00F470F1">
            <w:pPr>
              <w:pStyle w:val="BodyText"/>
              <w:rPr>
                <w:rFonts w:cs="Calibri"/>
                <w:color w:val="FFFFFF"/>
              </w:rPr>
            </w:pPr>
          </w:p>
        </w:tc>
      </w:tr>
      <w:tr w:rsidR="00E60407" w:rsidRPr="007E650E" w14:paraId="00374BF2" w14:textId="77777777" w:rsidTr="543319F8">
        <w:trPr>
          <w:trHeight w:val="360"/>
        </w:trPr>
        <w:tc>
          <w:tcPr>
            <w:tcW w:w="4711" w:type="pct"/>
          </w:tcPr>
          <w:p w14:paraId="5589722B" w14:textId="0EC9BBEF" w:rsidR="008544AA" w:rsidRPr="007E650E" w:rsidRDefault="008544AA" w:rsidP="01476CFA">
            <w:pPr>
              <w:pStyle w:val="BodyText"/>
              <w:rPr>
                <w:rFonts w:cs="Calibri"/>
                <w:lang w:val="en-US"/>
              </w:rPr>
            </w:pPr>
            <w:r w:rsidRPr="007E650E">
              <w:rPr>
                <w:rFonts w:cs="Calibri"/>
                <w:b/>
                <w:bCs/>
                <w:lang w:val="en-US"/>
              </w:rPr>
              <w:t>3. Exhibit F2: Budget Narrative</w:t>
            </w:r>
            <w:r w:rsidR="00BF353D" w:rsidRPr="007E650E">
              <w:rPr>
                <w:rFonts w:cs="Calibri"/>
                <w:b/>
                <w:bCs/>
                <w:lang w:val="en-US"/>
              </w:rPr>
              <w:t xml:space="preserve"> </w:t>
            </w:r>
            <w:r w:rsidRPr="007E650E">
              <w:rPr>
                <w:rFonts w:cs="Calibri"/>
                <w:b/>
                <w:bCs/>
                <w:lang w:val="en-US"/>
              </w:rPr>
              <w:t xml:space="preserve">- </w:t>
            </w:r>
            <w:proofErr w:type="spellStart"/>
            <w:r w:rsidRPr="007E650E">
              <w:rPr>
                <w:rFonts w:cs="Calibri"/>
                <w:b/>
                <w:bCs/>
                <w:lang w:val="en-US"/>
              </w:rPr>
              <w:t>ExF</w:t>
            </w:r>
            <w:proofErr w:type="spellEnd"/>
            <w:r w:rsidRPr="007E650E">
              <w:rPr>
                <w:rFonts w:cs="Calibri"/>
                <w:lang w:val="en-US"/>
              </w:rPr>
              <w:t xml:space="preserve"> (must complete the </w:t>
            </w:r>
            <w:r w:rsidR="00E01582" w:rsidRPr="007E650E">
              <w:rPr>
                <w:rFonts w:cs="Calibri"/>
                <w:lang w:val="en-US"/>
              </w:rPr>
              <w:t>Word</w:t>
            </w:r>
            <w:r w:rsidRPr="007E650E">
              <w:rPr>
                <w:rFonts w:cs="Calibri"/>
                <w:lang w:val="en-US"/>
              </w:rPr>
              <w:t xml:space="preserve"> version provided in the SFP)</w:t>
            </w:r>
          </w:p>
        </w:tc>
        <w:tc>
          <w:tcPr>
            <w:tcW w:w="289" w:type="pct"/>
          </w:tcPr>
          <w:p w14:paraId="14EDC1FA" w14:textId="77777777" w:rsidR="008544AA" w:rsidRPr="007E650E" w:rsidRDefault="008544AA" w:rsidP="00F470F1">
            <w:pPr>
              <w:pStyle w:val="BodyText"/>
              <w:rPr>
                <w:rFonts w:cs="Calibri"/>
                <w:color w:val="FFFFFF"/>
              </w:rPr>
            </w:pPr>
          </w:p>
        </w:tc>
      </w:tr>
      <w:tr w:rsidR="00E60407" w:rsidRPr="007E650E" w14:paraId="27147B0B" w14:textId="77777777" w:rsidTr="543319F8">
        <w:trPr>
          <w:trHeight w:val="360"/>
        </w:trPr>
        <w:tc>
          <w:tcPr>
            <w:tcW w:w="4711" w:type="pct"/>
          </w:tcPr>
          <w:p w14:paraId="64693843" w14:textId="378D7659" w:rsidR="008544AA" w:rsidRPr="007E650E" w:rsidRDefault="008544AA" w:rsidP="01476CFA">
            <w:pPr>
              <w:pStyle w:val="BodyText"/>
              <w:rPr>
                <w:rFonts w:cs="Calibri"/>
                <w:lang w:val="en-US"/>
              </w:rPr>
            </w:pPr>
            <w:r w:rsidRPr="007E650E">
              <w:rPr>
                <w:rFonts w:cs="Calibri"/>
                <w:b/>
                <w:bCs/>
                <w:lang w:val="en-US"/>
              </w:rPr>
              <w:t>4. Exhibit G: Supplemental Budget</w:t>
            </w:r>
            <w:r w:rsidR="00BF353D" w:rsidRPr="007E650E">
              <w:rPr>
                <w:rFonts w:cs="Calibri"/>
                <w:b/>
                <w:bCs/>
                <w:lang w:val="en-US"/>
              </w:rPr>
              <w:t xml:space="preserve"> </w:t>
            </w:r>
            <w:r w:rsidRPr="007E650E">
              <w:rPr>
                <w:rFonts w:cs="Calibri"/>
                <w:b/>
                <w:bCs/>
                <w:lang w:val="en-US"/>
              </w:rPr>
              <w:t>-</w:t>
            </w:r>
            <w:r w:rsidR="00BF353D" w:rsidRPr="007E650E">
              <w:rPr>
                <w:rFonts w:cs="Calibri"/>
                <w:b/>
                <w:bCs/>
                <w:lang w:val="en-US"/>
              </w:rPr>
              <w:t xml:space="preserve"> </w:t>
            </w:r>
            <w:proofErr w:type="spellStart"/>
            <w:r w:rsidRPr="007E650E">
              <w:rPr>
                <w:rFonts w:cs="Calibri"/>
                <w:b/>
                <w:bCs/>
                <w:lang w:val="en-US"/>
              </w:rPr>
              <w:t>ExG</w:t>
            </w:r>
            <w:proofErr w:type="spellEnd"/>
            <w:r w:rsidRPr="007E650E">
              <w:rPr>
                <w:rFonts w:cs="Calibri"/>
                <w:b/>
                <w:bCs/>
                <w:lang w:val="en-US"/>
              </w:rPr>
              <w:t xml:space="preserve"> </w:t>
            </w:r>
            <w:r w:rsidRPr="007E650E">
              <w:rPr>
                <w:rFonts w:cs="Calibri"/>
                <w:lang w:val="en-US"/>
              </w:rPr>
              <w:t xml:space="preserve">(if applicable) (must complete the </w:t>
            </w:r>
            <w:r w:rsidR="00E01582" w:rsidRPr="007E650E">
              <w:rPr>
                <w:rFonts w:cs="Calibri"/>
                <w:lang w:val="en-US"/>
              </w:rPr>
              <w:t>Word</w:t>
            </w:r>
            <w:r w:rsidRPr="007E650E">
              <w:rPr>
                <w:rFonts w:cs="Calibri"/>
                <w:lang w:val="en-US"/>
              </w:rPr>
              <w:t xml:space="preserve"> version provided in the SFP)</w:t>
            </w:r>
          </w:p>
        </w:tc>
        <w:tc>
          <w:tcPr>
            <w:tcW w:w="289" w:type="pct"/>
          </w:tcPr>
          <w:p w14:paraId="33A048C5" w14:textId="77777777" w:rsidR="008544AA" w:rsidRPr="007E650E" w:rsidRDefault="008544AA" w:rsidP="00F470F1">
            <w:pPr>
              <w:pStyle w:val="BodyText"/>
              <w:rPr>
                <w:rFonts w:cs="Calibri"/>
                <w:color w:val="FFFFFF"/>
              </w:rPr>
            </w:pPr>
          </w:p>
        </w:tc>
      </w:tr>
      <w:tr w:rsidR="00E60407" w:rsidRPr="007E650E" w14:paraId="6B9916C0" w14:textId="77777777" w:rsidTr="543319F8">
        <w:trPr>
          <w:trHeight w:val="360"/>
        </w:trPr>
        <w:tc>
          <w:tcPr>
            <w:tcW w:w="4711" w:type="pct"/>
            <w:shd w:val="clear" w:color="auto" w:fill="F2F2F2" w:themeFill="background1" w:themeFillShade="F2"/>
          </w:tcPr>
          <w:p w14:paraId="3BDAC068" w14:textId="77777777" w:rsidR="008544AA" w:rsidRPr="007E650E" w:rsidRDefault="008544AA" w:rsidP="00F470F1">
            <w:pPr>
              <w:pStyle w:val="BodyText"/>
              <w:rPr>
                <w:rFonts w:cs="Calibri"/>
              </w:rPr>
            </w:pPr>
            <w:r w:rsidRPr="007E650E">
              <w:rPr>
                <w:rFonts w:cs="Calibri"/>
                <w:b/>
              </w:rPr>
              <w:t xml:space="preserve">Required SFP Exhibit Attachments </w:t>
            </w:r>
          </w:p>
        </w:tc>
        <w:tc>
          <w:tcPr>
            <w:tcW w:w="289" w:type="pct"/>
            <w:shd w:val="clear" w:color="auto" w:fill="F2F2F2" w:themeFill="background1" w:themeFillShade="F2"/>
          </w:tcPr>
          <w:p w14:paraId="52143098" w14:textId="77777777" w:rsidR="008544AA" w:rsidRPr="007E650E" w:rsidRDefault="008544AA" w:rsidP="00F470F1">
            <w:pPr>
              <w:pStyle w:val="BodyText"/>
              <w:rPr>
                <w:rFonts w:cs="Calibri"/>
                <w:color w:val="FFFFFF"/>
              </w:rPr>
            </w:pPr>
          </w:p>
        </w:tc>
      </w:tr>
      <w:tr w:rsidR="00E60407" w:rsidRPr="007E650E" w14:paraId="4388D81F" w14:textId="77777777" w:rsidTr="543319F8">
        <w:trPr>
          <w:trHeight w:val="360"/>
        </w:trPr>
        <w:tc>
          <w:tcPr>
            <w:tcW w:w="4711" w:type="pct"/>
          </w:tcPr>
          <w:p w14:paraId="6B0AB44A" w14:textId="148955B1" w:rsidR="008544AA" w:rsidRPr="007E650E" w:rsidRDefault="008544AA" w:rsidP="01476CFA">
            <w:pPr>
              <w:pStyle w:val="BodyText"/>
              <w:rPr>
                <w:rFonts w:cs="Calibri"/>
                <w:lang w:val="en-US"/>
              </w:rPr>
            </w:pPr>
            <w:r w:rsidRPr="007E650E">
              <w:rPr>
                <w:rFonts w:cs="Calibri"/>
                <w:b/>
                <w:bCs/>
                <w:lang w:val="en-US"/>
              </w:rPr>
              <w:t>7. Cover/Signature Page</w:t>
            </w:r>
            <w:r w:rsidR="00BF353D" w:rsidRPr="007E650E">
              <w:rPr>
                <w:rFonts w:cs="Calibri"/>
                <w:b/>
                <w:bCs/>
                <w:lang w:val="en-US"/>
              </w:rPr>
              <w:t xml:space="preserve"> </w:t>
            </w:r>
            <w:r w:rsidRPr="007E650E">
              <w:rPr>
                <w:rFonts w:cs="Calibri"/>
                <w:b/>
                <w:bCs/>
                <w:lang w:val="en-US"/>
              </w:rPr>
              <w:t>-</w:t>
            </w:r>
            <w:r w:rsidR="00BF353D" w:rsidRPr="007E650E">
              <w:rPr>
                <w:rFonts w:cs="Calibri"/>
                <w:b/>
                <w:bCs/>
                <w:lang w:val="en-US"/>
              </w:rPr>
              <w:t xml:space="preserve"> </w:t>
            </w:r>
            <w:proofErr w:type="spellStart"/>
            <w:r w:rsidRPr="007E650E">
              <w:rPr>
                <w:rFonts w:cs="Calibri"/>
                <w:b/>
                <w:bCs/>
                <w:lang w:val="en-US"/>
              </w:rPr>
              <w:t>CovSign</w:t>
            </w:r>
            <w:proofErr w:type="spellEnd"/>
            <w:r w:rsidRPr="007E650E">
              <w:rPr>
                <w:rFonts w:cs="Calibri"/>
                <w:b/>
                <w:bCs/>
                <w:lang w:val="en-US"/>
              </w:rPr>
              <w:t xml:space="preserve"> </w:t>
            </w:r>
            <w:r w:rsidRPr="007E650E">
              <w:rPr>
                <w:rFonts w:cs="Calibri"/>
                <w:lang w:val="en-US"/>
              </w:rPr>
              <w:t xml:space="preserve">(must complete the </w:t>
            </w:r>
            <w:r w:rsidR="00BF353D" w:rsidRPr="007E650E">
              <w:rPr>
                <w:rFonts w:cs="Calibri"/>
                <w:lang w:val="en-US"/>
              </w:rPr>
              <w:t>Word</w:t>
            </w:r>
            <w:r w:rsidRPr="007E650E">
              <w:rPr>
                <w:rFonts w:cs="Calibri"/>
                <w:lang w:val="en-US"/>
              </w:rPr>
              <w:t xml:space="preserve"> version provided in the SFP and provide an e-signed by the authorized signatory)-PDF</w:t>
            </w:r>
          </w:p>
        </w:tc>
        <w:tc>
          <w:tcPr>
            <w:tcW w:w="289" w:type="pct"/>
          </w:tcPr>
          <w:p w14:paraId="14B3747F" w14:textId="77777777" w:rsidR="008544AA" w:rsidRPr="007E650E" w:rsidRDefault="008544AA" w:rsidP="00F470F1">
            <w:pPr>
              <w:pStyle w:val="BodyText"/>
              <w:rPr>
                <w:rFonts w:cs="Calibri"/>
                <w:color w:val="FFFFFF"/>
              </w:rPr>
            </w:pPr>
          </w:p>
        </w:tc>
      </w:tr>
      <w:tr w:rsidR="00E60407" w:rsidRPr="007E650E" w14:paraId="7723ED76" w14:textId="77777777" w:rsidTr="543319F8">
        <w:trPr>
          <w:trHeight w:val="360"/>
        </w:trPr>
        <w:tc>
          <w:tcPr>
            <w:tcW w:w="4711" w:type="pct"/>
          </w:tcPr>
          <w:p w14:paraId="73D7E8A3" w14:textId="696D577C" w:rsidR="008544AA" w:rsidRPr="007E650E" w:rsidRDefault="008544AA" w:rsidP="01476CFA">
            <w:pPr>
              <w:pStyle w:val="BodyText"/>
              <w:rPr>
                <w:rFonts w:cs="Calibri"/>
                <w:b/>
                <w:bCs/>
                <w:lang w:val="en-US"/>
              </w:rPr>
            </w:pPr>
            <w:r w:rsidRPr="007E650E">
              <w:rPr>
                <w:rFonts w:cs="Calibri"/>
                <w:b/>
                <w:bCs/>
                <w:lang w:val="en-US"/>
              </w:rPr>
              <w:t>8. Executive Summary</w:t>
            </w:r>
            <w:r w:rsidR="00BF353D" w:rsidRPr="007E650E">
              <w:rPr>
                <w:rFonts w:cs="Calibri"/>
                <w:b/>
                <w:bCs/>
                <w:lang w:val="en-US"/>
              </w:rPr>
              <w:t xml:space="preserve"> </w:t>
            </w:r>
            <w:r w:rsidRPr="007E650E">
              <w:rPr>
                <w:rFonts w:cs="Calibri"/>
                <w:b/>
                <w:bCs/>
                <w:lang w:val="en-US"/>
              </w:rPr>
              <w:t>-</w:t>
            </w:r>
            <w:r w:rsidR="00BF353D" w:rsidRPr="007E650E">
              <w:rPr>
                <w:rFonts w:cs="Calibri"/>
                <w:b/>
                <w:bCs/>
                <w:lang w:val="en-US"/>
              </w:rPr>
              <w:t xml:space="preserve"> </w:t>
            </w:r>
            <w:proofErr w:type="spellStart"/>
            <w:r w:rsidRPr="007E650E">
              <w:rPr>
                <w:rFonts w:cs="Calibri"/>
                <w:b/>
                <w:bCs/>
                <w:lang w:val="en-US"/>
              </w:rPr>
              <w:t>Exe</w:t>
            </w:r>
            <w:r w:rsidR="00C134B9" w:rsidRPr="007E650E">
              <w:rPr>
                <w:rFonts w:cs="Calibri"/>
                <w:b/>
                <w:bCs/>
                <w:lang w:val="en-US"/>
              </w:rPr>
              <w:t>c</w:t>
            </w:r>
            <w:r w:rsidRPr="007E650E">
              <w:rPr>
                <w:rFonts w:cs="Calibri"/>
                <w:b/>
                <w:bCs/>
                <w:lang w:val="en-US"/>
              </w:rPr>
              <w:t>Sum</w:t>
            </w:r>
            <w:proofErr w:type="spellEnd"/>
            <w:r w:rsidRPr="007E650E">
              <w:rPr>
                <w:rFonts w:cs="Calibri"/>
                <w:b/>
                <w:bCs/>
                <w:lang w:val="en-US"/>
              </w:rPr>
              <w:t xml:space="preserve"> </w:t>
            </w:r>
            <w:r w:rsidRPr="007E650E">
              <w:rPr>
                <w:rFonts w:cs="Calibri"/>
                <w:lang w:val="en-US"/>
              </w:rPr>
              <w:t xml:space="preserve">(must complete the </w:t>
            </w:r>
            <w:r w:rsidR="00E01582" w:rsidRPr="007E650E">
              <w:rPr>
                <w:rFonts w:cs="Calibri"/>
                <w:lang w:val="en-US"/>
              </w:rPr>
              <w:t>Word</w:t>
            </w:r>
            <w:r w:rsidRPr="007E650E">
              <w:rPr>
                <w:rFonts w:cs="Calibri"/>
                <w:lang w:val="en-US"/>
              </w:rPr>
              <w:t xml:space="preserve"> version provided in the SFP)</w:t>
            </w:r>
          </w:p>
        </w:tc>
        <w:tc>
          <w:tcPr>
            <w:tcW w:w="289" w:type="pct"/>
          </w:tcPr>
          <w:p w14:paraId="3D04AB14" w14:textId="77777777" w:rsidR="008544AA" w:rsidRPr="007E650E" w:rsidRDefault="008544AA" w:rsidP="00F470F1">
            <w:pPr>
              <w:pStyle w:val="BodyText"/>
              <w:rPr>
                <w:rFonts w:cs="Calibri"/>
                <w:color w:val="FFFFFF"/>
              </w:rPr>
            </w:pPr>
          </w:p>
        </w:tc>
      </w:tr>
      <w:tr w:rsidR="00E60407" w:rsidRPr="007E650E" w14:paraId="31A2AF56" w14:textId="77777777" w:rsidTr="543319F8">
        <w:trPr>
          <w:trHeight w:val="360"/>
        </w:trPr>
        <w:tc>
          <w:tcPr>
            <w:tcW w:w="4711" w:type="pct"/>
          </w:tcPr>
          <w:p w14:paraId="3859C7D8" w14:textId="19326CBA" w:rsidR="008544AA" w:rsidRPr="007E650E" w:rsidRDefault="008544AA" w:rsidP="01476CFA">
            <w:pPr>
              <w:pStyle w:val="BodyText"/>
              <w:rPr>
                <w:rFonts w:cs="Calibri"/>
                <w:b/>
                <w:bCs/>
                <w:lang w:val="en-US"/>
              </w:rPr>
            </w:pPr>
            <w:r w:rsidRPr="007E650E">
              <w:rPr>
                <w:rFonts w:cs="Calibri"/>
                <w:b/>
                <w:bCs/>
                <w:lang w:val="en-US"/>
              </w:rPr>
              <w:t>9. Commitment Letters</w:t>
            </w:r>
            <w:r w:rsidR="00BF353D" w:rsidRPr="007E650E">
              <w:rPr>
                <w:rFonts w:cs="Calibri"/>
                <w:b/>
                <w:bCs/>
                <w:lang w:val="en-US"/>
              </w:rPr>
              <w:t xml:space="preserve"> </w:t>
            </w:r>
            <w:r w:rsidRPr="007E650E">
              <w:rPr>
                <w:rFonts w:cs="Calibri"/>
                <w:b/>
                <w:bCs/>
                <w:lang w:val="en-US"/>
              </w:rPr>
              <w:t>-</w:t>
            </w:r>
            <w:r w:rsidR="00BF353D" w:rsidRPr="007E650E">
              <w:rPr>
                <w:rFonts w:cs="Calibri"/>
                <w:b/>
                <w:bCs/>
                <w:lang w:val="en-US"/>
              </w:rPr>
              <w:t xml:space="preserve"> </w:t>
            </w:r>
            <w:r w:rsidRPr="007E650E">
              <w:rPr>
                <w:rFonts w:cs="Calibri"/>
                <w:b/>
                <w:bCs/>
                <w:lang w:val="en-US"/>
              </w:rPr>
              <w:t>ComLtr</w:t>
            </w:r>
            <w:r w:rsidR="00BF353D" w:rsidRPr="007E650E">
              <w:rPr>
                <w:rFonts w:cs="Calibri"/>
                <w:b/>
                <w:bCs/>
                <w:lang w:val="en-US"/>
              </w:rPr>
              <w:t xml:space="preserve"> (If applicable)</w:t>
            </w:r>
            <w:r w:rsidR="00E60407" w:rsidRPr="007E650E">
              <w:rPr>
                <w:rFonts w:cs="Calibri"/>
                <w:b/>
                <w:bCs/>
                <w:lang w:val="en-US"/>
              </w:rPr>
              <w:t xml:space="preserve"> </w:t>
            </w:r>
            <w:r w:rsidRPr="007E650E">
              <w:rPr>
                <w:rFonts w:cs="Calibri"/>
                <w:lang w:val="en-US"/>
              </w:rPr>
              <w:t xml:space="preserve">(Provide a PDF version if </w:t>
            </w:r>
            <w:r w:rsidR="00BF353D" w:rsidRPr="007E650E">
              <w:rPr>
                <w:rFonts w:cs="Calibri"/>
                <w:lang w:val="en-US"/>
              </w:rPr>
              <w:t xml:space="preserve">the </w:t>
            </w:r>
            <w:r w:rsidRPr="007E650E">
              <w:rPr>
                <w:rFonts w:cs="Calibri"/>
                <w:lang w:val="en-US"/>
              </w:rPr>
              <w:t>applicant or any partner(s) are providing leveraged funds)</w:t>
            </w:r>
          </w:p>
        </w:tc>
        <w:tc>
          <w:tcPr>
            <w:tcW w:w="289" w:type="pct"/>
          </w:tcPr>
          <w:p w14:paraId="67548C99" w14:textId="77777777" w:rsidR="008544AA" w:rsidRPr="007E650E" w:rsidRDefault="008544AA" w:rsidP="00F470F1">
            <w:pPr>
              <w:pStyle w:val="BodyText"/>
              <w:rPr>
                <w:rFonts w:cs="Calibri"/>
                <w:color w:val="FFFFFF"/>
              </w:rPr>
            </w:pPr>
          </w:p>
        </w:tc>
      </w:tr>
    </w:tbl>
    <w:p w14:paraId="33023A50" w14:textId="77777777" w:rsidR="008544AA" w:rsidRPr="007E650E" w:rsidRDefault="008544AA" w:rsidP="00F470F1">
      <w:pPr>
        <w:pStyle w:val="Heading3"/>
        <w:rPr>
          <w:rFonts w:eastAsia="Calibri"/>
        </w:rPr>
      </w:pPr>
      <w:bookmarkStart w:id="155" w:name="_Toc167894630"/>
      <w:bookmarkStart w:id="156" w:name="_Toc167894688"/>
      <w:bookmarkStart w:id="157" w:name="_Toc195189616"/>
      <w:bookmarkEnd w:id="153"/>
      <w:bookmarkEnd w:id="155"/>
      <w:bookmarkEnd w:id="156"/>
      <w:r w:rsidRPr="007E650E">
        <w:rPr>
          <w:rFonts w:eastAsia="Calibri"/>
        </w:rPr>
        <w:lastRenderedPageBreak/>
        <w:t>SFP Exhibit Instructions</w:t>
      </w:r>
      <w:bookmarkEnd w:id="157"/>
    </w:p>
    <w:p w14:paraId="7783E59A" w14:textId="19D1A6AD" w:rsidR="008544AA" w:rsidRPr="007E650E" w:rsidRDefault="008544AA" w:rsidP="01476CFA">
      <w:pPr>
        <w:pStyle w:val="BodyText"/>
        <w:rPr>
          <w:rFonts w:cs="Calibri"/>
          <w:lang w:val="en-US"/>
        </w:rPr>
      </w:pPr>
      <w:r w:rsidRPr="007E650E">
        <w:rPr>
          <w:rFonts w:cs="Calibri"/>
          <w:lang w:val="en-US"/>
        </w:rPr>
        <w:t>Complete only the required information in the exhibits provided in the SFP. Submit all exhibits and attachments with the following naming convention</w:t>
      </w:r>
      <w:r w:rsidR="00E01582" w:rsidRPr="007E650E">
        <w:rPr>
          <w:rFonts w:cs="Calibri"/>
          <w:lang w:val="en-US"/>
        </w:rPr>
        <w:t>:</w:t>
      </w:r>
      <w:r w:rsidRPr="007E650E">
        <w:rPr>
          <w:rFonts w:cs="Calibri"/>
          <w:lang w:val="en-US"/>
        </w:rPr>
        <w:t xml:space="preserve"> </w:t>
      </w:r>
      <w:r w:rsidR="000D5ACF">
        <w:rPr>
          <w:rFonts w:cs="Calibri"/>
          <w:lang w:val="en-US"/>
        </w:rPr>
        <w:t>"</w:t>
      </w:r>
      <w:r w:rsidRPr="007E650E">
        <w:rPr>
          <w:rFonts w:cs="Calibri"/>
          <w:lang w:val="en-US"/>
        </w:rPr>
        <w:t>[Applicant</w:t>
      </w:r>
      <w:r w:rsidR="000D5ACF">
        <w:rPr>
          <w:rFonts w:cs="Calibri"/>
          <w:lang w:val="en-US"/>
        </w:rPr>
        <w:t>'</w:t>
      </w:r>
      <w:r w:rsidRPr="007E650E">
        <w:rPr>
          <w:rFonts w:cs="Calibri"/>
          <w:lang w:val="en-US"/>
        </w:rPr>
        <w:t>s Three Digit Initialism] [Grant Initialism] [PY XX-XX] [Exhibit or Attachment Initialism].</w:t>
      </w:r>
      <w:r w:rsidR="000D5ACF">
        <w:rPr>
          <w:rFonts w:cs="Calibri"/>
          <w:lang w:val="en-US"/>
        </w:rPr>
        <w:t>"</w:t>
      </w:r>
      <w:r w:rsidRPr="007E650E">
        <w:rPr>
          <w:rFonts w:cs="Calibri"/>
          <w:lang w:val="en-US"/>
        </w:rPr>
        <w:t xml:space="preserve"> For example, </w:t>
      </w:r>
      <w:r w:rsidR="000D5ACF">
        <w:rPr>
          <w:rFonts w:cs="Calibri"/>
          <w:lang w:val="en-US"/>
        </w:rPr>
        <w:t>"</w:t>
      </w:r>
      <w:r w:rsidR="00AE37F3" w:rsidRPr="007E650E">
        <w:rPr>
          <w:rFonts w:cs="Calibri"/>
          <w:lang w:val="en-US"/>
        </w:rPr>
        <w:t>ABC</w:t>
      </w:r>
      <w:r w:rsidRPr="007E650E">
        <w:rPr>
          <w:rFonts w:cs="Calibri"/>
          <w:lang w:val="en-US"/>
        </w:rPr>
        <w:t xml:space="preserve"> </w:t>
      </w:r>
      <w:r w:rsidR="00BB547A" w:rsidRPr="007E650E">
        <w:rPr>
          <w:rFonts w:cs="Calibri"/>
          <w:lang w:val="en-US"/>
        </w:rPr>
        <w:t>DHH</w:t>
      </w:r>
      <w:r w:rsidRPr="007E650E">
        <w:rPr>
          <w:rFonts w:cs="Calibri"/>
          <w:lang w:val="en-US"/>
        </w:rPr>
        <w:t xml:space="preserve"> PY 2</w:t>
      </w:r>
      <w:r w:rsidR="00BB547A" w:rsidRPr="007E650E">
        <w:rPr>
          <w:rFonts w:cs="Calibri"/>
          <w:lang w:val="en-US"/>
        </w:rPr>
        <w:t>5</w:t>
      </w:r>
      <w:r w:rsidRPr="007E650E">
        <w:rPr>
          <w:rFonts w:cs="Calibri"/>
          <w:lang w:val="en-US"/>
        </w:rPr>
        <w:t>-2</w:t>
      </w:r>
      <w:r w:rsidR="00BB547A" w:rsidRPr="007E650E">
        <w:rPr>
          <w:rFonts w:cs="Calibri"/>
          <w:lang w:val="en-US"/>
        </w:rPr>
        <w:t>6</w:t>
      </w:r>
      <w:r w:rsidRPr="007E650E">
        <w:rPr>
          <w:rFonts w:cs="Calibri"/>
          <w:lang w:val="en-US"/>
        </w:rPr>
        <w:t xml:space="preserve"> </w:t>
      </w:r>
      <w:proofErr w:type="spellStart"/>
      <w:r w:rsidRPr="007E650E">
        <w:rPr>
          <w:rFonts w:cs="Calibri"/>
          <w:lang w:val="en-US"/>
        </w:rPr>
        <w:t>ExF</w:t>
      </w:r>
      <w:proofErr w:type="spellEnd"/>
      <w:r w:rsidR="000D5ACF">
        <w:rPr>
          <w:rFonts w:cs="Calibri"/>
          <w:lang w:val="en-US"/>
        </w:rPr>
        <w:t>"</w:t>
      </w:r>
      <w:r w:rsidRPr="007E650E">
        <w:rPr>
          <w:rFonts w:cs="Calibri"/>
          <w:lang w:val="en-US"/>
        </w:rPr>
        <w:t xml:space="preserve"> for Exhibit F. File names must not exceed 40 Characters. </w:t>
      </w:r>
    </w:p>
    <w:p w14:paraId="1A0C3D48" w14:textId="27D09BB4" w:rsidR="008544AA" w:rsidRPr="007E650E" w:rsidRDefault="008544AA" w:rsidP="00F470F1">
      <w:pPr>
        <w:pStyle w:val="BodyText"/>
        <w:rPr>
          <w:rFonts w:cs="Calibri"/>
          <w:bCs/>
        </w:rPr>
      </w:pPr>
      <w:r w:rsidRPr="007E650E">
        <w:rPr>
          <w:rFonts w:cs="Calibri"/>
          <w:b/>
        </w:rPr>
        <w:t>Disclaimer</w:t>
      </w:r>
      <w:r w:rsidRPr="007E650E">
        <w:rPr>
          <w:rFonts w:cs="Calibri"/>
          <w:bCs/>
        </w:rPr>
        <w:t xml:space="preserve"> </w:t>
      </w:r>
      <w:r w:rsidR="002E4765" w:rsidRPr="007E650E">
        <w:rPr>
          <w:rFonts w:cs="Calibri"/>
          <w:bCs/>
        </w:rPr>
        <w:t xml:space="preserve">– </w:t>
      </w:r>
      <w:r w:rsidRPr="007E650E">
        <w:rPr>
          <w:rFonts w:cs="Calibri"/>
          <w:bCs/>
        </w:rPr>
        <w:t xml:space="preserve">The exhibits have been updated for accessibility in compliance with the Americans with Disabilities Act. Exhibits must be completed </w:t>
      </w:r>
      <w:r w:rsidR="00AE37F3" w:rsidRPr="007E650E">
        <w:rPr>
          <w:rFonts w:cs="Calibri"/>
          <w:bCs/>
        </w:rPr>
        <w:t>in the format provided</w:t>
      </w:r>
      <w:r w:rsidRPr="007E650E">
        <w:rPr>
          <w:rFonts w:cs="Calibri"/>
          <w:bCs/>
        </w:rPr>
        <w:t>.</w:t>
      </w:r>
    </w:p>
    <w:p w14:paraId="370233D6" w14:textId="3E5D75EA" w:rsidR="008544AA" w:rsidRPr="007E650E" w:rsidRDefault="008544AA" w:rsidP="00F470F1">
      <w:pPr>
        <w:pStyle w:val="Heading4"/>
      </w:pPr>
      <w:r w:rsidRPr="007E650E">
        <w:rPr>
          <w:lang w:val="en-US"/>
        </w:rPr>
        <w:t>Exhibit A</w:t>
      </w:r>
      <w:r w:rsidR="001A4A1F" w:rsidRPr="007E650E">
        <w:rPr>
          <w:lang w:val="en-US"/>
        </w:rPr>
        <w:t xml:space="preserve"> – </w:t>
      </w:r>
      <w:r w:rsidR="726D880B" w:rsidRPr="007E650E">
        <w:rPr>
          <w:lang w:val="en-US"/>
        </w:rPr>
        <w:t>Project</w:t>
      </w:r>
      <w:r w:rsidR="00AE37F3" w:rsidRPr="007E650E">
        <w:rPr>
          <w:lang w:val="en-US"/>
        </w:rPr>
        <w:t xml:space="preserve"> </w:t>
      </w:r>
      <w:r w:rsidRPr="007E650E">
        <w:rPr>
          <w:lang w:val="en-US"/>
        </w:rPr>
        <w:t>Narrative</w:t>
      </w:r>
      <w:r w:rsidR="001A4A1F" w:rsidRPr="007E650E">
        <w:rPr>
          <w:lang w:val="en-US"/>
        </w:rPr>
        <w:t xml:space="preserve"> (</w:t>
      </w:r>
      <w:proofErr w:type="spellStart"/>
      <w:r w:rsidR="001A4A1F" w:rsidRPr="007E650E">
        <w:rPr>
          <w:lang w:val="en-US"/>
        </w:rPr>
        <w:t>E</w:t>
      </w:r>
      <w:r w:rsidRPr="007E650E">
        <w:rPr>
          <w:lang w:val="en-US"/>
        </w:rPr>
        <w:t>xA</w:t>
      </w:r>
      <w:proofErr w:type="spellEnd"/>
      <w:r w:rsidR="001A4A1F" w:rsidRPr="007E650E">
        <w:rPr>
          <w:lang w:val="en-US"/>
        </w:rPr>
        <w:t>)</w:t>
      </w:r>
    </w:p>
    <w:p w14:paraId="6A8B5774" w14:textId="7AC70B4C" w:rsidR="008544AA" w:rsidRPr="007E650E" w:rsidRDefault="008544AA" w:rsidP="00F470F1">
      <w:pPr>
        <w:pStyle w:val="BodyText"/>
        <w:rPr>
          <w:rFonts w:cs="Calibri"/>
        </w:rPr>
      </w:pPr>
      <w:r w:rsidRPr="007E650E">
        <w:rPr>
          <w:rFonts w:cs="Calibri"/>
        </w:rPr>
        <w:t xml:space="preserve">Exhibit A will be created by the author using the Exhibit A template. The content of the sections and subsections are based on what </w:t>
      </w:r>
      <w:r w:rsidR="00661917" w:rsidRPr="007E650E">
        <w:rPr>
          <w:rFonts w:cs="Calibri"/>
        </w:rPr>
        <w:t xml:space="preserve">the applicant is </w:t>
      </w:r>
      <w:r w:rsidRPr="007E650E">
        <w:rPr>
          <w:rFonts w:cs="Calibri"/>
        </w:rPr>
        <w:t xml:space="preserve">expected </w:t>
      </w:r>
      <w:r w:rsidR="00661917" w:rsidRPr="007E650E">
        <w:rPr>
          <w:rFonts w:cs="Calibri"/>
        </w:rPr>
        <w:t xml:space="preserve">to </w:t>
      </w:r>
      <w:r w:rsidRPr="007E650E">
        <w:rPr>
          <w:rFonts w:cs="Calibri"/>
        </w:rPr>
        <w:t xml:space="preserve">include in their proposal. The </w:t>
      </w:r>
      <w:r w:rsidR="2736E08F" w:rsidRPr="007E650E">
        <w:rPr>
          <w:rFonts w:cs="Calibri"/>
        </w:rPr>
        <w:t>Project</w:t>
      </w:r>
      <w:r w:rsidRPr="007E650E">
        <w:rPr>
          <w:rFonts w:cs="Calibri"/>
        </w:rPr>
        <w:t xml:space="preserve"> Narrative should convey how the applicant</w:t>
      </w:r>
      <w:r w:rsidR="000D5ACF">
        <w:rPr>
          <w:rFonts w:cs="Calibri"/>
        </w:rPr>
        <w:t>'</w:t>
      </w:r>
      <w:r w:rsidRPr="007E650E">
        <w:rPr>
          <w:rFonts w:cs="Calibri"/>
        </w:rPr>
        <w:t xml:space="preserve">s approach will lead to the success of program awardees, potential participants, and the workforce system. </w:t>
      </w:r>
      <w:r w:rsidR="000D5ACF">
        <w:rPr>
          <w:rFonts w:cs="Calibri"/>
        </w:rPr>
        <w:t>Ex A has a 15-page limit</w:t>
      </w:r>
      <w:r w:rsidRPr="007E650E">
        <w:rPr>
          <w:rFonts w:cs="Calibri"/>
        </w:rPr>
        <w:t xml:space="preserve">. Anything beyond the </w:t>
      </w:r>
      <w:r w:rsidR="002233F7" w:rsidRPr="007E650E">
        <w:rPr>
          <w:rFonts w:cs="Calibri"/>
        </w:rPr>
        <w:t>15</w:t>
      </w:r>
      <w:r w:rsidRPr="007E650E">
        <w:rPr>
          <w:rFonts w:cs="Calibri"/>
        </w:rPr>
        <w:t>-page limit will not be considered. The other required exhibits and attachments do not count toward this page limit.</w:t>
      </w:r>
    </w:p>
    <w:p w14:paraId="6782C871" w14:textId="7FA022C7" w:rsidR="008544AA" w:rsidRPr="007E650E" w:rsidRDefault="008544AA" w:rsidP="01476CFA">
      <w:pPr>
        <w:pStyle w:val="BodyText"/>
        <w:rPr>
          <w:rFonts w:cs="Calibri"/>
          <w:lang w:val="en-US"/>
        </w:rPr>
      </w:pPr>
      <w:bookmarkStart w:id="158" w:name="_Hlk158715758"/>
      <w:r w:rsidRPr="007E650E">
        <w:rPr>
          <w:rFonts w:cs="Calibri"/>
          <w:lang w:val="en-US"/>
        </w:rPr>
        <w:t xml:space="preserve">The </w:t>
      </w:r>
      <w:r w:rsidR="3BC686F9" w:rsidRPr="007E650E">
        <w:rPr>
          <w:rFonts w:cs="Calibri"/>
          <w:lang w:val="en-US"/>
        </w:rPr>
        <w:t>Project</w:t>
      </w:r>
      <w:r w:rsidRPr="007E650E">
        <w:rPr>
          <w:rFonts w:cs="Calibri"/>
          <w:lang w:val="en-US"/>
        </w:rPr>
        <w:t xml:space="preserve"> Narrative must be submitted in MS Word format in Calibri 12-point font</w:t>
      </w:r>
      <w:r w:rsidR="00137533" w:rsidRPr="007E650E">
        <w:rPr>
          <w:rFonts w:cs="Calibri"/>
          <w:lang w:val="en-US"/>
        </w:rPr>
        <w:t xml:space="preserve">. </w:t>
      </w:r>
      <w:r w:rsidRPr="007E650E">
        <w:rPr>
          <w:rFonts w:cs="Calibri"/>
          <w:lang w:val="en-US"/>
        </w:rPr>
        <w:t xml:space="preserve">Save this document according to the following naming convention: </w:t>
      </w:r>
      <w:r w:rsidR="000D5ACF">
        <w:rPr>
          <w:rFonts w:cs="Calibri"/>
          <w:lang w:val="en-US"/>
        </w:rPr>
        <w:t>"</w:t>
      </w:r>
      <w:r w:rsidR="00AE37F3" w:rsidRPr="007E650E">
        <w:rPr>
          <w:rFonts w:cs="Calibri"/>
          <w:lang w:val="en-US"/>
        </w:rPr>
        <w:t>ABC</w:t>
      </w:r>
      <w:r w:rsidRPr="007E650E">
        <w:rPr>
          <w:rFonts w:cs="Calibri"/>
          <w:lang w:val="en-US"/>
        </w:rPr>
        <w:t xml:space="preserve"> </w:t>
      </w:r>
      <w:r w:rsidR="002233F7" w:rsidRPr="007E650E">
        <w:rPr>
          <w:rFonts w:cs="Calibri"/>
          <w:lang w:val="en-US"/>
        </w:rPr>
        <w:t xml:space="preserve">DHH PY 25-26 </w:t>
      </w:r>
      <w:proofErr w:type="spellStart"/>
      <w:r w:rsidRPr="007E650E">
        <w:rPr>
          <w:rFonts w:cs="Calibri"/>
          <w:lang w:val="en-US"/>
        </w:rPr>
        <w:t>ExA</w:t>
      </w:r>
      <w:proofErr w:type="spellEnd"/>
      <w:r w:rsidRPr="007E650E">
        <w:rPr>
          <w:rFonts w:cs="Calibri"/>
          <w:lang w:val="en-US"/>
        </w:rPr>
        <w:t>.</w:t>
      </w:r>
      <w:r w:rsidR="000D5ACF">
        <w:rPr>
          <w:rFonts w:cs="Calibri"/>
          <w:lang w:val="en-US"/>
        </w:rPr>
        <w:t>"</w:t>
      </w:r>
    </w:p>
    <w:bookmarkEnd w:id="158"/>
    <w:p w14:paraId="6CF921A2" w14:textId="1D2B1259" w:rsidR="008544AA" w:rsidRPr="007E650E" w:rsidRDefault="008544AA" w:rsidP="01476CFA">
      <w:pPr>
        <w:pStyle w:val="BodyText"/>
        <w:rPr>
          <w:rFonts w:cs="Calibri"/>
          <w:lang w:val="en-US"/>
        </w:rPr>
      </w:pPr>
      <w:r w:rsidRPr="007E650E">
        <w:rPr>
          <w:rFonts w:cs="Calibri"/>
          <w:lang w:val="en-US"/>
        </w:rPr>
        <w:t xml:space="preserve">The Project Narrative must include the following </w:t>
      </w:r>
      <w:r w:rsidR="002233F7" w:rsidRPr="007E650E">
        <w:rPr>
          <w:rFonts w:cs="Calibri"/>
          <w:lang w:val="en-US"/>
        </w:rPr>
        <w:t>eight</w:t>
      </w:r>
      <w:r w:rsidRPr="007E650E">
        <w:rPr>
          <w:rFonts w:cs="Calibri"/>
          <w:lang w:val="en-US"/>
        </w:rPr>
        <w:t xml:space="preserve"> sections in the following order</w:t>
      </w:r>
      <w:r w:rsidR="002233F7" w:rsidRPr="007E650E">
        <w:rPr>
          <w:rFonts w:cs="Calibri"/>
          <w:lang w:val="en-US"/>
        </w:rPr>
        <w:t>,</w:t>
      </w:r>
      <w:r w:rsidRPr="007E650E">
        <w:rPr>
          <w:rFonts w:cs="Calibri"/>
          <w:lang w:val="en-US"/>
        </w:rPr>
        <w:t xml:space="preserve"> as indicated in Exhibit A:</w:t>
      </w:r>
    </w:p>
    <w:p w14:paraId="2C8C42B5" w14:textId="0574B4A3" w:rsidR="008544AA" w:rsidRPr="007E650E" w:rsidRDefault="002233F7" w:rsidP="007924D5">
      <w:pPr>
        <w:pStyle w:val="BodyText"/>
        <w:numPr>
          <w:ilvl w:val="0"/>
          <w:numId w:val="13"/>
        </w:numPr>
        <w:spacing w:after="0"/>
        <w:rPr>
          <w:rFonts w:eastAsia="Arial"/>
        </w:rPr>
      </w:pPr>
      <w:r w:rsidRPr="007E650E">
        <w:t>Statement of Need (Max 10 points)</w:t>
      </w:r>
      <w:r w:rsidR="008544AA" w:rsidRPr="007E650E">
        <w:t xml:space="preserve"> </w:t>
      </w:r>
    </w:p>
    <w:p w14:paraId="1BE7E12A" w14:textId="5553CC6D" w:rsidR="008544AA" w:rsidRPr="007E650E" w:rsidRDefault="002233F7" w:rsidP="007924D5">
      <w:pPr>
        <w:pStyle w:val="BodyText"/>
        <w:numPr>
          <w:ilvl w:val="0"/>
          <w:numId w:val="13"/>
        </w:numPr>
        <w:spacing w:after="0"/>
        <w:rPr>
          <w:rFonts w:eastAsia="Arial"/>
        </w:rPr>
      </w:pPr>
      <w:r w:rsidRPr="007E650E">
        <w:t>Target Group (Max 10 points)</w:t>
      </w:r>
      <w:r w:rsidR="008544AA" w:rsidRPr="007E650E">
        <w:t xml:space="preserve"> </w:t>
      </w:r>
    </w:p>
    <w:p w14:paraId="2E4BA4D1" w14:textId="77777777" w:rsidR="002233F7" w:rsidRPr="007E650E" w:rsidRDefault="002233F7" w:rsidP="007924D5">
      <w:pPr>
        <w:pStyle w:val="BodyText"/>
        <w:numPr>
          <w:ilvl w:val="0"/>
          <w:numId w:val="13"/>
        </w:numPr>
        <w:spacing w:after="0"/>
      </w:pPr>
      <w:r w:rsidRPr="007E650E">
        <w:t xml:space="preserve">Planned Approach (Max 15 points) </w:t>
      </w:r>
    </w:p>
    <w:p w14:paraId="26FEA385" w14:textId="77777777" w:rsidR="002233F7" w:rsidRPr="007E650E" w:rsidRDefault="002233F7" w:rsidP="007924D5">
      <w:pPr>
        <w:pStyle w:val="BodyText"/>
        <w:numPr>
          <w:ilvl w:val="0"/>
          <w:numId w:val="13"/>
        </w:numPr>
        <w:spacing w:after="0"/>
      </w:pPr>
      <w:r w:rsidRPr="007E650E">
        <w:t>Performance Goals (Max 10 points)</w:t>
      </w:r>
    </w:p>
    <w:p w14:paraId="11D3E4A2" w14:textId="77777777" w:rsidR="002233F7" w:rsidRPr="007E650E" w:rsidRDefault="002233F7" w:rsidP="007924D5">
      <w:pPr>
        <w:pStyle w:val="BodyText"/>
        <w:numPr>
          <w:ilvl w:val="0"/>
          <w:numId w:val="13"/>
        </w:numPr>
        <w:spacing w:after="0"/>
      </w:pPr>
      <w:r w:rsidRPr="007E650E">
        <w:t>Local Collaboration (Max 15 points)</w:t>
      </w:r>
    </w:p>
    <w:p w14:paraId="08F6E0FD" w14:textId="77777777" w:rsidR="002233F7" w:rsidRPr="007E650E" w:rsidRDefault="002233F7" w:rsidP="007924D5">
      <w:pPr>
        <w:pStyle w:val="BodyText"/>
        <w:numPr>
          <w:ilvl w:val="0"/>
          <w:numId w:val="13"/>
        </w:numPr>
        <w:spacing w:after="0"/>
      </w:pPr>
      <w:r w:rsidRPr="007E650E">
        <w:t>Resource Utilization (Max 10 points)</w:t>
      </w:r>
    </w:p>
    <w:p w14:paraId="0221FDFD" w14:textId="77777777" w:rsidR="002233F7" w:rsidRPr="007E650E" w:rsidRDefault="002233F7" w:rsidP="007924D5">
      <w:pPr>
        <w:pStyle w:val="BodyText"/>
        <w:numPr>
          <w:ilvl w:val="0"/>
          <w:numId w:val="13"/>
        </w:numPr>
        <w:spacing w:after="0"/>
      </w:pPr>
      <w:r w:rsidRPr="007E650E">
        <w:t>Statement of Capabilities (Max 20 points)</w:t>
      </w:r>
    </w:p>
    <w:p w14:paraId="5C256104" w14:textId="6D198F9A" w:rsidR="008544AA" w:rsidRPr="007E650E" w:rsidRDefault="002233F7" w:rsidP="00CF0D6C">
      <w:pPr>
        <w:pStyle w:val="BodyText"/>
        <w:numPr>
          <w:ilvl w:val="0"/>
          <w:numId w:val="13"/>
        </w:numPr>
        <w:rPr>
          <w:rFonts w:eastAsia="Arial"/>
        </w:rPr>
      </w:pPr>
      <w:r w:rsidRPr="007E650E">
        <w:t>Budget Summary and Narrative (Max 10 points)</w:t>
      </w:r>
    </w:p>
    <w:p w14:paraId="436CAC18" w14:textId="77777777" w:rsidR="008544AA" w:rsidRPr="007E650E" w:rsidRDefault="008544AA" w:rsidP="00F470F1">
      <w:pPr>
        <w:pStyle w:val="BodyText"/>
      </w:pPr>
      <w:r w:rsidRPr="007E650E">
        <w:rPr>
          <w:lang w:val="en-US"/>
        </w:rPr>
        <w:t>Applicants must cite supporting data as applicable for each section to be considered complete. Relevant data sources may include (</w:t>
      </w:r>
      <w:proofErr w:type="spellStart"/>
      <w:r w:rsidRPr="007E650E">
        <w:rPr>
          <w:lang w:val="en-US"/>
        </w:rPr>
        <w:t>i</w:t>
      </w:r>
      <w:proofErr w:type="spellEnd"/>
      <w:r w:rsidRPr="007E650E">
        <w:rPr>
          <w:lang w:val="en-US"/>
        </w:rPr>
        <w:t>) the EDD Labor Market Information Division (LMID), (ii) the Bureau of Labor Statistics, (iii) the U.S. Census, (iv) local surveys, (v) case studies, (vi) past performance; and (vii) consultation with industry associations, Local Areas, or mandatory and non-mandatory partners. The data should:</w:t>
      </w:r>
    </w:p>
    <w:p w14:paraId="3B12E5CB" w14:textId="1D6D3B64" w:rsidR="008544AA" w:rsidRPr="007E650E" w:rsidRDefault="008544AA" w:rsidP="00CA4523">
      <w:pPr>
        <w:pStyle w:val="ListParagraph"/>
        <w:spacing w:after="0" w:line="240" w:lineRule="auto"/>
      </w:pPr>
      <w:r w:rsidRPr="007E650E">
        <w:t>Reflect the applicant</w:t>
      </w:r>
      <w:r w:rsidR="000D5ACF">
        <w:t>'</w:t>
      </w:r>
      <w:r w:rsidRPr="007E650E">
        <w:t>s comprehensive understanding of the issues specific to the workforce system</w:t>
      </w:r>
    </w:p>
    <w:p w14:paraId="5F0664C0" w14:textId="77777777" w:rsidR="008544AA" w:rsidRPr="007E650E" w:rsidRDefault="008544AA" w:rsidP="00CA4523">
      <w:pPr>
        <w:pStyle w:val="ListParagraph"/>
        <w:spacing w:after="0" w:line="240" w:lineRule="auto"/>
      </w:pPr>
      <w:r w:rsidRPr="007E650E">
        <w:t>Demonstrate the need for the proposed project</w:t>
      </w:r>
    </w:p>
    <w:p w14:paraId="135408F2" w14:textId="5660E12B" w:rsidR="008544AA" w:rsidRPr="007E650E" w:rsidRDefault="008544AA" w:rsidP="00CA4523">
      <w:pPr>
        <w:pStyle w:val="ListParagraph"/>
        <w:spacing w:after="0" w:line="240" w:lineRule="auto"/>
      </w:pPr>
      <w:r w:rsidRPr="007E650E">
        <w:t>Justify the project</w:t>
      </w:r>
      <w:r w:rsidR="000D5ACF">
        <w:t>'</w:t>
      </w:r>
      <w:r w:rsidRPr="007E650E">
        <w:t xml:space="preserve">s approach </w:t>
      </w:r>
    </w:p>
    <w:p w14:paraId="19E7F4AC" w14:textId="77777777" w:rsidR="008544AA" w:rsidRPr="007E650E" w:rsidRDefault="008544AA" w:rsidP="00F470F1">
      <w:pPr>
        <w:pStyle w:val="ListParagraph"/>
      </w:pPr>
      <w:r w:rsidRPr="007E650E">
        <w:t>Suggest the potential for success</w:t>
      </w:r>
    </w:p>
    <w:p w14:paraId="72A22C45" w14:textId="07AC1994" w:rsidR="008544AA" w:rsidRPr="007E650E" w:rsidRDefault="00CA4523" w:rsidP="00CA4523">
      <w:pPr>
        <w:pStyle w:val="BodyText"/>
      </w:pPr>
      <w:r w:rsidRPr="007E650E">
        <w:lastRenderedPageBreak/>
        <w:t>The data should also support the focus on the regionally specific impacts on the risk of the target population(s) and/or evidence of best program design practices to support the target population(s). Applicants should use local data sources that illustrate the experience of individuals and specific communities in need, such as analyses of local news articles, to support the other data presented in the narrative.</w:t>
      </w:r>
    </w:p>
    <w:p w14:paraId="52893F56" w14:textId="4F3F5EBE" w:rsidR="008544AA" w:rsidRPr="007E650E" w:rsidRDefault="008544AA" w:rsidP="00CA4523">
      <w:pPr>
        <w:pStyle w:val="BodyText"/>
      </w:pPr>
      <w:r w:rsidRPr="007E650E">
        <w:t>The narrative must be organized as follows: include the Section and Sub-Section header</w:t>
      </w:r>
      <w:r w:rsidR="00003FD2" w:rsidRPr="007E650E">
        <w:t>s</w:t>
      </w:r>
      <w:r w:rsidRPr="007E650E">
        <w:t xml:space="preserve"> indicated in bold and must directly address the bulleted prompts. Each section will be reviewed and scored individually for content according to the instructions below.</w:t>
      </w:r>
    </w:p>
    <w:p w14:paraId="125B4739" w14:textId="0FD4DE41" w:rsidR="00530AD8" w:rsidRPr="007E650E" w:rsidRDefault="003869E0" w:rsidP="002E4765">
      <w:pPr>
        <w:pStyle w:val="Heading5"/>
      </w:pPr>
      <w:r w:rsidRPr="007E650E">
        <w:t xml:space="preserve">Exhibit A – Project Narrative, </w:t>
      </w:r>
      <w:r w:rsidR="008544AA" w:rsidRPr="007E650E">
        <w:t xml:space="preserve">Section </w:t>
      </w:r>
      <w:r w:rsidR="008F564F" w:rsidRPr="007E650E">
        <w:t>1</w:t>
      </w:r>
      <w:r w:rsidRPr="007E650E">
        <w:t xml:space="preserve">: </w:t>
      </w:r>
      <w:r w:rsidR="008544AA" w:rsidRPr="007E650E">
        <w:t xml:space="preserve">Statement of Need (Maximum </w:t>
      </w:r>
      <w:r w:rsidR="002233F7" w:rsidRPr="007E650E">
        <w:t>10</w:t>
      </w:r>
      <w:r w:rsidR="008544AA" w:rsidRPr="007E650E">
        <w:t xml:space="preserve"> points)</w:t>
      </w:r>
    </w:p>
    <w:p w14:paraId="1AC3D7E8" w14:textId="3D8CD845" w:rsidR="008544AA" w:rsidRPr="007E650E" w:rsidRDefault="008F564F" w:rsidP="001A4A1F">
      <w:pPr>
        <w:pStyle w:val="BodyText"/>
        <w:rPr>
          <w:bCs/>
        </w:rPr>
      </w:pPr>
      <w:r w:rsidRPr="007E650E">
        <w:rPr>
          <w:rStyle w:val="BodyTextChar"/>
          <w:b/>
          <w:bCs/>
          <w:i/>
          <w:iCs/>
        </w:rPr>
        <w:t>1</w:t>
      </w:r>
      <w:r w:rsidR="008544AA" w:rsidRPr="007E650E">
        <w:rPr>
          <w:rStyle w:val="BodyTextChar"/>
          <w:b/>
          <w:bCs/>
          <w:i/>
          <w:iCs/>
        </w:rPr>
        <w:t>.</w:t>
      </w:r>
      <w:r w:rsidR="00CA0DB0" w:rsidRPr="007E650E">
        <w:rPr>
          <w:b/>
          <w:bCs/>
          <w:i/>
          <w:iCs/>
          <w:lang w:bidi="en-US"/>
        </w:rPr>
        <w:t xml:space="preserve">1. Target Region </w:t>
      </w:r>
      <w:r w:rsidR="00CA0DB0" w:rsidRPr="007E650E">
        <w:rPr>
          <w:lang w:bidi="en-US"/>
        </w:rPr>
        <w:t>(Score Range 0–10 points)</w:t>
      </w:r>
    </w:p>
    <w:p w14:paraId="575FD3E2" w14:textId="77777777" w:rsidR="002233F7" w:rsidRPr="007E650E" w:rsidRDefault="002233F7" w:rsidP="00CA4523">
      <w:pPr>
        <w:pStyle w:val="ListParagraph"/>
        <w:spacing w:after="0" w:line="240" w:lineRule="auto"/>
        <w:rPr>
          <w:lang w:val="en"/>
        </w:rPr>
      </w:pPr>
      <w:r w:rsidRPr="007E650E">
        <w:rPr>
          <w:lang w:val="en"/>
        </w:rPr>
        <w:t>Describe the target region(s), including an estimated number of the target population(s) in the region(s).</w:t>
      </w:r>
    </w:p>
    <w:p w14:paraId="12507C3E" w14:textId="41095D1E" w:rsidR="002233F7" w:rsidRPr="007E650E" w:rsidRDefault="002233F7" w:rsidP="00CA4523">
      <w:pPr>
        <w:pStyle w:val="ListParagraph"/>
        <w:spacing w:after="0" w:line="240" w:lineRule="auto"/>
        <w:rPr>
          <w:lang w:val="en"/>
        </w:rPr>
      </w:pPr>
      <w:r w:rsidRPr="007E650E">
        <w:rPr>
          <w:lang w:val="en"/>
        </w:rPr>
        <w:t xml:space="preserve">Describe the needs of the target population as it relates to providing </w:t>
      </w:r>
      <w:r w:rsidR="00CA0DB0" w:rsidRPr="007E650E">
        <w:rPr>
          <w:lang w:val="en"/>
        </w:rPr>
        <w:t>employment-related</w:t>
      </w:r>
      <w:r w:rsidRPr="007E650E">
        <w:rPr>
          <w:lang w:val="en"/>
        </w:rPr>
        <w:t xml:space="preserve"> services, including gaps in services. </w:t>
      </w:r>
    </w:p>
    <w:p w14:paraId="34BB02A8" w14:textId="77777777" w:rsidR="002233F7" w:rsidRPr="007E650E" w:rsidRDefault="002233F7" w:rsidP="00CA4523">
      <w:pPr>
        <w:pStyle w:val="ListParagraph"/>
        <w:spacing w:after="0" w:line="240" w:lineRule="auto"/>
        <w:rPr>
          <w:lang w:val="en"/>
        </w:rPr>
      </w:pPr>
      <w:r w:rsidRPr="007E650E">
        <w:rPr>
          <w:lang w:val="en"/>
        </w:rPr>
        <w:t xml:space="preserve">Explain how the need was determined and what factors contributed to the unmet need. </w:t>
      </w:r>
    </w:p>
    <w:p w14:paraId="0561C05A" w14:textId="686759FB" w:rsidR="002233F7" w:rsidRPr="007E650E" w:rsidRDefault="002233F7" w:rsidP="00CA4523">
      <w:pPr>
        <w:pStyle w:val="ListParagraph"/>
        <w:spacing w:after="0" w:line="240" w:lineRule="auto"/>
        <w:rPr>
          <w:lang w:val="en"/>
        </w:rPr>
      </w:pPr>
      <w:r w:rsidRPr="007E650E">
        <w:rPr>
          <w:lang w:val="en"/>
        </w:rPr>
        <w:t>Explain why the need(s) cannot be addressed with existing resources through the local or regional educational, employment, and training service delivery systems.</w:t>
      </w:r>
    </w:p>
    <w:p w14:paraId="7C098AF1" w14:textId="270E4F85" w:rsidR="00CA0DB0" w:rsidRPr="007E650E" w:rsidRDefault="00CA0DB0" w:rsidP="00CA4523">
      <w:pPr>
        <w:pStyle w:val="ListParagraph"/>
        <w:spacing w:after="0" w:line="240" w:lineRule="auto"/>
        <w:rPr>
          <w:lang w:val="en"/>
        </w:rPr>
      </w:pPr>
      <w:r w:rsidRPr="007E650E">
        <w:t xml:space="preserve">Applicants can target regions not mentioned in section </w:t>
      </w:r>
      <w:r w:rsidRPr="007E650E">
        <w:rPr>
          <w:i/>
          <w:iCs/>
        </w:rPr>
        <w:t xml:space="preserve">1.E. Program </w:t>
      </w:r>
      <w:r w:rsidR="00E01582" w:rsidRPr="007E650E">
        <w:rPr>
          <w:i/>
          <w:iCs/>
        </w:rPr>
        <w:t>Locations</w:t>
      </w:r>
      <w:r w:rsidR="00E01582" w:rsidRPr="007E650E">
        <w:t xml:space="preserve"> but</w:t>
      </w:r>
      <w:r w:rsidRPr="007E650E">
        <w:t xml:space="preserve"> should make a case for consideration of those regions.</w:t>
      </w:r>
    </w:p>
    <w:p w14:paraId="2C315FAD" w14:textId="121CDD98" w:rsidR="008544AA" w:rsidRPr="007E650E" w:rsidRDefault="002233F7" w:rsidP="002233F7">
      <w:pPr>
        <w:pStyle w:val="ListParagraph"/>
        <w:rPr>
          <w:lang w:val="en"/>
        </w:rPr>
      </w:pPr>
      <w:r w:rsidRPr="007E650E">
        <w:rPr>
          <w:lang w:val="en"/>
        </w:rPr>
        <w:t>Provide supporting data and sources.</w:t>
      </w:r>
    </w:p>
    <w:p w14:paraId="52BB55F6" w14:textId="77777777" w:rsidR="008544AA" w:rsidRPr="007E650E" w:rsidRDefault="008544AA" w:rsidP="008544AA">
      <w:pPr>
        <w:spacing w:after="0" w:line="276" w:lineRule="auto"/>
        <w:rPr>
          <w:rFonts w:eastAsia="Calibri" w:cstheme="minorHAnsi"/>
          <w:b/>
          <w:bCs/>
          <w:sz w:val="24"/>
          <w:szCs w:val="24"/>
          <w:lang w:val="en"/>
        </w:rPr>
      </w:pPr>
    </w:p>
    <w:p w14:paraId="77DD8F96" w14:textId="40372243" w:rsidR="008544AA" w:rsidRPr="007E650E" w:rsidRDefault="003869E0" w:rsidP="001A4A1F">
      <w:pPr>
        <w:pStyle w:val="BodyText"/>
        <w:rPr>
          <w:b/>
          <w:bCs/>
        </w:rPr>
      </w:pPr>
      <w:r w:rsidRPr="007E650E">
        <w:rPr>
          <w:rStyle w:val="Heading5Char"/>
          <w:rFonts w:cstheme="minorBidi"/>
        </w:rPr>
        <w:t xml:space="preserve">Exhibit A – Project Narrative, </w:t>
      </w:r>
      <w:r w:rsidRPr="007E650E">
        <w:rPr>
          <w:b/>
          <w:bCs/>
        </w:rPr>
        <w:t xml:space="preserve">Section </w:t>
      </w:r>
      <w:r w:rsidRPr="007E650E">
        <w:rPr>
          <w:rStyle w:val="Heading5Char"/>
          <w:rFonts w:cstheme="minorBidi"/>
        </w:rPr>
        <w:t xml:space="preserve">2: </w:t>
      </w:r>
      <w:r w:rsidR="002233F7" w:rsidRPr="007E650E">
        <w:rPr>
          <w:rStyle w:val="Heading5Char"/>
          <w:rFonts w:cstheme="minorBidi"/>
        </w:rPr>
        <w:t>Target Group (Maximum 10 points)</w:t>
      </w:r>
    </w:p>
    <w:p w14:paraId="09DA69CD" w14:textId="4ABF6062" w:rsidR="008544AA" w:rsidRPr="007E650E" w:rsidRDefault="008F564F" w:rsidP="00F470F1">
      <w:pPr>
        <w:pStyle w:val="BodyText"/>
      </w:pPr>
      <w:r w:rsidRPr="007E650E">
        <w:rPr>
          <w:b/>
          <w:bCs/>
          <w:i/>
          <w:iCs/>
        </w:rPr>
        <w:t>2</w:t>
      </w:r>
      <w:r w:rsidR="008544AA" w:rsidRPr="007E650E">
        <w:rPr>
          <w:b/>
          <w:bCs/>
          <w:i/>
          <w:iCs/>
        </w:rPr>
        <w:t xml:space="preserve">.1. </w:t>
      </w:r>
      <w:r w:rsidR="002233F7" w:rsidRPr="007E650E">
        <w:rPr>
          <w:b/>
          <w:bCs/>
          <w:i/>
          <w:iCs/>
        </w:rPr>
        <w:t>Target Group Description</w:t>
      </w:r>
      <w:r w:rsidR="008544AA" w:rsidRPr="007E650E">
        <w:t xml:space="preserve"> (Score range 0–</w:t>
      </w:r>
      <w:r w:rsidR="002233F7" w:rsidRPr="007E650E">
        <w:t>10</w:t>
      </w:r>
      <w:r w:rsidR="008544AA" w:rsidRPr="007E650E">
        <w:t xml:space="preserve"> points)</w:t>
      </w:r>
    </w:p>
    <w:p w14:paraId="1E2CCD26" w14:textId="77777777" w:rsidR="002233F7" w:rsidRPr="007E650E" w:rsidRDefault="002233F7" w:rsidP="00CA4523">
      <w:pPr>
        <w:pStyle w:val="ListParagraph"/>
        <w:spacing w:after="0" w:line="240" w:lineRule="auto"/>
      </w:pPr>
      <w:r w:rsidRPr="007E650E">
        <w:t>Describe the characteristics of the target population(s).</w:t>
      </w:r>
    </w:p>
    <w:p w14:paraId="37C6EACB" w14:textId="77777777" w:rsidR="002233F7" w:rsidRPr="007E650E" w:rsidRDefault="002233F7" w:rsidP="00CA4523">
      <w:pPr>
        <w:pStyle w:val="ListParagraph"/>
        <w:spacing w:after="0" w:line="240" w:lineRule="auto"/>
      </w:pPr>
      <w:r w:rsidRPr="007E650E">
        <w:t xml:space="preserve">Describe common and significant barriers to employment, training, and services. </w:t>
      </w:r>
    </w:p>
    <w:p w14:paraId="652A4C3B" w14:textId="77777777" w:rsidR="002233F7" w:rsidRPr="007E650E" w:rsidRDefault="002233F7" w:rsidP="00CA4523">
      <w:pPr>
        <w:pStyle w:val="ListParagraph"/>
        <w:spacing w:after="0" w:line="240" w:lineRule="auto"/>
      </w:pPr>
      <w:r w:rsidRPr="007E650E">
        <w:t xml:space="preserve">Identify and describe employment service needs. </w:t>
      </w:r>
    </w:p>
    <w:p w14:paraId="22BB4F26" w14:textId="77777777" w:rsidR="002233F7" w:rsidRPr="007E650E" w:rsidRDefault="002233F7" w:rsidP="00CA4523">
      <w:pPr>
        <w:pStyle w:val="ListParagraph"/>
        <w:spacing w:after="0" w:line="240" w:lineRule="auto"/>
      </w:pPr>
      <w:r w:rsidRPr="007E650E">
        <w:t xml:space="preserve">Describe basic and occupational skills gaps and needs. </w:t>
      </w:r>
    </w:p>
    <w:p w14:paraId="06D824DF" w14:textId="77777777" w:rsidR="002233F7" w:rsidRPr="007E650E" w:rsidRDefault="002233F7" w:rsidP="00CA4523">
      <w:pPr>
        <w:pStyle w:val="ListParagraph"/>
        <w:spacing w:after="0" w:line="240" w:lineRule="auto"/>
      </w:pPr>
      <w:r w:rsidRPr="007E650E">
        <w:t>Provide a clear strategy to address service gaps and improve the labor market and skills outcomes.</w:t>
      </w:r>
    </w:p>
    <w:p w14:paraId="2D0B3E1A" w14:textId="77777777" w:rsidR="002233F7" w:rsidRPr="007E650E" w:rsidRDefault="002233F7" w:rsidP="00CA4523">
      <w:pPr>
        <w:pStyle w:val="ListParagraph"/>
        <w:spacing w:after="0" w:line="240" w:lineRule="auto"/>
      </w:pPr>
      <w:r w:rsidRPr="007E650E">
        <w:t xml:space="preserve">Describe how you will target the population who are available for and seeking employment. </w:t>
      </w:r>
    </w:p>
    <w:p w14:paraId="235A430A" w14:textId="77777777" w:rsidR="002233F7" w:rsidRPr="007E650E" w:rsidRDefault="002233F7" w:rsidP="00CA4523">
      <w:pPr>
        <w:pStyle w:val="ListParagraph"/>
        <w:spacing w:after="0" w:line="240" w:lineRule="auto"/>
      </w:pPr>
      <w:r w:rsidRPr="007E650E">
        <w:t xml:space="preserve">Discuss current challenges with employment and retention and how they will be addressed. </w:t>
      </w:r>
    </w:p>
    <w:p w14:paraId="58CA9712" w14:textId="77777777" w:rsidR="002233F7" w:rsidRPr="007E650E" w:rsidRDefault="002233F7" w:rsidP="00CA4523">
      <w:pPr>
        <w:pStyle w:val="ListParagraph"/>
        <w:spacing w:after="0" w:line="240" w:lineRule="auto"/>
      </w:pPr>
      <w:r w:rsidRPr="007E650E">
        <w:t xml:space="preserve">Provide a clear justification for the proposal, including qualitative and quantitative evidence, to explain how existing gaps in services currently provided to the target population will be addressed. </w:t>
      </w:r>
    </w:p>
    <w:p w14:paraId="77AB0C08" w14:textId="6F126F78" w:rsidR="008544AA" w:rsidRPr="007E650E" w:rsidRDefault="002233F7" w:rsidP="002233F7">
      <w:pPr>
        <w:pStyle w:val="ListParagraph"/>
      </w:pPr>
      <w:r w:rsidRPr="007E650E">
        <w:t>Cite data sources.</w:t>
      </w:r>
    </w:p>
    <w:p w14:paraId="48A85D3E" w14:textId="77777777" w:rsidR="008544AA" w:rsidRPr="007E650E" w:rsidRDefault="008544AA" w:rsidP="008544AA">
      <w:pPr>
        <w:spacing w:after="0" w:line="240" w:lineRule="auto"/>
        <w:rPr>
          <w:rFonts w:eastAsia="Calibri" w:cstheme="minorHAnsi"/>
          <w:sz w:val="24"/>
          <w:szCs w:val="24"/>
          <w:lang w:val="en"/>
        </w:rPr>
      </w:pPr>
    </w:p>
    <w:p w14:paraId="7E0DE0B2" w14:textId="28198B2D" w:rsidR="008544AA" w:rsidRPr="007E650E" w:rsidRDefault="003869E0" w:rsidP="00F470F1">
      <w:pPr>
        <w:pStyle w:val="BodyText"/>
        <w:rPr>
          <w:rFonts w:cs="Calibri"/>
        </w:rPr>
      </w:pPr>
      <w:r w:rsidRPr="007E650E">
        <w:rPr>
          <w:rStyle w:val="Heading5Char"/>
          <w:rFonts w:cs="Calibri"/>
        </w:rPr>
        <w:t xml:space="preserve">Exhibit A – Project Narrative, Section 3: </w:t>
      </w:r>
      <w:r w:rsidR="002233F7" w:rsidRPr="007E650E">
        <w:rPr>
          <w:rStyle w:val="Heading5Char"/>
          <w:rFonts w:cs="Calibri"/>
        </w:rPr>
        <w:t>Planned Approach (Maximum 15 points)</w:t>
      </w:r>
      <w:r w:rsidR="008544AA" w:rsidRPr="007E650E">
        <w:rPr>
          <w:rFonts w:cs="Calibri"/>
          <w:b/>
          <w:bCs/>
        </w:rPr>
        <w:t xml:space="preserve"> </w:t>
      </w:r>
    </w:p>
    <w:p w14:paraId="33E8AC73" w14:textId="6037E71B" w:rsidR="008544AA" w:rsidRPr="007E650E" w:rsidRDefault="008F564F" w:rsidP="008F564F">
      <w:pPr>
        <w:pStyle w:val="BodyText"/>
        <w:rPr>
          <w:rFonts w:cs="Calibri"/>
        </w:rPr>
      </w:pPr>
      <w:r w:rsidRPr="007E650E">
        <w:rPr>
          <w:rFonts w:cs="Calibri"/>
          <w:b/>
          <w:bCs/>
          <w:i/>
          <w:iCs/>
        </w:rPr>
        <w:t>3</w:t>
      </w:r>
      <w:r w:rsidR="008544AA" w:rsidRPr="007E650E">
        <w:rPr>
          <w:rFonts w:cs="Calibri"/>
          <w:b/>
          <w:bCs/>
          <w:i/>
          <w:iCs/>
        </w:rPr>
        <w:t xml:space="preserve">.1. </w:t>
      </w:r>
      <w:r w:rsidR="002233F7" w:rsidRPr="007E650E">
        <w:rPr>
          <w:rFonts w:cs="Calibri"/>
          <w:b/>
          <w:bCs/>
          <w:i/>
          <w:iCs/>
        </w:rPr>
        <w:t xml:space="preserve">Outreach/Recruitment </w:t>
      </w:r>
      <w:r w:rsidR="008544AA" w:rsidRPr="007E650E">
        <w:rPr>
          <w:rFonts w:cs="Calibri"/>
        </w:rPr>
        <w:t>(Score range 0–</w:t>
      </w:r>
      <w:r w:rsidR="002233F7" w:rsidRPr="007E650E">
        <w:rPr>
          <w:rFonts w:cs="Calibri"/>
        </w:rPr>
        <w:t>5</w:t>
      </w:r>
      <w:r w:rsidR="008544AA" w:rsidRPr="007E650E">
        <w:rPr>
          <w:rFonts w:cs="Calibri"/>
        </w:rPr>
        <w:t xml:space="preserve"> points) </w:t>
      </w:r>
    </w:p>
    <w:p w14:paraId="69A50F70" w14:textId="77777777" w:rsidR="002233F7" w:rsidRPr="007E650E" w:rsidRDefault="002233F7" w:rsidP="00CA4523">
      <w:pPr>
        <w:pStyle w:val="ListParagraph"/>
        <w:spacing w:after="0" w:line="240" w:lineRule="auto"/>
        <w:rPr>
          <w:lang w:val="en"/>
        </w:rPr>
      </w:pPr>
      <w:r w:rsidRPr="007E650E">
        <w:rPr>
          <w:lang w:val="en"/>
        </w:rPr>
        <w:t xml:space="preserve">Describe the outreach and recruitment methods that will be used to identify and contact the target population and demonstrate how these methods will enable you to reach this segment of the population. </w:t>
      </w:r>
    </w:p>
    <w:p w14:paraId="7C4E28DB" w14:textId="19DB43DF" w:rsidR="002233F7" w:rsidRPr="007E650E" w:rsidRDefault="002233F7" w:rsidP="00CA4523">
      <w:pPr>
        <w:pStyle w:val="ListParagraph"/>
        <w:spacing w:after="0" w:line="240" w:lineRule="auto"/>
        <w:rPr>
          <w:lang w:val="en"/>
        </w:rPr>
      </w:pPr>
      <w:r w:rsidRPr="007E650E">
        <w:rPr>
          <w:lang w:val="en"/>
        </w:rPr>
        <w:t>Identify the culturally relevant outreach and recruitment methods specific to the target population(s) that will be used to recruit program participants.</w:t>
      </w:r>
    </w:p>
    <w:p w14:paraId="5D824C59" w14:textId="77777777" w:rsidR="002233F7" w:rsidRPr="007E650E" w:rsidRDefault="002233F7" w:rsidP="00CA4523">
      <w:pPr>
        <w:pStyle w:val="ListParagraph"/>
        <w:spacing w:after="0" w:line="240" w:lineRule="auto"/>
        <w:rPr>
          <w:lang w:val="en"/>
        </w:rPr>
      </w:pPr>
      <w:r w:rsidRPr="007E650E">
        <w:rPr>
          <w:lang w:val="en"/>
        </w:rPr>
        <w:t>If the outreach and recruitment methods have been used before, describe the outcomes and lessons learned.</w:t>
      </w:r>
    </w:p>
    <w:p w14:paraId="6AB7D6A9" w14:textId="77777777" w:rsidR="002233F7" w:rsidRPr="007E650E" w:rsidRDefault="002233F7" w:rsidP="00CA4523">
      <w:pPr>
        <w:pStyle w:val="ListParagraph"/>
        <w:spacing w:after="0" w:line="240" w:lineRule="auto"/>
        <w:rPr>
          <w:lang w:val="en"/>
        </w:rPr>
      </w:pPr>
      <w:r w:rsidRPr="007E650E">
        <w:rPr>
          <w:lang w:val="en"/>
        </w:rPr>
        <w:t>Explain how these outreach methods will ensure equity goals are met.</w:t>
      </w:r>
    </w:p>
    <w:p w14:paraId="4EC47A0D" w14:textId="29B2F38D" w:rsidR="003869E0" w:rsidRPr="007E650E" w:rsidRDefault="002233F7" w:rsidP="00E01582">
      <w:pPr>
        <w:pStyle w:val="ListParagraph"/>
        <w:rPr>
          <w:lang w:val="en"/>
        </w:rPr>
      </w:pPr>
      <w:r w:rsidRPr="007E650E">
        <w:rPr>
          <w:lang w:val="en"/>
        </w:rPr>
        <w:t>Demonstrate how these methods will reach a significant percentage of the target population(s) in a replicable, effective, and timely manner.</w:t>
      </w:r>
    </w:p>
    <w:p w14:paraId="13C9C520" w14:textId="0F0E1367" w:rsidR="008544AA" w:rsidRPr="007E650E" w:rsidRDefault="008F564F" w:rsidP="008F564F">
      <w:pPr>
        <w:pStyle w:val="BodyText"/>
      </w:pPr>
      <w:r w:rsidRPr="007E650E">
        <w:rPr>
          <w:b/>
          <w:bCs/>
          <w:i/>
          <w:iCs/>
        </w:rPr>
        <w:t>3</w:t>
      </w:r>
      <w:r w:rsidR="008544AA" w:rsidRPr="007E650E">
        <w:rPr>
          <w:b/>
          <w:bCs/>
          <w:i/>
          <w:iCs/>
        </w:rPr>
        <w:t>.</w:t>
      </w:r>
      <w:r w:rsidRPr="007E650E">
        <w:rPr>
          <w:b/>
          <w:bCs/>
          <w:i/>
          <w:iCs/>
        </w:rPr>
        <w:t>2</w:t>
      </w:r>
      <w:r w:rsidR="008544AA" w:rsidRPr="007E650E">
        <w:rPr>
          <w:b/>
          <w:bCs/>
          <w:i/>
          <w:iCs/>
        </w:rPr>
        <w:t xml:space="preserve">. </w:t>
      </w:r>
      <w:r w:rsidR="002233F7" w:rsidRPr="007E650E">
        <w:rPr>
          <w:b/>
          <w:bCs/>
          <w:i/>
          <w:iCs/>
        </w:rPr>
        <w:t>Planned Service Approach</w:t>
      </w:r>
      <w:r w:rsidR="008544AA" w:rsidRPr="007E650E">
        <w:t xml:space="preserve"> (Score range 0–</w:t>
      </w:r>
      <w:r w:rsidR="002233F7" w:rsidRPr="007E650E">
        <w:t>10</w:t>
      </w:r>
      <w:r w:rsidR="008544AA" w:rsidRPr="007E650E">
        <w:t xml:space="preserve"> points) </w:t>
      </w:r>
    </w:p>
    <w:p w14:paraId="5DBB8E88" w14:textId="4F754ED1" w:rsidR="002233F7" w:rsidRPr="007E650E" w:rsidRDefault="002233F7" w:rsidP="00CA4523">
      <w:pPr>
        <w:pStyle w:val="ListParagraph"/>
        <w:spacing w:after="0" w:line="240" w:lineRule="auto"/>
        <w:rPr>
          <w:lang w:val="en"/>
        </w:rPr>
      </w:pPr>
      <w:r w:rsidRPr="007E650E">
        <w:rPr>
          <w:lang w:val="en"/>
        </w:rPr>
        <w:t xml:space="preserve">Describe the planned service approach that will be used to assist the </w:t>
      </w:r>
      <w:r w:rsidR="00E718A4" w:rsidRPr="007E650E">
        <w:rPr>
          <w:lang w:val="en"/>
        </w:rPr>
        <w:t>job-ready</w:t>
      </w:r>
      <w:r w:rsidRPr="007E650E">
        <w:rPr>
          <w:lang w:val="en"/>
        </w:rPr>
        <w:t xml:space="preserve"> population in searching for and obtaining/retaining employment. Identify who will be providing the services. </w:t>
      </w:r>
    </w:p>
    <w:p w14:paraId="7F57D969" w14:textId="77777777" w:rsidR="002233F7" w:rsidRPr="007E650E" w:rsidRDefault="002233F7" w:rsidP="00CA4523">
      <w:pPr>
        <w:pStyle w:val="ListParagraph"/>
        <w:spacing w:after="0" w:line="240" w:lineRule="auto"/>
        <w:rPr>
          <w:lang w:val="en"/>
        </w:rPr>
      </w:pPr>
      <w:r w:rsidRPr="007E650E">
        <w:rPr>
          <w:lang w:val="en"/>
        </w:rPr>
        <w:t xml:space="preserve">Demonstrate how the approach addresses the challenges in the Statement of Need. </w:t>
      </w:r>
    </w:p>
    <w:p w14:paraId="683C8176" w14:textId="77777777" w:rsidR="002233F7" w:rsidRPr="007E650E" w:rsidRDefault="002233F7" w:rsidP="00CA4523">
      <w:pPr>
        <w:pStyle w:val="ListParagraph"/>
        <w:spacing w:after="0" w:line="240" w:lineRule="auto"/>
        <w:rPr>
          <w:lang w:val="en"/>
        </w:rPr>
      </w:pPr>
      <w:r w:rsidRPr="007E650E">
        <w:rPr>
          <w:lang w:val="en"/>
        </w:rPr>
        <w:t xml:space="preserve">Describe the services that will be provided to achieve the planned goals and objectives. </w:t>
      </w:r>
    </w:p>
    <w:p w14:paraId="743F707E" w14:textId="77777777" w:rsidR="002233F7" w:rsidRPr="007E650E" w:rsidRDefault="002233F7" w:rsidP="00CA4523">
      <w:pPr>
        <w:pStyle w:val="ListParagraph"/>
        <w:spacing w:after="0" w:line="240" w:lineRule="auto"/>
        <w:rPr>
          <w:lang w:val="en"/>
        </w:rPr>
      </w:pPr>
      <w:r w:rsidRPr="007E650E">
        <w:rPr>
          <w:lang w:val="en"/>
        </w:rPr>
        <w:t xml:space="preserve">Describe how the service delivery plan will address barriers to employment, and/or help participants achieve ongoing career advancement and sustainability. </w:t>
      </w:r>
    </w:p>
    <w:p w14:paraId="40CB8FCE" w14:textId="77777777" w:rsidR="002233F7" w:rsidRPr="007E650E" w:rsidRDefault="002233F7" w:rsidP="00CA4523">
      <w:pPr>
        <w:pStyle w:val="ListParagraph"/>
        <w:spacing w:after="0" w:line="240" w:lineRule="auto"/>
        <w:rPr>
          <w:lang w:val="en"/>
        </w:rPr>
      </w:pPr>
      <w:r w:rsidRPr="007E650E">
        <w:rPr>
          <w:lang w:val="en"/>
        </w:rPr>
        <w:t xml:space="preserve">Demonstrate how services will enable participants to increase their vocational and job readiness skills, attain and retain employment, enter career pathways, and advance in the target industries. </w:t>
      </w:r>
    </w:p>
    <w:p w14:paraId="06ED6316" w14:textId="24C48632" w:rsidR="008544AA" w:rsidRPr="007E650E" w:rsidRDefault="00E718A4" w:rsidP="002233F7">
      <w:pPr>
        <w:pStyle w:val="ListParagraph"/>
      </w:pPr>
      <w:r w:rsidRPr="007E650E">
        <w:rPr>
          <w:lang w:val="en" w:bidi="en-US"/>
        </w:rPr>
        <w:t>Describe how you will provide interpreter assistance and communication services to program participants for all activities.</w:t>
      </w:r>
    </w:p>
    <w:p w14:paraId="5BFEF784" w14:textId="155E1EFF" w:rsidR="008544AA" w:rsidRPr="007E650E" w:rsidRDefault="003869E0" w:rsidP="002E4765">
      <w:pPr>
        <w:pStyle w:val="Heading5"/>
      </w:pPr>
      <w:r w:rsidRPr="007E650E">
        <w:t xml:space="preserve">Exhibit A – Project Narrative, Section 4: </w:t>
      </w:r>
      <w:r w:rsidR="002233F7" w:rsidRPr="007E650E">
        <w:t>Performance Goals</w:t>
      </w:r>
      <w:r w:rsidRPr="007E650E">
        <w:t xml:space="preserve"> </w:t>
      </w:r>
      <w:r w:rsidR="008544AA" w:rsidRPr="007E650E">
        <w:t xml:space="preserve">(Maximum </w:t>
      </w:r>
      <w:r w:rsidR="002233F7" w:rsidRPr="007E650E">
        <w:t>10</w:t>
      </w:r>
      <w:r w:rsidR="008544AA" w:rsidRPr="007E650E">
        <w:t xml:space="preserve"> points) </w:t>
      </w:r>
    </w:p>
    <w:p w14:paraId="5F6A6974" w14:textId="1C682BF6" w:rsidR="008544AA" w:rsidRPr="007E650E" w:rsidRDefault="008F564F" w:rsidP="008F564F">
      <w:pPr>
        <w:pStyle w:val="BodyText"/>
      </w:pPr>
      <w:r w:rsidRPr="007E650E">
        <w:rPr>
          <w:b/>
          <w:bCs/>
          <w:i/>
          <w:iCs/>
        </w:rPr>
        <w:t>4</w:t>
      </w:r>
      <w:r w:rsidR="008544AA" w:rsidRPr="007E650E">
        <w:rPr>
          <w:b/>
          <w:bCs/>
          <w:i/>
          <w:iCs/>
        </w:rPr>
        <w:t xml:space="preserve">.1. </w:t>
      </w:r>
      <w:r w:rsidR="002233F7" w:rsidRPr="007E650E">
        <w:rPr>
          <w:b/>
          <w:bCs/>
          <w:i/>
          <w:iCs/>
        </w:rPr>
        <w:t xml:space="preserve">Performance Goal Matrix </w:t>
      </w:r>
      <w:r w:rsidR="008544AA" w:rsidRPr="007E650E">
        <w:t>(Score range 0–</w:t>
      </w:r>
      <w:r w:rsidR="002233F7" w:rsidRPr="007E650E">
        <w:t>5</w:t>
      </w:r>
      <w:r w:rsidR="008544AA" w:rsidRPr="007E650E">
        <w:t xml:space="preserve"> points)</w:t>
      </w:r>
    </w:p>
    <w:p w14:paraId="7625970F" w14:textId="326DE58F" w:rsidR="008544AA" w:rsidRPr="007E650E" w:rsidRDefault="002233F7" w:rsidP="00D86358">
      <w:pPr>
        <w:pStyle w:val="ListParagraph"/>
      </w:pPr>
      <w:r w:rsidRPr="007E650E">
        <w:rPr>
          <w:lang w:val="en" w:bidi="en-US"/>
        </w:rPr>
        <w:t xml:space="preserve">Complete the Performance Goals Matrix table that is provided on Exhibit A. See pages </w:t>
      </w:r>
      <w:r w:rsidR="004F15A4" w:rsidRPr="007E650E">
        <w:rPr>
          <w:lang w:val="en" w:bidi="en-US"/>
        </w:rPr>
        <w:t>40-41</w:t>
      </w:r>
      <w:r w:rsidRPr="007E650E">
        <w:rPr>
          <w:lang w:val="en" w:bidi="en-US"/>
        </w:rPr>
        <w:t xml:space="preserve">, </w:t>
      </w:r>
      <w:r w:rsidRPr="007E650E">
        <w:rPr>
          <w:i/>
          <w:iCs/>
          <w:lang w:val="en" w:bidi="en-US"/>
        </w:rPr>
        <w:t>Appendix D: Definitions</w:t>
      </w:r>
      <w:r w:rsidRPr="007E650E">
        <w:rPr>
          <w:lang w:val="en" w:bidi="en-US"/>
        </w:rPr>
        <w:t>, to complete the table.</w:t>
      </w:r>
    </w:p>
    <w:p w14:paraId="60392824" w14:textId="368F777D" w:rsidR="008544AA" w:rsidRPr="007E650E" w:rsidRDefault="008F564F" w:rsidP="008F564F">
      <w:pPr>
        <w:pStyle w:val="BodyText"/>
      </w:pPr>
      <w:r w:rsidRPr="007E650E">
        <w:rPr>
          <w:b/>
          <w:bCs/>
          <w:i/>
          <w:iCs/>
        </w:rPr>
        <w:t>4</w:t>
      </w:r>
      <w:r w:rsidR="008544AA" w:rsidRPr="007E650E">
        <w:rPr>
          <w:b/>
          <w:bCs/>
          <w:i/>
          <w:iCs/>
        </w:rPr>
        <w:t xml:space="preserve">.2. </w:t>
      </w:r>
      <w:r w:rsidR="002233F7" w:rsidRPr="007E650E">
        <w:rPr>
          <w:b/>
          <w:bCs/>
          <w:i/>
          <w:iCs/>
        </w:rPr>
        <w:t>Performance Outcomes and Goal Effectiveness</w:t>
      </w:r>
      <w:r w:rsidR="008544AA" w:rsidRPr="007E650E">
        <w:t xml:space="preserve"> (Score range 0–</w:t>
      </w:r>
      <w:r w:rsidR="002233F7" w:rsidRPr="007E650E">
        <w:t>5</w:t>
      </w:r>
      <w:r w:rsidR="008544AA" w:rsidRPr="007E650E">
        <w:t xml:space="preserve"> points)</w:t>
      </w:r>
    </w:p>
    <w:p w14:paraId="72ACFB7E" w14:textId="77777777" w:rsidR="002233F7" w:rsidRPr="007E650E" w:rsidRDefault="002233F7" w:rsidP="00CA4523">
      <w:pPr>
        <w:pStyle w:val="ListParagraph"/>
        <w:spacing w:after="0" w:line="240" w:lineRule="auto"/>
      </w:pPr>
      <w:r w:rsidRPr="007E650E">
        <w:t>Explain in this narrative how the project will achieve the goals identified in the performance goal matrix.</w:t>
      </w:r>
    </w:p>
    <w:p w14:paraId="7139128C" w14:textId="77777777" w:rsidR="002233F7" w:rsidRPr="007E650E" w:rsidRDefault="002233F7" w:rsidP="00CA4523">
      <w:pPr>
        <w:pStyle w:val="ListParagraph"/>
        <w:spacing w:after="0" w:line="240" w:lineRule="auto"/>
      </w:pPr>
      <w:r w:rsidRPr="007E650E">
        <w:t xml:space="preserve">Describe how the objectives, activities, outcomes, and major milestones will be achieved. </w:t>
      </w:r>
    </w:p>
    <w:p w14:paraId="358975C7" w14:textId="77777777" w:rsidR="002233F7" w:rsidRPr="007E650E" w:rsidRDefault="002233F7" w:rsidP="00CA4523">
      <w:pPr>
        <w:pStyle w:val="ListParagraph"/>
        <w:spacing w:after="0" w:line="240" w:lineRule="auto"/>
      </w:pPr>
      <w:r w:rsidRPr="007E650E">
        <w:lastRenderedPageBreak/>
        <w:t xml:space="preserve">Describe what specific results the project plans to achieve </w:t>
      </w:r>
      <w:proofErr w:type="gramStart"/>
      <w:r w:rsidRPr="007E650E">
        <w:t>including</w:t>
      </w:r>
      <w:proofErr w:type="gramEnd"/>
      <w:r w:rsidRPr="007E650E">
        <w:t xml:space="preserve"> anticipated impacts this project will have for the target population(s).</w:t>
      </w:r>
    </w:p>
    <w:p w14:paraId="757822F0" w14:textId="77777777" w:rsidR="002233F7" w:rsidRPr="007E650E" w:rsidRDefault="002233F7" w:rsidP="00CA4523">
      <w:pPr>
        <w:pStyle w:val="ListParagraph"/>
        <w:spacing w:after="0" w:line="240" w:lineRule="auto"/>
      </w:pPr>
      <w:r w:rsidRPr="007E650E">
        <w:t>Identify and describe anticipated employment and job quality outcomes for the target population(s).</w:t>
      </w:r>
    </w:p>
    <w:p w14:paraId="596B61CC" w14:textId="6C25A162" w:rsidR="008544AA" w:rsidRPr="007E650E" w:rsidRDefault="002233F7" w:rsidP="002233F7">
      <w:pPr>
        <w:pStyle w:val="ListParagraph"/>
      </w:pPr>
      <w:r w:rsidRPr="007E650E">
        <w:t>Describe how planned services will ensure long</w:t>
      </w:r>
      <w:r w:rsidR="00D86358" w:rsidRPr="007E650E">
        <w:t>-</w:t>
      </w:r>
      <w:r w:rsidRPr="007E650E">
        <w:t>term job retention for the target population.</w:t>
      </w:r>
    </w:p>
    <w:p w14:paraId="3814A770" w14:textId="2D1AE150" w:rsidR="008544AA" w:rsidRPr="007E650E" w:rsidRDefault="003869E0" w:rsidP="002E4765">
      <w:pPr>
        <w:pStyle w:val="Heading5"/>
      </w:pPr>
      <w:r w:rsidRPr="007E650E">
        <w:t xml:space="preserve">Exhibit A – Project Narrative, Section 5: </w:t>
      </w:r>
      <w:r w:rsidR="002233F7" w:rsidRPr="007E650E">
        <w:t>Local Collaboration</w:t>
      </w:r>
      <w:r w:rsidRPr="007E650E">
        <w:t xml:space="preserve"> </w:t>
      </w:r>
      <w:r w:rsidR="008544AA" w:rsidRPr="007E650E">
        <w:t xml:space="preserve">(Maximum </w:t>
      </w:r>
      <w:r w:rsidR="002233F7" w:rsidRPr="007E650E">
        <w:t>15</w:t>
      </w:r>
      <w:r w:rsidR="008544AA" w:rsidRPr="007E650E">
        <w:t xml:space="preserve"> points)</w:t>
      </w:r>
    </w:p>
    <w:p w14:paraId="0B6848E2" w14:textId="6DF5DAAA" w:rsidR="008544AA" w:rsidRPr="007E650E" w:rsidRDefault="008F564F" w:rsidP="008F564F">
      <w:pPr>
        <w:pStyle w:val="BodyText"/>
        <w:rPr>
          <w:b/>
        </w:rPr>
      </w:pPr>
      <w:r w:rsidRPr="007E650E">
        <w:rPr>
          <w:b/>
          <w:i/>
          <w:iCs/>
        </w:rPr>
        <w:t>5</w:t>
      </w:r>
      <w:r w:rsidR="008544AA" w:rsidRPr="007E650E">
        <w:rPr>
          <w:b/>
          <w:i/>
          <w:iCs/>
        </w:rPr>
        <w:t xml:space="preserve">.1. </w:t>
      </w:r>
      <w:r w:rsidR="002233F7" w:rsidRPr="007E650E">
        <w:rPr>
          <w:b/>
          <w:i/>
          <w:iCs/>
        </w:rPr>
        <w:t>Local Collaboration</w:t>
      </w:r>
      <w:r w:rsidR="008544AA" w:rsidRPr="007E650E">
        <w:rPr>
          <w:b/>
        </w:rPr>
        <w:t xml:space="preserve"> </w:t>
      </w:r>
      <w:r w:rsidR="008544AA" w:rsidRPr="007E650E">
        <w:t>(Score range 0–</w:t>
      </w:r>
      <w:r w:rsidR="002233F7" w:rsidRPr="007E650E">
        <w:t>15</w:t>
      </w:r>
      <w:r w:rsidR="008544AA" w:rsidRPr="007E650E">
        <w:t xml:space="preserve"> points)</w:t>
      </w:r>
    </w:p>
    <w:p w14:paraId="0F5FF116" w14:textId="06F48E16" w:rsidR="002233F7" w:rsidRPr="007E650E" w:rsidRDefault="002233F7" w:rsidP="00CA4523">
      <w:pPr>
        <w:pStyle w:val="ListParagraph"/>
        <w:spacing w:after="0" w:line="240" w:lineRule="auto"/>
      </w:pPr>
      <w:r w:rsidRPr="007E650E">
        <w:t xml:space="preserve">Describe how you have secured community support and successfully established </w:t>
      </w:r>
      <w:proofErr w:type="gramStart"/>
      <w:r w:rsidRPr="007E650E">
        <w:t>linkages</w:t>
      </w:r>
      <w:proofErr w:type="gramEnd"/>
      <w:r w:rsidRPr="007E650E">
        <w:t xml:space="preserve"> with other agencies (identify each agency) to provide services to the population. Describe the agencies</w:t>
      </w:r>
      <w:r w:rsidR="000D5ACF">
        <w:t>'</w:t>
      </w:r>
      <w:r w:rsidRPr="007E650E">
        <w:t xml:space="preserve"> roles/responsibilities and any formal or informal agreements that are in place. </w:t>
      </w:r>
    </w:p>
    <w:p w14:paraId="6EB08CD7" w14:textId="2DDB2CF7" w:rsidR="002233F7" w:rsidRPr="007E650E" w:rsidRDefault="002233F7" w:rsidP="00CA4523">
      <w:pPr>
        <w:pStyle w:val="ListParagraph"/>
        <w:spacing w:after="0" w:line="240" w:lineRule="auto"/>
      </w:pPr>
      <w:r w:rsidRPr="007E650E">
        <w:t xml:space="preserve">Demonstrate your ability to secure community support, including local officials, employers, Local Workforce Investment Areas, and organizations of and for the </w:t>
      </w:r>
      <w:r w:rsidR="00D86358" w:rsidRPr="007E650E">
        <w:t>D</w:t>
      </w:r>
      <w:proofErr w:type="spellStart"/>
      <w:r w:rsidR="00D86358" w:rsidRPr="007E650E">
        <w:rPr>
          <w:lang w:val="en"/>
        </w:rPr>
        <w:t>eaf</w:t>
      </w:r>
      <w:proofErr w:type="spellEnd"/>
      <w:r w:rsidR="00D86358" w:rsidRPr="007E650E">
        <w:rPr>
          <w:lang w:val="en"/>
        </w:rPr>
        <w:t xml:space="preserve"> and hard of hearing</w:t>
      </w:r>
      <w:r w:rsidRPr="007E650E">
        <w:t xml:space="preserve">. </w:t>
      </w:r>
    </w:p>
    <w:p w14:paraId="0618089F" w14:textId="77777777" w:rsidR="002233F7" w:rsidRPr="007E650E" w:rsidRDefault="002233F7" w:rsidP="00CA4523">
      <w:pPr>
        <w:pStyle w:val="ListParagraph"/>
        <w:spacing w:after="0" w:line="240" w:lineRule="auto"/>
      </w:pPr>
      <w:r w:rsidRPr="007E650E">
        <w:t>Describe how the project will partner with EDD and Local Workforce Development Areas to strengthen collaboration, increase strategic co-enrollment, and ensure equal access to workforce programs and training.</w:t>
      </w:r>
    </w:p>
    <w:p w14:paraId="630F809E" w14:textId="7D3D3D82" w:rsidR="002233F7" w:rsidRPr="007E650E" w:rsidRDefault="002233F7" w:rsidP="00CA4523">
      <w:pPr>
        <w:pStyle w:val="ListParagraph"/>
        <w:spacing w:after="0" w:line="240" w:lineRule="auto"/>
      </w:pPr>
      <w:r w:rsidRPr="007E650E">
        <w:t xml:space="preserve">Describe how the project will provide services to address the needs of the target population, including coordinating with partners and co-enrolling when appropriate to ensure equal access to a holistic suite of </w:t>
      </w:r>
      <w:r w:rsidR="00D86358" w:rsidRPr="007E650E">
        <w:t>wrap-around</w:t>
      </w:r>
      <w:r w:rsidRPr="007E650E">
        <w:t xml:space="preserve"> support, case management, training, and supportive services.</w:t>
      </w:r>
    </w:p>
    <w:p w14:paraId="355424E1" w14:textId="2454A405" w:rsidR="008544AA" w:rsidRPr="007E650E" w:rsidRDefault="002233F7" w:rsidP="002233F7">
      <w:pPr>
        <w:pStyle w:val="ListParagraph"/>
        <w:rPr>
          <w:b/>
          <w:bCs/>
        </w:rPr>
      </w:pPr>
      <w:r w:rsidRPr="007E650E">
        <w:t>Describe how your organization will coordinate with the California Department of Social Services and the Department of Rehabilitation to ensure that specialized employment services are a supplement or alternative to those services provided and/or funded by those state agencies.</w:t>
      </w:r>
    </w:p>
    <w:p w14:paraId="7817AB6B" w14:textId="77777777" w:rsidR="008544AA" w:rsidRPr="007E650E" w:rsidRDefault="008544AA" w:rsidP="008544AA">
      <w:pPr>
        <w:spacing w:after="0" w:line="240" w:lineRule="auto"/>
        <w:contextualSpacing/>
        <w:rPr>
          <w:rFonts w:eastAsia="Calibri" w:cstheme="minorHAnsi"/>
          <w:sz w:val="24"/>
          <w:szCs w:val="24"/>
          <w:lang w:val="en"/>
        </w:rPr>
      </w:pPr>
    </w:p>
    <w:p w14:paraId="3F18265A" w14:textId="3D1CC663" w:rsidR="008544AA" w:rsidRPr="007E650E" w:rsidRDefault="003869E0" w:rsidP="002E4765">
      <w:pPr>
        <w:pStyle w:val="Heading5"/>
      </w:pPr>
      <w:r w:rsidRPr="007E650E">
        <w:t xml:space="preserve">Exhibit A – Project Narrative, Section 6: </w:t>
      </w:r>
      <w:r w:rsidR="002233F7" w:rsidRPr="007E650E">
        <w:t>Resource Utilization</w:t>
      </w:r>
      <w:r w:rsidRPr="007E650E">
        <w:t xml:space="preserve"> </w:t>
      </w:r>
      <w:r w:rsidR="008544AA" w:rsidRPr="007E650E">
        <w:t xml:space="preserve">(Maximum </w:t>
      </w:r>
      <w:r w:rsidR="002233F7" w:rsidRPr="007E650E">
        <w:t>10</w:t>
      </w:r>
      <w:r w:rsidR="008544AA" w:rsidRPr="007E650E">
        <w:t xml:space="preserve"> Points)</w:t>
      </w:r>
    </w:p>
    <w:p w14:paraId="1C84158D" w14:textId="06A7DB42" w:rsidR="008544AA" w:rsidRPr="007E650E" w:rsidRDefault="00530AD8" w:rsidP="00530AD8">
      <w:pPr>
        <w:pStyle w:val="BodyText"/>
        <w:rPr>
          <w:b/>
        </w:rPr>
      </w:pPr>
      <w:r w:rsidRPr="007E650E">
        <w:rPr>
          <w:b/>
          <w:i/>
          <w:iCs/>
        </w:rPr>
        <w:t>6</w:t>
      </w:r>
      <w:r w:rsidR="008544AA" w:rsidRPr="007E650E">
        <w:rPr>
          <w:b/>
          <w:i/>
          <w:iCs/>
        </w:rPr>
        <w:t xml:space="preserve">.1. </w:t>
      </w:r>
      <w:r w:rsidR="002233F7" w:rsidRPr="007E650E">
        <w:rPr>
          <w:b/>
          <w:i/>
          <w:iCs/>
        </w:rPr>
        <w:t>Resource Utilization Chart</w:t>
      </w:r>
      <w:r w:rsidR="008544AA" w:rsidRPr="007E650E">
        <w:rPr>
          <w:b/>
        </w:rPr>
        <w:t xml:space="preserve"> </w:t>
      </w:r>
      <w:r w:rsidR="008544AA" w:rsidRPr="007E650E">
        <w:t>(Score range 0–</w:t>
      </w:r>
      <w:r w:rsidR="002233F7" w:rsidRPr="007E650E">
        <w:t>3</w:t>
      </w:r>
      <w:r w:rsidR="008544AA" w:rsidRPr="007E650E">
        <w:t xml:space="preserve"> points)</w:t>
      </w:r>
    </w:p>
    <w:p w14:paraId="3C4E54C8" w14:textId="56A5DAB1" w:rsidR="008544AA" w:rsidRPr="007E650E" w:rsidRDefault="002233F7" w:rsidP="002233F7">
      <w:pPr>
        <w:pStyle w:val="ListParagraph"/>
      </w:pPr>
      <w:r w:rsidRPr="007E650E">
        <w:rPr>
          <w:lang w:val="en"/>
        </w:rPr>
        <w:t>Complete the Resource Utilization Chart that is provided in Exhibit A.</w:t>
      </w:r>
    </w:p>
    <w:p w14:paraId="2C4A4FBC" w14:textId="379439A0" w:rsidR="008544AA" w:rsidRPr="007E650E" w:rsidRDefault="00530AD8" w:rsidP="00530AD8">
      <w:pPr>
        <w:pStyle w:val="BodyText"/>
      </w:pPr>
      <w:r w:rsidRPr="007E650E">
        <w:rPr>
          <w:b/>
          <w:bCs/>
          <w:i/>
          <w:iCs/>
        </w:rPr>
        <w:t>6</w:t>
      </w:r>
      <w:r w:rsidR="008544AA" w:rsidRPr="007E650E">
        <w:rPr>
          <w:b/>
          <w:bCs/>
          <w:i/>
          <w:iCs/>
        </w:rPr>
        <w:t xml:space="preserve">.2. </w:t>
      </w:r>
      <w:r w:rsidR="002233F7" w:rsidRPr="007E650E">
        <w:rPr>
          <w:b/>
          <w:bCs/>
          <w:i/>
          <w:iCs/>
        </w:rPr>
        <w:t>Partnerships and Leveraged Resource Strategies</w:t>
      </w:r>
      <w:r w:rsidR="008544AA" w:rsidRPr="007E650E">
        <w:t xml:space="preserve"> (Score range 0–</w:t>
      </w:r>
      <w:r w:rsidR="002233F7" w:rsidRPr="007E650E">
        <w:t>4</w:t>
      </w:r>
      <w:r w:rsidR="008544AA" w:rsidRPr="007E650E">
        <w:t xml:space="preserve"> points)</w:t>
      </w:r>
    </w:p>
    <w:p w14:paraId="02011A02" w14:textId="77777777" w:rsidR="002233F7" w:rsidRPr="007E650E" w:rsidRDefault="002233F7" w:rsidP="00CA4523">
      <w:pPr>
        <w:pStyle w:val="ListParagraph"/>
        <w:spacing w:after="0" w:line="240" w:lineRule="auto"/>
        <w:rPr>
          <w:lang w:val="en"/>
        </w:rPr>
      </w:pPr>
      <w:r w:rsidRPr="007E650E">
        <w:rPr>
          <w:lang w:val="en"/>
        </w:rPr>
        <w:t>Describe how each provider identified in the chart above will contribute to the goals of the project, ensure non-duplication of services, and provide future sustainability.</w:t>
      </w:r>
    </w:p>
    <w:p w14:paraId="7F4F7C50" w14:textId="77777777" w:rsidR="002233F7" w:rsidRPr="007E650E" w:rsidRDefault="002233F7" w:rsidP="00CA4523">
      <w:pPr>
        <w:pStyle w:val="ListParagraph"/>
        <w:spacing w:after="0" w:line="240" w:lineRule="auto"/>
        <w:rPr>
          <w:lang w:val="en"/>
        </w:rPr>
      </w:pPr>
      <w:r w:rsidRPr="007E650E">
        <w:rPr>
          <w:lang w:val="en"/>
        </w:rPr>
        <w:t>Describe any direct grants you have received within the past four years for providing services to the target population. Describe any connection those grants will have with this proposal.</w:t>
      </w:r>
    </w:p>
    <w:p w14:paraId="2761151C" w14:textId="77777777" w:rsidR="002233F7" w:rsidRPr="007E650E" w:rsidRDefault="002233F7" w:rsidP="00CA4523">
      <w:pPr>
        <w:pStyle w:val="ListParagraph"/>
        <w:spacing w:after="0" w:line="240" w:lineRule="auto"/>
        <w:rPr>
          <w:lang w:val="en"/>
        </w:rPr>
      </w:pPr>
      <w:r w:rsidRPr="007E650E">
        <w:rPr>
          <w:lang w:val="en"/>
        </w:rPr>
        <w:lastRenderedPageBreak/>
        <w:t xml:space="preserve">Describe how you will develop working relationships with other partners that will enhance the success of participants based on the needs of the target population. </w:t>
      </w:r>
    </w:p>
    <w:p w14:paraId="527389F2" w14:textId="77777777" w:rsidR="002233F7" w:rsidRPr="007E650E" w:rsidRDefault="002233F7" w:rsidP="00CA4523">
      <w:pPr>
        <w:pStyle w:val="ListParagraph"/>
        <w:spacing w:after="0" w:line="240" w:lineRule="auto"/>
        <w:rPr>
          <w:lang w:val="en"/>
        </w:rPr>
      </w:pPr>
      <w:r w:rsidRPr="007E650E">
        <w:rPr>
          <w:lang w:val="en"/>
        </w:rPr>
        <w:t xml:space="preserve">Describe how this proposal will build a collaboration with other agencies, workforce partners, and CBOs to support job placement and close gaps in providing training to the target population. </w:t>
      </w:r>
    </w:p>
    <w:p w14:paraId="357FDA4A" w14:textId="77777777" w:rsidR="002233F7" w:rsidRPr="007E650E" w:rsidRDefault="002233F7" w:rsidP="00CA4523">
      <w:pPr>
        <w:pStyle w:val="ListParagraph"/>
        <w:spacing w:after="0" w:line="240" w:lineRule="auto"/>
        <w:rPr>
          <w:lang w:val="en"/>
        </w:rPr>
      </w:pPr>
      <w:r w:rsidRPr="007E650E">
        <w:rPr>
          <w:lang w:val="en"/>
        </w:rPr>
        <w:t xml:space="preserve">Explain how the partnerships will facilitate the provision of a full array of wrap-around support and case management services tailored to the needs of the target population in the proposed area. </w:t>
      </w:r>
    </w:p>
    <w:p w14:paraId="6F7EC3C1" w14:textId="00007D52" w:rsidR="008544AA" w:rsidRPr="007E650E" w:rsidRDefault="002233F7" w:rsidP="002233F7">
      <w:pPr>
        <w:pStyle w:val="ListParagraph"/>
      </w:pPr>
      <w:r w:rsidRPr="007E650E">
        <w:rPr>
          <w:lang w:val="en"/>
        </w:rPr>
        <w:t xml:space="preserve">Demonstrate that strong relationships already exist or are in the process of being established that provide opportunities for innovation, test new approaches, and </w:t>
      </w:r>
      <w:proofErr w:type="gramStart"/>
      <w:r w:rsidRPr="007E650E">
        <w:rPr>
          <w:lang w:val="en"/>
        </w:rPr>
        <w:t>adapt</w:t>
      </w:r>
      <w:proofErr w:type="gramEnd"/>
      <w:r w:rsidRPr="007E650E">
        <w:rPr>
          <w:lang w:val="en"/>
        </w:rPr>
        <w:t xml:space="preserve"> best practices to provide the target population with opportunities to gain in-demand skills and obtain high-quality employment.</w:t>
      </w:r>
    </w:p>
    <w:p w14:paraId="54B63566" w14:textId="6BABF80F" w:rsidR="002233F7" w:rsidRPr="007E650E" w:rsidRDefault="002233F7" w:rsidP="002233F7">
      <w:r w:rsidRPr="007E650E">
        <w:rPr>
          <w:b/>
          <w:bCs/>
          <w:i/>
          <w:iCs/>
        </w:rPr>
        <w:t>6.3. Employer Outreach and Engagement</w:t>
      </w:r>
      <w:r w:rsidRPr="007E650E">
        <w:t xml:space="preserve"> (Score range 0–3 points)</w:t>
      </w:r>
    </w:p>
    <w:p w14:paraId="3EB53FFD" w14:textId="385F43DC" w:rsidR="002233F7" w:rsidRPr="007E650E" w:rsidRDefault="002233F7" w:rsidP="00CA4523">
      <w:pPr>
        <w:pStyle w:val="ListParagraph"/>
        <w:spacing w:after="0" w:line="240" w:lineRule="auto"/>
        <w:rPr>
          <w:lang w:val="en"/>
        </w:rPr>
      </w:pPr>
      <w:r w:rsidRPr="007E650E">
        <w:rPr>
          <w:lang w:val="en"/>
        </w:rPr>
        <w:t xml:space="preserve">Describe how the project will identify and develop strategic partnerships with </w:t>
      </w:r>
      <w:proofErr w:type="gramStart"/>
      <w:r w:rsidRPr="007E650E">
        <w:rPr>
          <w:lang w:val="en"/>
        </w:rPr>
        <w:t>employers</w:t>
      </w:r>
      <w:proofErr w:type="gramEnd"/>
      <w:r w:rsidRPr="007E650E">
        <w:rPr>
          <w:lang w:val="en"/>
        </w:rPr>
        <w:t xml:space="preserve"> willing and able to hire participants. </w:t>
      </w:r>
    </w:p>
    <w:p w14:paraId="1B900A94" w14:textId="6F183428" w:rsidR="002233F7" w:rsidRPr="007E650E" w:rsidRDefault="002233F7" w:rsidP="002233F7">
      <w:pPr>
        <w:pStyle w:val="ListParagraph"/>
        <w:rPr>
          <w:lang w:val="en"/>
        </w:rPr>
      </w:pPr>
      <w:r w:rsidRPr="007E650E">
        <w:rPr>
          <w:lang w:val="en"/>
        </w:rPr>
        <w:t>Describe the outreach and engagement strategies for seeking out employers who provide good jobs, such as those that are full-time, pay high wages (including</w:t>
      </w:r>
      <w:r w:rsidR="007B7094" w:rsidRPr="007E650E">
        <w:rPr>
          <w:lang w:val="en"/>
        </w:rPr>
        <w:t xml:space="preserve"> the availability of</w:t>
      </w:r>
      <w:r w:rsidRPr="007E650E">
        <w:rPr>
          <w:lang w:val="en"/>
        </w:rPr>
        <w:t xml:space="preserve"> benefits), have a long or indefinite duration, and/or are in occupations with the possibility of advancement.</w:t>
      </w:r>
    </w:p>
    <w:p w14:paraId="616E4617" w14:textId="40597674" w:rsidR="002233F7" w:rsidRPr="007E650E" w:rsidRDefault="002233F7" w:rsidP="004F472E">
      <w:pPr>
        <w:pStyle w:val="Heading5"/>
      </w:pPr>
      <w:r w:rsidRPr="007E650E">
        <w:t xml:space="preserve">Exhibit A – Project Narrative, Section </w:t>
      </w:r>
      <w:r w:rsidR="00FA04E7" w:rsidRPr="007E650E">
        <w:t>7</w:t>
      </w:r>
      <w:r w:rsidRPr="007E650E">
        <w:t xml:space="preserve">: </w:t>
      </w:r>
      <w:r w:rsidR="00FA04E7" w:rsidRPr="007E650E">
        <w:t>Statement of Capabilities</w:t>
      </w:r>
      <w:r w:rsidRPr="007E650E">
        <w:t xml:space="preserve"> (Maximum </w:t>
      </w:r>
      <w:r w:rsidR="00FA04E7" w:rsidRPr="007E650E">
        <w:t>20</w:t>
      </w:r>
      <w:r w:rsidRPr="007E650E">
        <w:t xml:space="preserve"> points)</w:t>
      </w:r>
    </w:p>
    <w:p w14:paraId="5E83D8C4" w14:textId="76E17273" w:rsidR="002233F7" w:rsidRPr="007E650E" w:rsidRDefault="00FA04E7" w:rsidP="002233F7">
      <w:pPr>
        <w:pStyle w:val="BodyText"/>
        <w:rPr>
          <w:b/>
        </w:rPr>
      </w:pPr>
      <w:r w:rsidRPr="007E650E">
        <w:rPr>
          <w:b/>
          <w:i/>
          <w:iCs/>
        </w:rPr>
        <w:t>7</w:t>
      </w:r>
      <w:r w:rsidR="002233F7" w:rsidRPr="007E650E">
        <w:rPr>
          <w:b/>
          <w:i/>
          <w:iCs/>
        </w:rPr>
        <w:t xml:space="preserve">.1. </w:t>
      </w:r>
      <w:r w:rsidRPr="007E650E">
        <w:rPr>
          <w:b/>
        </w:rPr>
        <w:t>Capability and Knowledge</w:t>
      </w:r>
      <w:r w:rsidR="002233F7" w:rsidRPr="007E650E">
        <w:rPr>
          <w:b/>
        </w:rPr>
        <w:t xml:space="preserve"> </w:t>
      </w:r>
      <w:r w:rsidR="002233F7" w:rsidRPr="007E650E">
        <w:t>(Score range 0–1</w:t>
      </w:r>
      <w:r w:rsidRPr="007E650E">
        <w:t>0</w:t>
      </w:r>
      <w:r w:rsidR="002233F7" w:rsidRPr="007E650E">
        <w:t xml:space="preserve"> points)</w:t>
      </w:r>
    </w:p>
    <w:p w14:paraId="5D2F9A4F" w14:textId="77777777" w:rsidR="00FA04E7" w:rsidRPr="007E650E" w:rsidRDefault="00FA04E7" w:rsidP="00CA4523">
      <w:pPr>
        <w:pStyle w:val="ListParagraph"/>
        <w:spacing w:after="0" w:line="240" w:lineRule="auto"/>
      </w:pPr>
      <w:r w:rsidRPr="007E650E">
        <w:t xml:space="preserve">Demonstrate or identify opportunities to expand capabilities and knowledge in conducting and administering programs for the target population. </w:t>
      </w:r>
    </w:p>
    <w:p w14:paraId="063FAD1B" w14:textId="77777777" w:rsidR="00FA04E7" w:rsidRPr="007E650E" w:rsidRDefault="00FA04E7" w:rsidP="00CA4523">
      <w:pPr>
        <w:pStyle w:val="ListParagraph"/>
        <w:spacing w:after="0" w:line="240" w:lineRule="auto"/>
      </w:pPr>
      <w:r w:rsidRPr="007E650E">
        <w:t>Identify opportunities to use new approaches to serve the target population through new partnerships, staff development, and targeted outreach.</w:t>
      </w:r>
    </w:p>
    <w:p w14:paraId="53E0A792" w14:textId="4611DDB6" w:rsidR="00FA04E7" w:rsidRPr="007E650E" w:rsidRDefault="00FA04E7" w:rsidP="00CA4523">
      <w:pPr>
        <w:pStyle w:val="ListParagraph"/>
        <w:spacing w:after="0" w:line="240" w:lineRule="auto"/>
      </w:pPr>
      <w:r w:rsidRPr="007E650E">
        <w:t>Describe the organization</w:t>
      </w:r>
      <w:r w:rsidR="000D5ACF">
        <w:t>'</w:t>
      </w:r>
      <w:r w:rsidRPr="007E650E">
        <w:t>s capability to conduct and administer a federally funded project.</w:t>
      </w:r>
    </w:p>
    <w:p w14:paraId="6C895FCE" w14:textId="77777777" w:rsidR="00FA04E7" w:rsidRPr="007E650E" w:rsidRDefault="00FA04E7" w:rsidP="00CA4523">
      <w:pPr>
        <w:pStyle w:val="ListParagraph"/>
        <w:spacing w:after="0" w:line="240" w:lineRule="auto"/>
      </w:pPr>
      <w:r w:rsidRPr="007E650E">
        <w:t xml:space="preserve">Demonstrate capacity to collect and report financial and participant performance data as required </w:t>
      </w:r>
      <w:proofErr w:type="gramStart"/>
      <w:r w:rsidRPr="007E650E">
        <w:t>per</w:t>
      </w:r>
      <w:proofErr w:type="gramEnd"/>
      <w:r w:rsidRPr="007E650E">
        <w:t xml:space="preserve"> the SFP.</w:t>
      </w:r>
    </w:p>
    <w:p w14:paraId="6D2D64E2" w14:textId="77777777" w:rsidR="00FA04E7" w:rsidRPr="007E650E" w:rsidRDefault="00FA04E7" w:rsidP="00CA4523">
      <w:pPr>
        <w:pStyle w:val="ListParagraph"/>
        <w:spacing w:after="0" w:line="240" w:lineRule="auto"/>
      </w:pPr>
      <w:r w:rsidRPr="007E650E">
        <w:t>Describe past or present projects that prepared participants for good jobs and how grant funds will build on these experiences.</w:t>
      </w:r>
    </w:p>
    <w:p w14:paraId="01842678" w14:textId="77777777" w:rsidR="00FA04E7" w:rsidRPr="007E650E" w:rsidRDefault="00FA04E7" w:rsidP="00CA4523">
      <w:pPr>
        <w:pStyle w:val="ListParagraph"/>
        <w:spacing w:after="0" w:line="240" w:lineRule="auto"/>
      </w:pPr>
      <w:r w:rsidRPr="007E650E">
        <w:t>Detail performance from previous grants including planned/actual number served, planned/actual placed into employment, types of employment, or other pertinent information relevant to the success of this proposal.</w:t>
      </w:r>
    </w:p>
    <w:p w14:paraId="031FAD13" w14:textId="45C48084" w:rsidR="002233F7" w:rsidRPr="007E650E" w:rsidRDefault="00FA04E7" w:rsidP="00FA04E7">
      <w:pPr>
        <w:pStyle w:val="ListParagraph"/>
      </w:pPr>
      <w:r w:rsidRPr="007E650E">
        <w:t>Describe past success in preparing participants for jobs. Provide concrete performance outcomes.</w:t>
      </w:r>
      <w:r w:rsidR="002233F7" w:rsidRPr="007E650E">
        <w:t xml:space="preserve"> </w:t>
      </w:r>
    </w:p>
    <w:p w14:paraId="2A0EB534" w14:textId="77777777" w:rsidR="004F472E" w:rsidRPr="007E650E" w:rsidRDefault="004F472E">
      <w:pPr>
        <w:rPr>
          <w:rFonts w:ascii="Calibri" w:eastAsia="Calibri" w:hAnsi="Calibri" w:cstheme="minorHAnsi"/>
          <w:b/>
          <w:sz w:val="24"/>
          <w:szCs w:val="24"/>
          <w:lang w:val="en"/>
        </w:rPr>
      </w:pPr>
      <w:r w:rsidRPr="007E650E">
        <w:rPr>
          <w:rFonts w:ascii="Calibri" w:eastAsia="Calibri" w:hAnsi="Calibri" w:cstheme="minorHAnsi"/>
          <w:b/>
          <w:sz w:val="24"/>
          <w:szCs w:val="24"/>
          <w:lang w:val="en"/>
        </w:rPr>
        <w:br w:type="page"/>
      </w:r>
    </w:p>
    <w:p w14:paraId="47CF9F35" w14:textId="058DC016" w:rsidR="00FA04E7" w:rsidRPr="007E650E" w:rsidRDefault="00FA04E7" w:rsidP="00FA04E7">
      <w:r w:rsidRPr="007E650E">
        <w:rPr>
          <w:rFonts w:ascii="Calibri" w:eastAsia="Calibri" w:hAnsi="Calibri" w:cstheme="minorHAnsi"/>
          <w:b/>
          <w:sz w:val="24"/>
          <w:szCs w:val="24"/>
          <w:lang w:val="en"/>
        </w:rPr>
        <w:lastRenderedPageBreak/>
        <w:t xml:space="preserve">7.2. Staffing and Organizational Capacity </w:t>
      </w:r>
      <w:r w:rsidRPr="007E650E">
        <w:rPr>
          <w:rFonts w:ascii="Calibri" w:eastAsia="Calibri" w:hAnsi="Calibri" w:cstheme="minorHAnsi"/>
          <w:bCs/>
          <w:sz w:val="24"/>
          <w:szCs w:val="24"/>
          <w:lang w:val="en"/>
        </w:rPr>
        <w:t>(Score range 0–10 points)</w:t>
      </w:r>
    </w:p>
    <w:p w14:paraId="31A3D97C" w14:textId="77777777" w:rsidR="00FA04E7" w:rsidRPr="007E650E" w:rsidRDefault="00FA04E7" w:rsidP="00CA4523">
      <w:pPr>
        <w:pStyle w:val="ListParagraph"/>
        <w:spacing w:after="0" w:line="240" w:lineRule="auto"/>
      </w:pPr>
      <w:r w:rsidRPr="007E650E">
        <w:t xml:space="preserve">Describe the organizational infrastructure and capacity that demonstrates the ability to provide services to the target population. </w:t>
      </w:r>
    </w:p>
    <w:p w14:paraId="75DB2F6D" w14:textId="77777777" w:rsidR="00FA04E7" w:rsidRPr="007E650E" w:rsidRDefault="00FA04E7" w:rsidP="00CA4523">
      <w:pPr>
        <w:pStyle w:val="ListParagraph"/>
        <w:spacing w:after="0" w:line="240" w:lineRule="auto"/>
      </w:pPr>
      <w:r w:rsidRPr="007E650E">
        <w:t xml:space="preserve">Include the proposed staffing plan for this project and detail staff experience working with the target population in the identified capacity. </w:t>
      </w:r>
    </w:p>
    <w:p w14:paraId="74B77071" w14:textId="77777777" w:rsidR="00FA04E7" w:rsidRPr="007E650E" w:rsidRDefault="00FA04E7" w:rsidP="00CA4523">
      <w:pPr>
        <w:pStyle w:val="ListParagraph"/>
        <w:spacing w:after="0" w:line="240" w:lineRule="auto"/>
      </w:pPr>
      <w:r w:rsidRPr="007E650E">
        <w:t>List and describe all key positions that will carry out the project.</w:t>
      </w:r>
    </w:p>
    <w:p w14:paraId="3C618507" w14:textId="05F2C0A5" w:rsidR="00FA04E7" w:rsidRPr="007E650E" w:rsidRDefault="00FA04E7" w:rsidP="00CA4523">
      <w:pPr>
        <w:pStyle w:val="ListParagraph"/>
        <w:spacing w:after="0" w:line="240" w:lineRule="auto"/>
      </w:pPr>
      <w:r w:rsidRPr="007E650E">
        <w:t>Provide an organizational structure to show the team</w:t>
      </w:r>
      <w:r w:rsidR="000D5ACF">
        <w:t>'</w:t>
      </w:r>
      <w:r w:rsidRPr="007E650E">
        <w:t xml:space="preserve">s competency and ability to meet the administrative requirements of the SFP. </w:t>
      </w:r>
    </w:p>
    <w:p w14:paraId="04393FA1" w14:textId="77777777" w:rsidR="00FA04E7" w:rsidRPr="007E650E" w:rsidRDefault="00FA04E7" w:rsidP="00CA4523">
      <w:pPr>
        <w:pStyle w:val="ListParagraph"/>
        <w:spacing w:after="0" w:line="240" w:lineRule="auto"/>
      </w:pPr>
      <w:r w:rsidRPr="007E650E">
        <w:t>If staff is not currently identified, describe the process of identifying, hiring, or appointing key staff, the timeline, and the training provided during the project start-up period, usually the first 60 calendar days.</w:t>
      </w:r>
    </w:p>
    <w:p w14:paraId="09282365" w14:textId="27538988" w:rsidR="00FA04E7" w:rsidRPr="007E650E" w:rsidRDefault="00FA04E7" w:rsidP="007B7094">
      <w:pPr>
        <w:pStyle w:val="ListParagraph"/>
      </w:pPr>
      <w:r w:rsidRPr="007E650E">
        <w:t>Describe the organization</w:t>
      </w:r>
      <w:r w:rsidR="000D5ACF">
        <w:t>'</w:t>
      </w:r>
      <w:r w:rsidRPr="007E650E">
        <w:t>s capacity to lead all mandatory and optional partners.</w:t>
      </w:r>
    </w:p>
    <w:p w14:paraId="16294736" w14:textId="29A9CA25" w:rsidR="00FA04E7" w:rsidRPr="007E650E" w:rsidRDefault="00FA04E7" w:rsidP="004F472E">
      <w:pPr>
        <w:pStyle w:val="Heading5"/>
      </w:pPr>
      <w:r w:rsidRPr="007E650E">
        <w:t xml:space="preserve"> Exhibit A – Project Narrative, Section 8: Budget Summary and Narrative (Maximum 10 Points)</w:t>
      </w:r>
    </w:p>
    <w:p w14:paraId="489D90C6" w14:textId="42FA019A" w:rsidR="00FA04E7" w:rsidRPr="007E650E" w:rsidRDefault="00FA04E7" w:rsidP="00FA04E7">
      <w:pPr>
        <w:pStyle w:val="BodyText"/>
        <w:rPr>
          <w:b/>
        </w:rPr>
      </w:pPr>
      <w:r w:rsidRPr="007E650E">
        <w:rPr>
          <w:b/>
          <w:i/>
          <w:iCs/>
        </w:rPr>
        <w:t>8.1. Budget Plan</w:t>
      </w:r>
      <w:r w:rsidRPr="007E650E">
        <w:rPr>
          <w:b/>
        </w:rPr>
        <w:t xml:space="preserve"> </w:t>
      </w:r>
      <w:r w:rsidRPr="007E650E">
        <w:t>(Score range 0–5 points)</w:t>
      </w:r>
    </w:p>
    <w:p w14:paraId="7B0ACF49" w14:textId="77777777" w:rsidR="00FA04E7" w:rsidRPr="007E650E" w:rsidRDefault="00FA04E7" w:rsidP="00CA4523">
      <w:pPr>
        <w:pStyle w:val="ListParagraph"/>
        <w:spacing w:after="0" w:line="240" w:lineRule="auto"/>
        <w:rPr>
          <w:lang w:val="en"/>
        </w:rPr>
      </w:pPr>
      <w:r w:rsidRPr="007E650E">
        <w:rPr>
          <w:lang w:val="en"/>
        </w:rPr>
        <w:t xml:space="preserve">Complete and attach the Budget Summary (Exhibit F). </w:t>
      </w:r>
    </w:p>
    <w:p w14:paraId="68BF1B8D" w14:textId="0D774024" w:rsidR="00FA04E7" w:rsidRPr="007E650E" w:rsidRDefault="00FA04E7" w:rsidP="00CA4523">
      <w:pPr>
        <w:pStyle w:val="ListParagraph"/>
        <w:spacing w:after="0" w:line="240" w:lineRule="auto"/>
        <w:rPr>
          <w:lang w:val="en"/>
        </w:rPr>
      </w:pPr>
      <w:r w:rsidRPr="007E650E">
        <w:rPr>
          <w:lang w:val="en"/>
        </w:rPr>
        <w:t xml:space="preserve">If applicable, complete and attach </w:t>
      </w:r>
      <w:r w:rsidR="00C21B2A" w:rsidRPr="007E650E">
        <w:rPr>
          <w:lang w:val="en"/>
        </w:rPr>
        <w:t xml:space="preserve">the </w:t>
      </w:r>
      <w:r w:rsidRPr="007E650E">
        <w:rPr>
          <w:lang w:val="en"/>
        </w:rPr>
        <w:t xml:space="preserve">Supplemental Budget (Exhibit G). </w:t>
      </w:r>
    </w:p>
    <w:p w14:paraId="0690F021" w14:textId="669D774E" w:rsidR="00FA04E7" w:rsidRPr="007E650E" w:rsidRDefault="00FA04E7" w:rsidP="00CA4523">
      <w:pPr>
        <w:pStyle w:val="ListParagraph"/>
        <w:spacing w:after="0" w:line="240" w:lineRule="auto"/>
        <w:rPr>
          <w:lang w:val="en"/>
        </w:rPr>
      </w:pPr>
      <w:r w:rsidRPr="007E650E">
        <w:rPr>
          <w:lang w:val="en"/>
        </w:rPr>
        <w:t xml:space="preserve">Explain how the proposed costs are necessary and reasonable in terms of benefits to </w:t>
      </w:r>
      <w:r w:rsidR="00C21B2A" w:rsidRPr="007E650E">
        <w:rPr>
          <w:lang w:val="en"/>
        </w:rPr>
        <w:t>the grant</w:t>
      </w:r>
      <w:r w:rsidRPr="007E650E">
        <w:rPr>
          <w:lang w:val="en"/>
        </w:rPr>
        <w:t>.</w:t>
      </w:r>
    </w:p>
    <w:p w14:paraId="0158D7CA" w14:textId="77777777" w:rsidR="00FA04E7" w:rsidRPr="007E650E" w:rsidRDefault="00FA04E7" w:rsidP="00CA4523">
      <w:pPr>
        <w:pStyle w:val="ListParagraph"/>
        <w:spacing w:after="0" w:line="240" w:lineRule="auto"/>
        <w:rPr>
          <w:lang w:val="en"/>
        </w:rPr>
      </w:pPr>
      <w:r w:rsidRPr="007E650E">
        <w:rPr>
          <w:lang w:val="en"/>
        </w:rPr>
        <w:t>Demonstrate that the project can leverage other resources to maximize the impact of the project, earn the maximum return on investment, and foster project replication and sustainability.</w:t>
      </w:r>
    </w:p>
    <w:p w14:paraId="485B23E5" w14:textId="77777777" w:rsidR="00FA04E7" w:rsidRPr="007E650E" w:rsidRDefault="00FA04E7" w:rsidP="00CA4523">
      <w:pPr>
        <w:pStyle w:val="ListParagraph"/>
        <w:spacing w:after="0" w:line="240" w:lineRule="auto"/>
        <w:rPr>
          <w:lang w:val="en"/>
        </w:rPr>
      </w:pPr>
      <w:r w:rsidRPr="007E650E">
        <w:rPr>
          <w:lang w:val="en"/>
        </w:rPr>
        <w:t xml:space="preserve">Explain how the project will </w:t>
      </w:r>
      <w:proofErr w:type="gramStart"/>
      <w:r w:rsidRPr="007E650E">
        <w:rPr>
          <w:lang w:val="en"/>
        </w:rPr>
        <w:t>braid</w:t>
      </w:r>
      <w:proofErr w:type="gramEnd"/>
      <w:r w:rsidRPr="007E650E">
        <w:rPr>
          <w:lang w:val="en"/>
        </w:rPr>
        <w:t xml:space="preserve"> funds, leverage human capital, and utilize other resources to maximize the success of the project.</w:t>
      </w:r>
    </w:p>
    <w:p w14:paraId="2F0120AD" w14:textId="4F6EC214" w:rsidR="00FA04E7" w:rsidRPr="007E650E" w:rsidRDefault="00FA04E7" w:rsidP="00FA04E7">
      <w:pPr>
        <w:pStyle w:val="ListParagraph"/>
        <w:rPr>
          <w:lang w:val="en"/>
        </w:rPr>
      </w:pPr>
      <w:r w:rsidRPr="007E650E">
        <w:rPr>
          <w:lang w:val="en"/>
        </w:rPr>
        <w:t>Explain the variety of sources, including, but not limited to, businesses, industry associations, labor organizations, CBOs, education, and training providers, and/or federal, state, and local government programs that the project will leverage.</w:t>
      </w:r>
    </w:p>
    <w:p w14:paraId="5FC7D192" w14:textId="671864A3" w:rsidR="00FA04E7" w:rsidRPr="007E650E" w:rsidRDefault="00FA04E7" w:rsidP="007B7094">
      <w:pPr>
        <w:pStyle w:val="BodyText"/>
      </w:pPr>
      <w:r w:rsidRPr="007E650E">
        <w:t>See the exhibit instructions below for detailed information on completing Exhibits F and G.</w:t>
      </w:r>
    </w:p>
    <w:p w14:paraId="0FBFBF7C" w14:textId="4AB74385" w:rsidR="00FA04E7" w:rsidRPr="007E650E" w:rsidRDefault="00FA04E7" w:rsidP="00FA04E7">
      <w:pPr>
        <w:pStyle w:val="BodyText"/>
      </w:pPr>
      <w:r w:rsidRPr="007E650E">
        <w:rPr>
          <w:b/>
          <w:bCs/>
          <w:i/>
          <w:iCs/>
        </w:rPr>
        <w:t xml:space="preserve">8.2. </w:t>
      </w:r>
      <w:r w:rsidRPr="007E650E">
        <w:rPr>
          <w:b/>
        </w:rPr>
        <w:t>Budget Cost Effectiveness</w:t>
      </w:r>
      <w:r w:rsidRPr="007E650E">
        <w:t xml:space="preserve"> (Score range 0–5 points)</w:t>
      </w:r>
    </w:p>
    <w:p w14:paraId="7CC7C184" w14:textId="77777777" w:rsidR="00FA04E7" w:rsidRPr="007E650E" w:rsidRDefault="00FA04E7" w:rsidP="00CA4523">
      <w:pPr>
        <w:pStyle w:val="ListParagraph"/>
        <w:spacing w:after="0" w:line="240" w:lineRule="auto"/>
        <w:rPr>
          <w:lang w:val="en"/>
        </w:rPr>
      </w:pPr>
      <w:r w:rsidRPr="007E650E">
        <w:rPr>
          <w:lang w:val="en"/>
        </w:rPr>
        <w:t xml:space="preserve">Complete and attach the Budget Narrative (Exhibit F2). </w:t>
      </w:r>
    </w:p>
    <w:p w14:paraId="1657E05D" w14:textId="77777777" w:rsidR="00FA04E7" w:rsidRPr="007E650E" w:rsidRDefault="00FA04E7" w:rsidP="00CA4523">
      <w:pPr>
        <w:pStyle w:val="ListParagraph"/>
        <w:spacing w:after="0" w:line="240" w:lineRule="auto"/>
        <w:rPr>
          <w:lang w:val="en"/>
        </w:rPr>
      </w:pPr>
      <w:r w:rsidRPr="007E650E">
        <w:rPr>
          <w:lang w:val="en"/>
        </w:rPr>
        <w:t>The figures in Exhibit F2 must align with Exhibit F.</w:t>
      </w:r>
    </w:p>
    <w:p w14:paraId="4447098E" w14:textId="77777777" w:rsidR="00FA04E7" w:rsidRPr="007E650E" w:rsidRDefault="00FA04E7" w:rsidP="00CA4523">
      <w:pPr>
        <w:pStyle w:val="ListParagraph"/>
        <w:spacing w:after="0" w:line="240" w:lineRule="auto"/>
        <w:rPr>
          <w:lang w:val="en"/>
        </w:rPr>
      </w:pPr>
      <w:r w:rsidRPr="007E650E">
        <w:rPr>
          <w:lang w:val="en"/>
        </w:rPr>
        <w:t xml:space="preserve">The narrative clearly explains all line items in the Budget Summary (Exhibit F). </w:t>
      </w:r>
    </w:p>
    <w:p w14:paraId="74466825" w14:textId="77777777" w:rsidR="00FA04E7" w:rsidRPr="007E650E" w:rsidRDefault="00FA04E7" w:rsidP="00CA4523">
      <w:pPr>
        <w:pStyle w:val="ListParagraph"/>
        <w:spacing w:after="0" w:line="240" w:lineRule="auto"/>
        <w:rPr>
          <w:lang w:val="en"/>
        </w:rPr>
      </w:pPr>
      <w:r w:rsidRPr="007E650E">
        <w:rPr>
          <w:lang w:val="en"/>
        </w:rPr>
        <w:t>Demonstrate that assigned personnel funded by the project have adequate time and resources to achieve project goals and outcomes.</w:t>
      </w:r>
    </w:p>
    <w:p w14:paraId="4C16524B" w14:textId="77777777" w:rsidR="00FA04E7" w:rsidRPr="007E650E" w:rsidRDefault="00FA04E7" w:rsidP="00CA4523">
      <w:pPr>
        <w:pStyle w:val="ListParagraph"/>
        <w:spacing w:after="0" w:line="240" w:lineRule="auto"/>
        <w:rPr>
          <w:lang w:val="en"/>
        </w:rPr>
      </w:pPr>
      <w:r w:rsidRPr="007E650E">
        <w:rPr>
          <w:lang w:val="en"/>
        </w:rPr>
        <w:t>Identify travel costs for key project staff.</w:t>
      </w:r>
    </w:p>
    <w:p w14:paraId="0F5FF505" w14:textId="24567439" w:rsidR="00FA04E7" w:rsidRPr="007E650E" w:rsidRDefault="00FA04E7" w:rsidP="00CA4523">
      <w:pPr>
        <w:pStyle w:val="ListParagraph"/>
        <w:spacing w:after="0" w:line="240" w:lineRule="auto"/>
        <w:rPr>
          <w:lang w:val="en"/>
        </w:rPr>
      </w:pPr>
      <w:r w:rsidRPr="007E650E">
        <w:rPr>
          <w:lang w:val="en"/>
        </w:rPr>
        <w:t xml:space="preserve">If applicable, provide </w:t>
      </w:r>
      <w:proofErr w:type="gramStart"/>
      <w:r w:rsidRPr="007E650E">
        <w:rPr>
          <w:lang w:val="en"/>
        </w:rPr>
        <w:t>a detailed</w:t>
      </w:r>
      <w:proofErr w:type="gramEnd"/>
      <w:r w:rsidRPr="007E650E">
        <w:rPr>
          <w:lang w:val="en"/>
        </w:rPr>
        <w:t xml:space="preserve"> narrative justification for purchases and/or contracted items in the Supplemental Budget (Exhibit G) and how they will support the project</w:t>
      </w:r>
      <w:r w:rsidR="000D5ACF">
        <w:rPr>
          <w:lang w:val="en"/>
        </w:rPr>
        <w:t>'</w:t>
      </w:r>
      <w:r w:rsidRPr="007E650E">
        <w:rPr>
          <w:lang w:val="en"/>
        </w:rPr>
        <w:t xml:space="preserve">s goals. </w:t>
      </w:r>
    </w:p>
    <w:p w14:paraId="4A21ABAC" w14:textId="6F477843" w:rsidR="00FA04E7" w:rsidRPr="007E650E" w:rsidRDefault="00FA04E7" w:rsidP="00FA04E7">
      <w:pPr>
        <w:pStyle w:val="ListParagraph"/>
        <w:rPr>
          <w:lang w:val="en"/>
        </w:rPr>
      </w:pPr>
      <w:r w:rsidRPr="007E650E">
        <w:rPr>
          <w:lang w:val="en"/>
        </w:rPr>
        <w:lastRenderedPageBreak/>
        <w:t>Explain how the proposed costs are necessary and reasonable regarding benefits to participants.</w:t>
      </w:r>
    </w:p>
    <w:p w14:paraId="5B8D98B8" w14:textId="7F96EE58" w:rsidR="002233F7" w:rsidRPr="007E650E" w:rsidRDefault="00FA04E7" w:rsidP="00C134B9">
      <w:pPr>
        <w:pStyle w:val="BodyText"/>
      </w:pPr>
      <w:r w:rsidRPr="007E650E">
        <w:t>See exhibit instructions below for detailed information on how to complete Exhibit F2.</w:t>
      </w:r>
    </w:p>
    <w:p w14:paraId="6D28B0E1" w14:textId="230D3F66" w:rsidR="008544AA" w:rsidRPr="007E650E" w:rsidRDefault="008544AA" w:rsidP="0081202A">
      <w:pPr>
        <w:pStyle w:val="Heading4"/>
      </w:pPr>
      <w:r w:rsidRPr="007E650E">
        <w:rPr>
          <w:lang w:val="en-US"/>
        </w:rPr>
        <w:t xml:space="preserve">Exhibit F </w:t>
      </w:r>
      <w:r w:rsidR="001A4A1F" w:rsidRPr="007E650E">
        <w:rPr>
          <w:lang w:val="en-US"/>
        </w:rPr>
        <w:t xml:space="preserve">– </w:t>
      </w:r>
      <w:r w:rsidRPr="007E650E">
        <w:rPr>
          <w:lang w:val="en-US"/>
        </w:rPr>
        <w:t>Budget Summary</w:t>
      </w:r>
      <w:r w:rsidR="001A4A1F" w:rsidRPr="007E650E">
        <w:rPr>
          <w:lang w:val="en-US"/>
        </w:rPr>
        <w:t xml:space="preserve"> (</w:t>
      </w:r>
      <w:proofErr w:type="spellStart"/>
      <w:r w:rsidRPr="007E650E">
        <w:rPr>
          <w:lang w:val="en-US"/>
        </w:rPr>
        <w:t>ExF</w:t>
      </w:r>
      <w:proofErr w:type="spellEnd"/>
      <w:r w:rsidR="001A4A1F" w:rsidRPr="007E650E">
        <w:rPr>
          <w:lang w:val="en-US"/>
        </w:rPr>
        <w:t>)</w:t>
      </w:r>
    </w:p>
    <w:p w14:paraId="54978206" w14:textId="47FD277A" w:rsidR="00FA04E7" w:rsidRPr="007E650E" w:rsidRDefault="00440843" w:rsidP="00CA4523">
      <w:pPr>
        <w:pStyle w:val="ListParagraph"/>
        <w:spacing w:after="0" w:line="240" w:lineRule="auto"/>
      </w:pPr>
      <w:r w:rsidRPr="007E650E">
        <w:rPr>
          <w:lang w:bidi="en-US"/>
        </w:rPr>
        <w:t>The Administrative Costs and Program Costs columns must contain the cost of each expense item and must total the requested grant funds.</w:t>
      </w:r>
      <w:r w:rsidR="00FA04E7" w:rsidRPr="007E650E">
        <w:t xml:space="preserve"> </w:t>
      </w:r>
    </w:p>
    <w:p w14:paraId="5363F932" w14:textId="77777777" w:rsidR="00FA04E7" w:rsidRPr="007E650E" w:rsidRDefault="00FA04E7" w:rsidP="00CA4523">
      <w:pPr>
        <w:pStyle w:val="ListParagraph"/>
        <w:spacing w:after="0" w:line="240" w:lineRule="auto"/>
      </w:pPr>
      <w:r w:rsidRPr="007E650E">
        <w:t>If applicable, under Amount Leveraged, enter the cash and/or in-kind resources identified in the Project Narrative (Exhibit A).</w:t>
      </w:r>
    </w:p>
    <w:p w14:paraId="3D5BC4E9" w14:textId="57F4DF22" w:rsidR="00FA04E7" w:rsidRPr="007E650E" w:rsidRDefault="00FA04E7" w:rsidP="00CA4523">
      <w:pPr>
        <w:pStyle w:val="ListParagraph"/>
        <w:spacing w:after="0" w:line="240" w:lineRule="auto"/>
      </w:pPr>
      <w:r w:rsidRPr="007E650E">
        <w:t xml:space="preserve">The Total Project Budget column includes calculated fields that must be populated. Once all data is entered, right-click inside each field and select "Update Field" to populate each </w:t>
      </w:r>
      <w:proofErr w:type="gramStart"/>
      <w:r w:rsidRPr="007E650E">
        <w:t>line item—</w:t>
      </w:r>
      <w:proofErr w:type="gramEnd"/>
      <w:r w:rsidRPr="007E650E">
        <w:t xml:space="preserve">complete Total Funding using the same steps. </w:t>
      </w:r>
    </w:p>
    <w:p w14:paraId="049DFF02" w14:textId="77777777" w:rsidR="00FA04E7" w:rsidRPr="007E650E" w:rsidRDefault="00FA04E7" w:rsidP="00CA4523">
      <w:pPr>
        <w:pStyle w:val="ListParagraph"/>
        <w:spacing w:after="0" w:line="240" w:lineRule="auto"/>
      </w:pPr>
      <w:r w:rsidRPr="007E650E">
        <w:t>Program Costs and Administrative Costs must add up to the total award amount.</w:t>
      </w:r>
    </w:p>
    <w:p w14:paraId="60C22EB8" w14:textId="70E49FB2" w:rsidR="00FA04E7" w:rsidRPr="007E650E" w:rsidRDefault="00FA04E7" w:rsidP="00CA4523">
      <w:pPr>
        <w:pStyle w:val="ListParagraph"/>
        <w:spacing w:after="0" w:line="240" w:lineRule="auto"/>
      </w:pPr>
      <w:r w:rsidRPr="007E650E">
        <w:t xml:space="preserve">The amounts entered for </w:t>
      </w:r>
      <w:r w:rsidR="00370E12" w:rsidRPr="007E650E">
        <w:t xml:space="preserve">Total Funding </w:t>
      </w:r>
      <w:r w:rsidRPr="007E650E">
        <w:t xml:space="preserve">in the Budget Summary (Exhibit F) must </w:t>
      </w:r>
      <w:r w:rsidR="00CA4523" w:rsidRPr="007E650E">
        <w:t>match t</w:t>
      </w:r>
      <w:r w:rsidRPr="007E650E">
        <w:t>hose listed on the Cover/Signature page.</w:t>
      </w:r>
    </w:p>
    <w:p w14:paraId="148737AA" w14:textId="70BC786F" w:rsidR="00FA04E7" w:rsidRPr="007E650E" w:rsidRDefault="00440843" w:rsidP="00CA4523">
      <w:pPr>
        <w:pStyle w:val="ListParagraph"/>
        <w:spacing w:after="0" w:line="240" w:lineRule="auto"/>
      </w:pPr>
      <w:r w:rsidRPr="007E650E">
        <w:rPr>
          <w:lang w:bidi="en-US"/>
        </w:rPr>
        <w:t>If the applicant plans to purchase equipment (including information technology systems) with a useful life span of more than one year and a per-unit cost of $10,000 or more, the Supplemental Budget (</w:t>
      </w:r>
      <w:r w:rsidRPr="007E650E">
        <w:rPr>
          <w:i/>
          <w:lang w:bidi="en-US"/>
        </w:rPr>
        <w:t>Exhibit G</w:t>
      </w:r>
      <w:r w:rsidRPr="007E650E">
        <w:rPr>
          <w:lang w:bidi="en-US"/>
        </w:rPr>
        <w:t xml:space="preserve">), Section </w:t>
      </w:r>
      <w:r w:rsidR="004F15A4" w:rsidRPr="007E650E">
        <w:rPr>
          <w:lang w:bidi="en-US"/>
        </w:rPr>
        <w:t>1</w:t>
      </w:r>
      <w:r w:rsidRPr="007E650E">
        <w:rPr>
          <w:lang w:bidi="en-US"/>
        </w:rPr>
        <w:t xml:space="preserve">. </w:t>
      </w:r>
      <w:proofErr w:type="gramStart"/>
      <w:r w:rsidRPr="007E650E">
        <w:rPr>
          <w:lang w:bidi="en-US"/>
        </w:rPr>
        <w:t>Equipment</w:t>
      </w:r>
      <w:proofErr w:type="gramEnd"/>
      <w:r w:rsidRPr="007E650E">
        <w:rPr>
          <w:lang w:bidi="en-US"/>
        </w:rPr>
        <w:t xml:space="preserve"> must be completed.</w:t>
      </w:r>
    </w:p>
    <w:p w14:paraId="226F4109" w14:textId="717297DD" w:rsidR="00FA04E7" w:rsidRPr="007E650E" w:rsidRDefault="00440843" w:rsidP="00CA4523">
      <w:pPr>
        <w:pStyle w:val="ListParagraph"/>
        <w:spacing w:after="0" w:line="240" w:lineRule="auto"/>
      </w:pPr>
      <w:r w:rsidRPr="007E650E">
        <w:rPr>
          <w:lang w:bidi="en-US"/>
        </w:rPr>
        <w:t>If an applicant plans to sub-award funds to subrecipients to carry out a portion of the grant services, the Supplemental Budget (</w:t>
      </w:r>
      <w:r w:rsidRPr="007E650E">
        <w:rPr>
          <w:i/>
          <w:lang w:bidi="en-US"/>
        </w:rPr>
        <w:t>Exhibit G</w:t>
      </w:r>
      <w:r w:rsidRPr="007E650E">
        <w:rPr>
          <w:lang w:bidi="en-US"/>
        </w:rPr>
        <w:t xml:space="preserve">) Section </w:t>
      </w:r>
      <w:r w:rsidR="004F15A4" w:rsidRPr="007E650E">
        <w:rPr>
          <w:lang w:bidi="en-US"/>
        </w:rPr>
        <w:t>2</w:t>
      </w:r>
      <w:r w:rsidRPr="007E650E">
        <w:rPr>
          <w:lang w:bidi="en-US"/>
        </w:rPr>
        <w:t>: Subrecipients must be completed.</w:t>
      </w:r>
    </w:p>
    <w:p w14:paraId="26790A08" w14:textId="422B3D39" w:rsidR="008544AA" w:rsidRPr="007E650E" w:rsidRDefault="00440843" w:rsidP="00FA04E7">
      <w:pPr>
        <w:pStyle w:val="ListParagraph"/>
      </w:pPr>
      <w:r w:rsidRPr="007E650E">
        <w:rPr>
          <w:lang w:bidi="en-US"/>
        </w:rPr>
        <w:t>If an applicant plans to procure a contract with a contractor such as a vendor, dealer, distributor, merchant, or other seller providing goods or services, the Supplemental Budget (</w:t>
      </w:r>
      <w:r w:rsidRPr="007E650E">
        <w:rPr>
          <w:i/>
          <w:lang w:bidi="en-US"/>
        </w:rPr>
        <w:t>Exhibit G</w:t>
      </w:r>
      <w:r w:rsidRPr="007E650E">
        <w:rPr>
          <w:lang w:bidi="en-US"/>
        </w:rPr>
        <w:t xml:space="preserve">), Section </w:t>
      </w:r>
      <w:r w:rsidR="004F15A4" w:rsidRPr="007E650E">
        <w:rPr>
          <w:lang w:bidi="en-US"/>
        </w:rPr>
        <w:t>3</w:t>
      </w:r>
      <w:r w:rsidRPr="007E650E">
        <w:rPr>
          <w:lang w:bidi="en-US"/>
        </w:rPr>
        <w:t>: Contractor must be completed.</w:t>
      </w:r>
    </w:p>
    <w:p w14:paraId="076EF801" w14:textId="70881741" w:rsidR="008544AA" w:rsidRPr="007E650E" w:rsidRDefault="008544AA" w:rsidP="00530AD8">
      <w:pPr>
        <w:pStyle w:val="BodyText"/>
      </w:pPr>
      <w:bookmarkStart w:id="159" w:name="_Hlk158715910"/>
      <w:r w:rsidRPr="007E650E">
        <w:rPr>
          <w:i/>
          <w:iCs/>
          <w:lang w:val="en-US"/>
        </w:rPr>
        <w:t>Exhibit F Budget Summary</w:t>
      </w:r>
      <w:r w:rsidRPr="007E650E">
        <w:rPr>
          <w:lang w:val="en-US"/>
        </w:rPr>
        <w:t xml:space="preserve"> must be submitted in MS Word format. Save this document according to the following naming convention: </w:t>
      </w:r>
      <w:r w:rsidR="000D5ACF">
        <w:rPr>
          <w:lang w:val="en-US"/>
        </w:rPr>
        <w:t>"</w:t>
      </w:r>
      <w:r w:rsidR="00AE37F3" w:rsidRPr="007E650E">
        <w:rPr>
          <w:lang w:val="en-US"/>
        </w:rPr>
        <w:t>ABC</w:t>
      </w:r>
      <w:r w:rsidRPr="007E650E">
        <w:rPr>
          <w:lang w:val="en-US"/>
        </w:rPr>
        <w:t xml:space="preserve"> </w:t>
      </w:r>
      <w:r w:rsidR="00FA04E7" w:rsidRPr="007E650E">
        <w:rPr>
          <w:lang w:val="en-US"/>
        </w:rPr>
        <w:t>DHH PY 25-26</w:t>
      </w:r>
      <w:r w:rsidRPr="007E650E">
        <w:rPr>
          <w:lang w:val="en-US"/>
        </w:rPr>
        <w:t xml:space="preserve"> </w:t>
      </w:r>
      <w:proofErr w:type="spellStart"/>
      <w:r w:rsidRPr="007E650E">
        <w:rPr>
          <w:lang w:val="en-US"/>
        </w:rPr>
        <w:t>ExF</w:t>
      </w:r>
      <w:proofErr w:type="spellEnd"/>
      <w:r w:rsidRPr="007E650E">
        <w:rPr>
          <w:lang w:val="en-US"/>
        </w:rPr>
        <w:t>.</w:t>
      </w:r>
      <w:r w:rsidR="000D5ACF">
        <w:rPr>
          <w:lang w:val="en-US"/>
        </w:rPr>
        <w:t>"</w:t>
      </w:r>
    </w:p>
    <w:bookmarkEnd w:id="159"/>
    <w:p w14:paraId="21917EED" w14:textId="1E30E2B4" w:rsidR="008544AA" w:rsidRPr="007E650E" w:rsidRDefault="008544AA" w:rsidP="00F470F1">
      <w:pPr>
        <w:pStyle w:val="Heading4"/>
      </w:pPr>
      <w:r w:rsidRPr="007E650E">
        <w:t xml:space="preserve">Exhibit F2 </w:t>
      </w:r>
      <w:r w:rsidR="001A4A1F" w:rsidRPr="007E650E">
        <w:t xml:space="preserve">– </w:t>
      </w:r>
      <w:r w:rsidRPr="007E650E">
        <w:t>Budget Narrative</w:t>
      </w:r>
      <w:r w:rsidR="001A4A1F" w:rsidRPr="007E650E">
        <w:t xml:space="preserve"> (</w:t>
      </w:r>
      <w:r w:rsidRPr="007E650E">
        <w:t>ExF2</w:t>
      </w:r>
      <w:r w:rsidR="001A4A1F" w:rsidRPr="007E650E">
        <w:t>)</w:t>
      </w:r>
    </w:p>
    <w:p w14:paraId="30EF67A3" w14:textId="403BC98C" w:rsidR="00FA04E7" w:rsidRPr="007E650E" w:rsidRDefault="00707BF4" w:rsidP="00CA4523">
      <w:pPr>
        <w:pStyle w:val="ListParagraph"/>
        <w:spacing w:after="0" w:line="240" w:lineRule="auto"/>
      </w:pPr>
      <w:r w:rsidRPr="007E650E">
        <w:rPr>
          <w:lang w:bidi="en-US"/>
        </w:rPr>
        <w:t xml:space="preserve">Provide </w:t>
      </w:r>
      <w:proofErr w:type="gramStart"/>
      <w:r w:rsidRPr="007E650E">
        <w:rPr>
          <w:lang w:bidi="en-US"/>
        </w:rPr>
        <w:t>a detailed</w:t>
      </w:r>
      <w:proofErr w:type="gramEnd"/>
      <w:r w:rsidRPr="007E650E">
        <w:rPr>
          <w:lang w:bidi="en-US"/>
        </w:rPr>
        <w:t xml:space="preserve"> justification in the Budget Narrative (</w:t>
      </w:r>
      <w:r w:rsidRPr="007E650E">
        <w:rPr>
          <w:i/>
          <w:lang w:bidi="en-US"/>
        </w:rPr>
        <w:t>Exhibit F2</w:t>
      </w:r>
      <w:r w:rsidRPr="007E650E">
        <w:rPr>
          <w:lang w:bidi="en-US"/>
        </w:rPr>
        <w:t>) for each line-item cost contained in the Budget Summary Plan (</w:t>
      </w:r>
      <w:r w:rsidRPr="007E650E">
        <w:rPr>
          <w:i/>
          <w:lang w:bidi="en-US"/>
        </w:rPr>
        <w:t>Exhibit F</w:t>
      </w:r>
      <w:r w:rsidRPr="007E650E">
        <w:rPr>
          <w:lang w:bidi="en-US"/>
        </w:rPr>
        <w:t>). For example, a detailed justification of staff salaries should include the title or position, a narrative of the staff roles, responsibilities, or activities; annual salary; the percentage of staff time devoted to the project, and the corresponding portion of the salary charged to the grant.</w:t>
      </w:r>
      <w:r w:rsidR="00FA04E7" w:rsidRPr="007E650E">
        <w:t xml:space="preserve"> </w:t>
      </w:r>
    </w:p>
    <w:p w14:paraId="6B67949B" w14:textId="77777777" w:rsidR="00FA04E7" w:rsidRPr="007E650E" w:rsidRDefault="00FA04E7" w:rsidP="00CA4523">
      <w:pPr>
        <w:pStyle w:val="ListParagraph"/>
        <w:spacing w:after="0" w:line="240" w:lineRule="auto"/>
      </w:pPr>
      <w:r w:rsidRPr="007E650E">
        <w:t>All explanations should include how the proposed costs are necessary and reasonable in terms of benefits to participants.</w:t>
      </w:r>
    </w:p>
    <w:p w14:paraId="7FBCE794" w14:textId="08E0A00E" w:rsidR="00FA04E7" w:rsidRPr="007E650E" w:rsidRDefault="00FA04E7" w:rsidP="00CA4523">
      <w:pPr>
        <w:pStyle w:val="ListParagraph"/>
        <w:spacing w:after="0" w:line="240" w:lineRule="auto"/>
      </w:pPr>
      <w:r w:rsidRPr="007E650E">
        <w:rPr>
          <w:bCs/>
        </w:rPr>
        <w:t xml:space="preserve">In </w:t>
      </w:r>
      <w:r w:rsidR="00E01582" w:rsidRPr="007E650E">
        <w:rPr>
          <w:bCs/>
        </w:rPr>
        <w:t>s</w:t>
      </w:r>
      <w:r w:rsidRPr="007E650E">
        <w:rPr>
          <w:bCs/>
        </w:rPr>
        <w:t>ection</w:t>
      </w:r>
      <w:r w:rsidR="00E01582" w:rsidRPr="007E650E">
        <w:rPr>
          <w:bCs/>
        </w:rPr>
        <w:t>s</w:t>
      </w:r>
      <w:r w:rsidRPr="007E650E">
        <w:rPr>
          <w:bCs/>
        </w:rPr>
        <w:t xml:space="preserve"> </w:t>
      </w:r>
      <w:r w:rsidRPr="007E650E">
        <w:rPr>
          <w:bCs/>
          <w:i/>
          <w:iCs/>
        </w:rPr>
        <w:t>A-D Staff Salaries</w:t>
      </w:r>
      <w:r w:rsidRPr="007E650E">
        <w:rPr>
          <w:bCs/>
        </w:rPr>
        <w:t>,</w:t>
      </w:r>
      <w:r w:rsidRPr="007E650E">
        <w:t xml:space="preserve"> enter the total dollar amount of the salaries and benefits charged to the grant (</w:t>
      </w:r>
      <w:r w:rsidRPr="007E650E">
        <w:rPr>
          <w:i/>
          <w:iCs/>
        </w:rPr>
        <w:t>Wagner-Peyser</w:t>
      </w:r>
      <w:r w:rsidRPr="007E650E">
        <w:t xml:space="preserve"> 10 percent) in the line provided.</w:t>
      </w:r>
    </w:p>
    <w:p w14:paraId="0D0D20EA" w14:textId="77777777" w:rsidR="00FA04E7" w:rsidRPr="007E650E" w:rsidRDefault="00FA04E7" w:rsidP="00FA04E7">
      <w:pPr>
        <w:pStyle w:val="ListParagraph"/>
      </w:pPr>
      <w:r w:rsidRPr="007E650E">
        <w:t>Utilize line items A-D from the Budget Summary Plan (</w:t>
      </w:r>
      <w:r w:rsidRPr="007E650E">
        <w:rPr>
          <w:i/>
          <w:iCs/>
        </w:rPr>
        <w:t>Exhibit F</w:t>
      </w:r>
      <w:r w:rsidRPr="007E650E">
        <w:t>) to complete the table in section A of the Budget Narrative (</w:t>
      </w:r>
      <w:r w:rsidRPr="007E650E">
        <w:rPr>
          <w:i/>
          <w:iCs/>
        </w:rPr>
        <w:t>Exhibit F2</w:t>
      </w:r>
      <w:r w:rsidRPr="007E650E">
        <w:t>).</w:t>
      </w:r>
    </w:p>
    <w:p w14:paraId="4BB46622" w14:textId="44BA72BA" w:rsidR="00FA04E7" w:rsidRPr="007E650E" w:rsidRDefault="00FA04E7" w:rsidP="00CF0D6C">
      <w:pPr>
        <w:pStyle w:val="BodyText"/>
        <w:widowControl w:val="0"/>
        <w:numPr>
          <w:ilvl w:val="1"/>
          <w:numId w:val="4"/>
        </w:numPr>
        <w:autoSpaceDE w:val="0"/>
        <w:autoSpaceDN w:val="0"/>
        <w:spacing w:after="0"/>
      </w:pPr>
      <w:r w:rsidRPr="007E650E">
        <w:lastRenderedPageBreak/>
        <w:t xml:space="preserve">In column 1, select the cost type for each </w:t>
      </w:r>
      <w:r w:rsidR="001B574B" w:rsidRPr="007E650E">
        <w:t>position,</w:t>
      </w:r>
      <w:r w:rsidRPr="007E650E">
        <w:t xml:space="preserve"> administrative</w:t>
      </w:r>
      <w:r w:rsidR="001B574B" w:rsidRPr="007E650E">
        <w:t xml:space="preserve"> or</w:t>
      </w:r>
      <w:r w:rsidRPr="007E650E">
        <w:t xml:space="preserve"> program.</w:t>
      </w:r>
    </w:p>
    <w:p w14:paraId="62BEF7DF" w14:textId="77777777" w:rsidR="00FA04E7" w:rsidRPr="007E650E" w:rsidRDefault="00FA04E7" w:rsidP="00CF0D6C">
      <w:pPr>
        <w:pStyle w:val="BodyText"/>
        <w:widowControl w:val="0"/>
        <w:numPr>
          <w:ilvl w:val="1"/>
          <w:numId w:val="4"/>
        </w:numPr>
        <w:autoSpaceDE w:val="0"/>
        <w:autoSpaceDN w:val="0"/>
        <w:spacing w:after="0"/>
      </w:pPr>
      <w:r w:rsidRPr="007E650E">
        <w:t>In column 2, list each staff position.</w:t>
      </w:r>
    </w:p>
    <w:p w14:paraId="533817D4" w14:textId="77777777" w:rsidR="00FA04E7" w:rsidRPr="007E650E" w:rsidRDefault="00FA04E7" w:rsidP="00CF0D6C">
      <w:pPr>
        <w:pStyle w:val="BodyText"/>
        <w:widowControl w:val="0"/>
        <w:numPr>
          <w:ilvl w:val="1"/>
          <w:numId w:val="4"/>
        </w:numPr>
        <w:autoSpaceDE w:val="0"/>
        <w:autoSpaceDN w:val="0"/>
        <w:spacing w:after="0"/>
      </w:pPr>
      <w:r w:rsidRPr="007E650E">
        <w:t>In column 3, multiply the number of full-time equivalents (FTE) by the monthly salary by the amount of staff time devoted to the project (FTE x Monthly Salary x Time). Provide the calculation.</w:t>
      </w:r>
    </w:p>
    <w:p w14:paraId="29F6F67C" w14:textId="4F1DC036" w:rsidR="00FA04E7" w:rsidRPr="007E650E" w:rsidRDefault="00FA04E7" w:rsidP="00CF0D6C">
      <w:pPr>
        <w:pStyle w:val="BodyText"/>
        <w:widowControl w:val="0"/>
        <w:numPr>
          <w:ilvl w:val="1"/>
          <w:numId w:val="4"/>
        </w:numPr>
        <w:autoSpaceDE w:val="0"/>
        <w:autoSpaceDN w:val="0"/>
        <w:spacing w:after="0"/>
      </w:pPr>
      <w:r w:rsidRPr="007E650E">
        <w:t>In column 4, enter the staff Benefit</w:t>
      </w:r>
      <w:r w:rsidR="001B574B" w:rsidRPr="007E650E">
        <w:t>s</w:t>
      </w:r>
      <w:r w:rsidRPr="007E650E">
        <w:t>.</w:t>
      </w:r>
    </w:p>
    <w:p w14:paraId="025ABE0E" w14:textId="77777777" w:rsidR="00FA04E7" w:rsidRPr="007E650E" w:rsidRDefault="00FA04E7" w:rsidP="00CA4523">
      <w:pPr>
        <w:pStyle w:val="BodyText"/>
        <w:widowControl w:val="0"/>
        <w:numPr>
          <w:ilvl w:val="1"/>
          <w:numId w:val="4"/>
        </w:numPr>
        <w:autoSpaceDE w:val="0"/>
        <w:autoSpaceDN w:val="0"/>
        <w:spacing w:after="160" w:line="259" w:lineRule="auto"/>
      </w:pPr>
      <w:r w:rsidRPr="007E650E">
        <w:t>In column 5, calculate the Total by adding (FTE x Monthly Salary x Time) to the Fringe Benefits. Provide details of line items A-D below the table.</w:t>
      </w:r>
    </w:p>
    <w:p w14:paraId="6E39CBBE" w14:textId="55D73B66" w:rsidR="00FA04E7" w:rsidRPr="007E650E" w:rsidRDefault="00FA04E7" w:rsidP="00CA4523">
      <w:pPr>
        <w:pStyle w:val="ListParagraph"/>
        <w:spacing w:after="0" w:line="240" w:lineRule="auto"/>
      </w:pPr>
      <w:r w:rsidRPr="007E650E">
        <w:rPr>
          <w:b/>
        </w:rPr>
        <w:t>In section E</w:t>
      </w:r>
      <w:r w:rsidRPr="007E650E">
        <w:t xml:space="preserve">, </w:t>
      </w:r>
      <w:r w:rsidR="00707BF4" w:rsidRPr="007E650E">
        <w:rPr>
          <w:lang w:val="en"/>
        </w:rPr>
        <w:t>enter the estimated total Staff Travel expenses on the line provided. Provide details of staff travel expenses.</w:t>
      </w:r>
    </w:p>
    <w:p w14:paraId="3A4A1BC2" w14:textId="3288CF28" w:rsidR="00FA04E7" w:rsidRPr="007E650E" w:rsidRDefault="00FA04E7" w:rsidP="00CA4523">
      <w:pPr>
        <w:pStyle w:val="ListParagraph"/>
        <w:spacing w:after="0" w:line="240" w:lineRule="auto"/>
      </w:pPr>
      <w:r w:rsidRPr="007E650E">
        <w:rPr>
          <w:b/>
        </w:rPr>
        <w:t>In section F</w:t>
      </w:r>
      <w:r w:rsidRPr="007E650E">
        <w:t>, enter the Operating Expenses on the line provided. In the table, list the dollar amount under Administrative Cost or Program Cost in columns 2 or 3 of the items listed in column 1.</w:t>
      </w:r>
      <w:r w:rsidR="005551BA" w:rsidRPr="007E650E">
        <w:t xml:space="preserve"> </w:t>
      </w:r>
      <w:r w:rsidRPr="007E650E">
        <w:t>Enter the total of all Administrative Cost</w:t>
      </w:r>
      <w:r w:rsidR="001B574B" w:rsidRPr="007E650E">
        <w:t>s</w:t>
      </w:r>
      <w:r w:rsidRPr="007E650E">
        <w:t xml:space="preserve"> and Program Costs in the Total Administrative or Total Program lines below the table.</w:t>
      </w:r>
    </w:p>
    <w:p w14:paraId="4817A2E4" w14:textId="29F1642B" w:rsidR="00FA04E7" w:rsidRPr="007E650E" w:rsidRDefault="00FA04E7" w:rsidP="00FA04E7">
      <w:pPr>
        <w:pStyle w:val="ListParagraph"/>
      </w:pPr>
      <w:r w:rsidRPr="007E650E">
        <w:rPr>
          <w:b/>
        </w:rPr>
        <w:t>In section G</w:t>
      </w:r>
      <w:r w:rsidRPr="007E650E">
        <w:t xml:space="preserve">, enter the total cost of Furniture and Equipment on the line provided. Refer to EDD Directives </w:t>
      </w:r>
      <w:r w:rsidRPr="007E650E">
        <w:rPr>
          <w:i/>
        </w:rPr>
        <w:t>Allowable Costs and Prior Written Approval</w:t>
      </w:r>
      <w:r w:rsidRPr="007E650E">
        <w:t xml:space="preserve"> (</w:t>
      </w:r>
      <w:hyperlink r:id="rId37" w:history="1">
        <w:r w:rsidRPr="007E650E">
          <w:rPr>
            <w:rStyle w:val="Hyperlink"/>
            <w:color w:val="0070C0"/>
            <w:lang w:val="en"/>
          </w:rPr>
          <w:t>WSD16-16</w:t>
        </w:r>
      </w:hyperlink>
      <w:r w:rsidRPr="007E650E">
        <w:t xml:space="preserve">) (February 21, 2017), </w:t>
      </w:r>
      <w:r w:rsidRPr="007E650E">
        <w:rPr>
          <w:i/>
        </w:rPr>
        <w:t>Property – Purchasing, Inventory, and Disposal</w:t>
      </w:r>
      <w:r w:rsidRPr="007E650E">
        <w:t xml:space="preserve"> (</w:t>
      </w:r>
      <w:hyperlink r:id="rId38" w:history="1">
        <w:r w:rsidRPr="007E650E">
          <w:rPr>
            <w:rStyle w:val="Hyperlink"/>
            <w:color w:val="0070C0"/>
            <w:lang w:val="en"/>
          </w:rPr>
          <w:t>WSD16-10</w:t>
        </w:r>
      </w:hyperlink>
      <w:r w:rsidRPr="007E650E">
        <w:t xml:space="preserve">) (November 10, 2016), and, </w:t>
      </w:r>
      <w:r w:rsidRPr="007E650E">
        <w:rPr>
          <w:i/>
        </w:rPr>
        <w:t>Procurement of Equipment and Related Services</w:t>
      </w:r>
      <w:r w:rsidRPr="007E650E">
        <w:t xml:space="preserve"> (</w:t>
      </w:r>
      <w:hyperlink r:id="rId39" w:history="1">
        <w:r w:rsidRPr="007E650E">
          <w:rPr>
            <w:rStyle w:val="Hyperlink"/>
            <w:color w:val="0070C0"/>
            <w:lang w:val="en"/>
          </w:rPr>
          <w:t>WSD17-08</w:t>
        </w:r>
      </w:hyperlink>
      <w:r w:rsidRPr="007E650E">
        <w:t>) (March 14, 2018) for Procurement Guidelines.</w:t>
      </w:r>
    </w:p>
    <w:p w14:paraId="4DD0CE42" w14:textId="5DB967FC" w:rsidR="00FA04E7" w:rsidRPr="007E650E" w:rsidRDefault="00FA04E7" w:rsidP="00CF0D6C">
      <w:pPr>
        <w:pStyle w:val="BodyText"/>
        <w:widowControl w:val="0"/>
        <w:numPr>
          <w:ilvl w:val="1"/>
          <w:numId w:val="4"/>
        </w:numPr>
        <w:autoSpaceDE w:val="0"/>
        <w:autoSpaceDN w:val="0"/>
        <w:spacing w:after="0"/>
      </w:pPr>
      <w:r w:rsidRPr="007E650E">
        <w:t>In line item 1, list the total cost of Equipment and Furniture items less than $</w:t>
      </w:r>
      <w:r w:rsidR="00544946" w:rsidRPr="007E650E">
        <w:t>10</w:t>
      </w:r>
      <w:r w:rsidRPr="007E650E">
        <w:t>,000 per unit, indicate lease or purchase, and include a cost allocation. In the indicated space, include the name, cost, and quantity of the item that will be purchased.</w:t>
      </w:r>
    </w:p>
    <w:p w14:paraId="5E85941D" w14:textId="64AE65C4" w:rsidR="00FA04E7" w:rsidRPr="007E650E" w:rsidRDefault="00FA04E7" w:rsidP="00CF0D6C">
      <w:pPr>
        <w:pStyle w:val="BodyText"/>
        <w:widowControl w:val="0"/>
        <w:numPr>
          <w:ilvl w:val="1"/>
          <w:numId w:val="4"/>
        </w:numPr>
        <w:autoSpaceDE w:val="0"/>
        <w:autoSpaceDN w:val="0"/>
        <w:spacing w:after="0"/>
      </w:pPr>
      <w:r w:rsidRPr="007E650E">
        <w:t>In line item 2, enter the total expense amount of Equipment and Furniture items greater than $</w:t>
      </w:r>
      <w:r w:rsidR="00544946" w:rsidRPr="007E650E">
        <w:t>10</w:t>
      </w:r>
      <w:r w:rsidRPr="007E650E">
        <w:t>,000. In the indicated space, include the item's name, cost, and quantity; if any items are listed in G.2., complete Exhibit G.</w:t>
      </w:r>
    </w:p>
    <w:p w14:paraId="45900A15" w14:textId="77777777" w:rsidR="00FA04E7" w:rsidRPr="007E650E" w:rsidRDefault="00FA04E7" w:rsidP="00CA4523">
      <w:pPr>
        <w:pStyle w:val="BodyText"/>
        <w:widowControl w:val="0"/>
        <w:numPr>
          <w:ilvl w:val="1"/>
          <w:numId w:val="4"/>
        </w:numPr>
        <w:autoSpaceDE w:val="0"/>
        <w:autoSpaceDN w:val="0"/>
        <w:spacing w:after="160" w:line="259" w:lineRule="auto"/>
      </w:pPr>
      <w:r w:rsidRPr="007E650E">
        <w:t>In line item 3, provide the estimated Equipment Lease dollar amount. Below the line item, explain the calculation.</w:t>
      </w:r>
    </w:p>
    <w:p w14:paraId="41DF9089" w14:textId="77777777" w:rsidR="00FA04E7" w:rsidRPr="007E650E" w:rsidRDefault="00FA04E7" w:rsidP="00CA4523">
      <w:pPr>
        <w:pStyle w:val="ListParagraph"/>
        <w:spacing w:after="0" w:line="240" w:lineRule="auto"/>
      </w:pPr>
      <w:r w:rsidRPr="007E650E">
        <w:rPr>
          <w:b/>
        </w:rPr>
        <w:t>In section H</w:t>
      </w:r>
      <w:r w:rsidRPr="007E650E">
        <w:t>, include the total cost of Contractual Services (</w:t>
      </w:r>
      <w:r w:rsidRPr="007E650E">
        <w:rPr>
          <w:i/>
          <w:iCs/>
        </w:rPr>
        <w:t>Exhibit G</w:t>
      </w:r>
      <w:r w:rsidRPr="007E650E">
        <w:t>, complete if applicable) on the line provided. Describe in detail.</w:t>
      </w:r>
    </w:p>
    <w:p w14:paraId="38B8A77E" w14:textId="4F776916" w:rsidR="00FA04E7" w:rsidRPr="007E650E" w:rsidRDefault="00FA04E7" w:rsidP="00CA4523">
      <w:pPr>
        <w:pStyle w:val="ListParagraph"/>
        <w:spacing w:after="0" w:line="240" w:lineRule="auto"/>
        <w:rPr>
          <w:bCs/>
        </w:rPr>
      </w:pPr>
      <w:r w:rsidRPr="007E650E">
        <w:rPr>
          <w:b/>
        </w:rPr>
        <w:t>In section I</w:t>
      </w:r>
      <w:r w:rsidRPr="007E650E">
        <w:t xml:space="preserve">, enter the total Indirect Costs on the line provided. Negotiated indirect cost rates must be negotiated and approved by </w:t>
      </w:r>
      <w:proofErr w:type="gramStart"/>
      <w:r w:rsidRPr="007E650E">
        <w:t>Cognizant</w:t>
      </w:r>
      <w:proofErr w:type="gramEnd"/>
      <w:r w:rsidRPr="007E650E">
        <w:t xml:space="preserve"> Agency, </w:t>
      </w:r>
      <w:proofErr w:type="gramStart"/>
      <w:r w:rsidRPr="007E650E">
        <w:t>per</w:t>
      </w:r>
      <w:proofErr w:type="gramEnd"/>
      <w:r w:rsidRPr="007E650E">
        <w:t xml:space="preserve"> Appendices III or IV </w:t>
      </w:r>
      <w:r w:rsidR="005B0E2D" w:rsidRPr="007E650E">
        <w:t>of</w:t>
      </w:r>
      <w:r w:rsidRPr="007E650E">
        <w:t xml:space="preserve"> Uniform </w:t>
      </w:r>
      <w:proofErr w:type="gramStart"/>
      <w:r w:rsidRPr="007E650E">
        <w:t>Guidance,</w:t>
      </w:r>
      <w:proofErr w:type="gramEnd"/>
      <w:r w:rsidRPr="007E650E">
        <w:t xml:space="preserve"> 2CFR200</w:t>
      </w:r>
      <w:r w:rsidRPr="007E650E">
        <w:rPr>
          <w:bCs/>
        </w:rPr>
        <w:t>, and a copy of the Negotiated Indirect Cost Rate Agreement (NICRA) must be submitted with the application package to be considered for funding. Cost Allocation Plans and de minimis indirect cost rates may also be applied.</w:t>
      </w:r>
    </w:p>
    <w:p w14:paraId="1AC2B544" w14:textId="1EFE70CE" w:rsidR="008544AA" w:rsidRPr="007E650E" w:rsidRDefault="00FA04E7" w:rsidP="00FA04E7">
      <w:pPr>
        <w:pStyle w:val="ListParagraph"/>
      </w:pPr>
      <w:r w:rsidRPr="007E650E">
        <w:rPr>
          <w:b/>
          <w:lang w:val="en"/>
        </w:rPr>
        <w:t>In section J</w:t>
      </w:r>
      <w:r w:rsidRPr="007E650E">
        <w:rPr>
          <w:lang w:val="en"/>
        </w:rPr>
        <w:t>, list other expenses. Describe in detail the additional costs that do not fit into the specific categories in the prior sections.</w:t>
      </w:r>
    </w:p>
    <w:p w14:paraId="256D2B01" w14:textId="79452E0A" w:rsidR="008544AA" w:rsidRPr="007E650E" w:rsidRDefault="008544AA" w:rsidP="0081202A">
      <w:pPr>
        <w:pStyle w:val="BodyText"/>
        <w:rPr>
          <w:lang w:val="en-US"/>
        </w:rPr>
      </w:pPr>
      <w:r w:rsidRPr="007E650E">
        <w:rPr>
          <w:i/>
          <w:iCs/>
          <w:lang w:val="en-US"/>
        </w:rPr>
        <w:t>Exhibit F2 Budget Narrative</w:t>
      </w:r>
      <w:r w:rsidRPr="007E650E">
        <w:rPr>
          <w:lang w:val="en-US"/>
        </w:rPr>
        <w:t xml:space="preserve"> must be submitted in MS Word format. Save this document according to the following naming convention: </w:t>
      </w:r>
      <w:r w:rsidR="000D5ACF">
        <w:rPr>
          <w:lang w:val="en-US"/>
        </w:rPr>
        <w:t>"</w:t>
      </w:r>
      <w:r w:rsidR="00AE37F3" w:rsidRPr="007E650E">
        <w:rPr>
          <w:lang w:val="en-US"/>
        </w:rPr>
        <w:t>ABC</w:t>
      </w:r>
      <w:r w:rsidRPr="007E650E">
        <w:rPr>
          <w:lang w:val="en-US"/>
        </w:rPr>
        <w:t xml:space="preserve"> </w:t>
      </w:r>
      <w:r w:rsidR="00FA04E7" w:rsidRPr="007E650E">
        <w:rPr>
          <w:lang w:val="en-US"/>
        </w:rPr>
        <w:t>DHH PY 25-26</w:t>
      </w:r>
      <w:r w:rsidRPr="007E650E">
        <w:rPr>
          <w:lang w:val="en-US"/>
        </w:rPr>
        <w:t xml:space="preserve"> ExF2.</w:t>
      </w:r>
      <w:r w:rsidR="000D5ACF">
        <w:rPr>
          <w:lang w:val="en-US"/>
        </w:rPr>
        <w:t>"</w:t>
      </w:r>
    </w:p>
    <w:p w14:paraId="2834A599" w14:textId="77777777" w:rsidR="001F36C1" w:rsidRPr="007E650E" w:rsidRDefault="001F36C1" w:rsidP="0081202A">
      <w:pPr>
        <w:pStyle w:val="BodyText"/>
        <w:rPr>
          <w:lang w:val="en-US"/>
        </w:rPr>
      </w:pPr>
    </w:p>
    <w:p w14:paraId="559974AE" w14:textId="2D42CB03" w:rsidR="0081202A" w:rsidRPr="007E650E" w:rsidRDefault="008544AA" w:rsidP="0081202A">
      <w:pPr>
        <w:pStyle w:val="Heading4"/>
      </w:pPr>
      <w:bookmarkStart w:id="160" w:name="_Hlk158899986"/>
      <w:r w:rsidRPr="007E650E">
        <w:rPr>
          <w:lang w:val="en-US"/>
        </w:rPr>
        <w:lastRenderedPageBreak/>
        <w:t>Exhibit G</w:t>
      </w:r>
      <w:r w:rsidR="00882D8A" w:rsidRPr="007E650E">
        <w:rPr>
          <w:lang w:val="en-US"/>
        </w:rPr>
        <w:t xml:space="preserve"> –</w:t>
      </w:r>
      <w:r w:rsidRPr="007E650E">
        <w:rPr>
          <w:lang w:val="en-US"/>
        </w:rPr>
        <w:t xml:space="preserve"> Supplemental Budget</w:t>
      </w:r>
      <w:r w:rsidR="0081202A" w:rsidRPr="007E650E">
        <w:rPr>
          <w:lang w:val="en-US"/>
        </w:rPr>
        <w:t xml:space="preserve"> (</w:t>
      </w:r>
      <w:proofErr w:type="spellStart"/>
      <w:r w:rsidRPr="007E650E">
        <w:rPr>
          <w:lang w:val="en-US"/>
        </w:rPr>
        <w:t>ExG</w:t>
      </w:r>
      <w:proofErr w:type="spellEnd"/>
      <w:r w:rsidR="0081202A" w:rsidRPr="007E650E">
        <w:rPr>
          <w:lang w:val="en-US"/>
        </w:rPr>
        <w:t>)</w:t>
      </w:r>
    </w:p>
    <w:p w14:paraId="6D3D9FD2" w14:textId="6E77B4F4" w:rsidR="008544AA" w:rsidRPr="007E650E" w:rsidRDefault="0081202A" w:rsidP="00437424">
      <w:pPr>
        <w:pStyle w:val="Heading5"/>
      </w:pPr>
      <w:r w:rsidRPr="007E650E">
        <w:t xml:space="preserve">Exhibit G – Supplemental Budget, </w:t>
      </w:r>
      <w:r w:rsidR="008544AA" w:rsidRPr="007E650E">
        <w:t xml:space="preserve">Section </w:t>
      </w:r>
      <w:r w:rsidR="00FA04E7" w:rsidRPr="007E650E">
        <w:t>1</w:t>
      </w:r>
      <w:r w:rsidR="008544AA" w:rsidRPr="007E650E">
        <w:t>: Equipment</w:t>
      </w:r>
      <w:bookmarkEnd w:id="160"/>
    </w:p>
    <w:p w14:paraId="259BBDDB" w14:textId="3E7600AC" w:rsidR="00FA04E7" w:rsidRPr="007E650E" w:rsidRDefault="00FA04E7" w:rsidP="002A11AD">
      <w:pPr>
        <w:pStyle w:val="ListParagraph"/>
        <w:spacing w:after="0" w:line="240" w:lineRule="auto"/>
        <w:rPr>
          <w:bCs/>
        </w:rPr>
      </w:pPr>
      <w:r w:rsidRPr="007E650E">
        <w:rPr>
          <w:bCs/>
        </w:rPr>
        <w:t>If the applicant plans to purchase equipment with a useful life span of more than one year and a unit cost of $</w:t>
      </w:r>
      <w:r w:rsidR="00C134B9" w:rsidRPr="007E650E">
        <w:rPr>
          <w:bCs/>
        </w:rPr>
        <w:t>10</w:t>
      </w:r>
      <w:r w:rsidRPr="007E650E">
        <w:rPr>
          <w:bCs/>
        </w:rPr>
        <w:t xml:space="preserve">,000 or more, the Supplemental Budget (Exhibit G), Section </w:t>
      </w:r>
      <w:r w:rsidR="00576144" w:rsidRPr="007E650E">
        <w:rPr>
          <w:bCs/>
        </w:rPr>
        <w:t>1</w:t>
      </w:r>
      <w:r w:rsidRPr="007E650E">
        <w:rPr>
          <w:bCs/>
        </w:rPr>
        <w:t>: Equipment must be completed.</w:t>
      </w:r>
    </w:p>
    <w:p w14:paraId="62CF4F4D" w14:textId="1A0C163A" w:rsidR="00FA04E7" w:rsidRPr="007E650E" w:rsidRDefault="00FA04E7" w:rsidP="002A11AD">
      <w:pPr>
        <w:pStyle w:val="ListParagraph"/>
        <w:spacing w:after="0" w:line="240" w:lineRule="auto"/>
        <w:rPr>
          <w:bCs/>
        </w:rPr>
      </w:pPr>
      <w:r w:rsidRPr="007E650E">
        <w:rPr>
          <w:bCs/>
        </w:rPr>
        <w:t xml:space="preserve">Due to the short-term nature of these projects, the purchase of high-cost equipment is discouraged. Instead, rental or leasing options should be explored if high-cost equipment is essential to the project's operation. Section </w:t>
      </w:r>
      <w:r w:rsidR="004F15A4" w:rsidRPr="007E650E">
        <w:rPr>
          <w:bCs/>
        </w:rPr>
        <w:t>2</w:t>
      </w:r>
      <w:r w:rsidRPr="007E650E">
        <w:rPr>
          <w:bCs/>
        </w:rPr>
        <w:t xml:space="preserve"> of the Supplemental Budget (Exhibit G) is for contractual services. Contractual Services must be completed.</w:t>
      </w:r>
    </w:p>
    <w:p w14:paraId="46222785" w14:textId="77777777" w:rsidR="00FA04E7" w:rsidRPr="007E650E" w:rsidRDefault="00FA04E7" w:rsidP="002A11AD">
      <w:pPr>
        <w:pStyle w:val="ListParagraph"/>
        <w:spacing w:after="0" w:line="240" w:lineRule="auto"/>
      </w:pPr>
      <w:r w:rsidRPr="007E650E">
        <w:rPr>
          <w:bCs/>
        </w:rPr>
        <w:t xml:space="preserve">Per </w:t>
      </w:r>
      <w:hyperlink r:id="rId40" w:history="1">
        <w:r w:rsidRPr="007E650E">
          <w:rPr>
            <w:bCs/>
          </w:rPr>
          <w:t>WSD17-08</w:t>
        </w:r>
      </w:hyperlink>
      <w:r w:rsidRPr="007E650E">
        <w:rPr>
          <w:bCs/>
        </w:rPr>
        <w:t xml:space="preserve"> written prior approval from the EDD is required for equipment and related services under the following criteria:</w:t>
      </w:r>
    </w:p>
    <w:p w14:paraId="2752FE66" w14:textId="11CAD23D" w:rsidR="00FA04E7" w:rsidRPr="007E650E" w:rsidRDefault="00FA04E7" w:rsidP="00CF0D6C">
      <w:pPr>
        <w:pStyle w:val="BodyText"/>
        <w:widowControl w:val="0"/>
        <w:numPr>
          <w:ilvl w:val="0"/>
          <w:numId w:val="23"/>
        </w:numPr>
        <w:autoSpaceDE w:val="0"/>
        <w:autoSpaceDN w:val="0"/>
        <w:spacing w:after="0"/>
      </w:pPr>
      <w:r w:rsidRPr="007E650E">
        <w:t>Procurements with a per-unit cost that exceeds $</w:t>
      </w:r>
      <w:r w:rsidR="00C134B9" w:rsidRPr="007E650E">
        <w:t>10</w:t>
      </w:r>
      <w:r w:rsidRPr="007E650E">
        <w:t>,000.</w:t>
      </w:r>
    </w:p>
    <w:p w14:paraId="35F643CE" w14:textId="1F0E295D" w:rsidR="00FA04E7" w:rsidRPr="007E650E" w:rsidRDefault="00FA04E7" w:rsidP="00CF0D6C">
      <w:pPr>
        <w:pStyle w:val="BodyText"/>
        <w:widowControl w:val="0"/>
        <w:numPr>
          <w:ilvl w:val="0"/>
          <w:numId w:val="23"/>
        </w:numPr>
        <w:autoSpaceDE w:val="0"/>
        <w:autoSpaceDN w:val="0"/>
        <w:spacing w:after="0"/>
      </w:pPr>
      <w:r w:rsidRPr="007E650E">
        <w:t>Related procurements with cumulative costs that exceed $</w:t>
      </w:r>
      <w:r w:rsidR="00C134B9" w:rsidRPr="007E650E">
        <w:t>10</w:t>
      </w:r>
      <w:r w:rsidRPr="007E650E">
        <w:t>,000 within the same state fiscal year.</w:t>
      </w:r>
    </w:p>
    <w:p w14:paraId="43940AE1" w14:textId="55F4FA06" w:rsidR="00FA04E7" w:rsidRPr="007E650E" w:rsidRDefault="00FA04E7" w:rsidP="00CF0D6C">
      <w:pPr>
        <w:pStyle w:val="BodyText"/>
        <w:widowControl w:val="0"/>
        <w:numPr>
          <w:ilvl w:val="0"/>
          <w:numId w:val="23"/>
        </w:numPr>
        <w:autoSpaceDE w:val="0"/>
        <w:autoSpaceDN w:val="0"/>
        <w:spacing w:after="0"/>
      </w:pPr>
      <w:r w:rsidRPr="007E650E">
        <w:t xml:space="preserve">Procurements </w:t>
      </w:r>
      <w:proofErr w:type="gramStart"/>
      <w:r w:rsidRPr="007E650E">
        <w:t>resulting</w:t>
      </w:r>
      <w:proofErr w:type="gramEnd"/>
      <w:r w:rsidRPr="007E650E">
        <w:t xml:space="preserve"> in improvements to land, </w:t>
      </w:r>
      <w:proofErr w:type="gramStart"/>
      <w:r w:rsidRPr="007E650E">
        <w:t>building</w:t>
      </w:r>
      <w:proofErr w:type="gramEnd"/>
      <w:r w:rsidRPr="007E650E">
        <w:t>, or equipment which exceed $</w:t>
      </w:r>
      <w:r w:rsidR="00C134B9" w:rsidRPr="007E650E">
        <w:t>10</w:t>
      </w:r>
      <w:r w:rsidRPr="007E650E">
        <w:t>,000.</w:t>
      </w:r>
    </w:p>
    <w:p w14:paraId="217239CC" w14:textId="7B53EBE5" w:rsidR="00FA04E7" w:rsidRPr="007E650E" w:rsidRDefault="00FA04E7" w:rsidP="002A11AD">
      <w:pPr>
        <w:pStyle w:val="ListParagraph"/>
        <w:spacing w:after="0" w:line="240" w:lineRule="auto"/>
      </w:pPr>
      <w:r w:rsidRPr="007E650E">
        <w:t xml:space="preserve">A separate request to purchase equipment must be submitted for approval to the EDD. See Basic Considerations in OMB Uniform Guidance Section </w:t>
      </w:r>
      <w:hyperlink r:id="rId41" w:history="1">
        <w:r w:rsidRPr="007E650E">
          <w:t>200.407</w:t>
        </w:r>
      </w:hyperlink>
      <w:r w:rsidRPr="007E650E">
        <w:t xml:space="preserve">. Refer to EDD Directives </w:t>
      </w:r>
      <w:r w:rsidRPr="007E650E">
        <w:rPr>
          <w:i/>
          <w:iCs/>
        </w:rPr>
        <w:t>Allowable Costs and Prior Written Approval</w:t>
      </w:r>
      <w:r w:rsidRPr="007E650E">
        <w:t xml:space="preserve"> </w:t>
      </w:r>
      <w:r w:rsidR="00437424" w:rsidRPr="007E650E">
        <w:t xml:space="preserve">(WSD16-16) </w:t>
      </w:r>
      <w:r w:rsidRPr="007E650E">
        <w:t xml:space="preserve">(February 21, 2017), </w:t>
      </w:r>
      <w:r w:rsidRPr="007E650E">
        <w:rPr>
          <w:i/>
          <w:iCs/>
        </w:rPr>
        <w:t>Property – Purchasing, Inventory, and Disposal</w:t>
      </w:r>
      <w:r w:rsidRPr="007E650E">
        <w:t xml:space="preserve"> </w:t>
      </w:r>
      <w:r w:rsidR="00437424" w:rsidRPr="007E650E">
        <w:t xml:space="preserve">(WSD16-10) </w:t>
      </w:r>
      <w:r w:rsidRPr="007E650E">
        <w:t xml:space="preserve">(November 10, 2016), and </w:t>
      </w:r>
      <w:r w:rsidRPr="007E650E">
        <w:rPr>
          <w:i/>
          <w:iCs/>
        </w:rPr>
        <w:t>Procurement of Equipment and Related Services</w:t>
      </w:r>
      <w:r w:rsidRPr="007E650E">
        <w:t xml:space="preserve"> </w:t>
      </w:r>
      <w:r w:rsidR="00437424" w:rsidRPr="007E650E">
        <w:t xml:space="preserve">(WSD17-08) </w:t>
      </w:r>
      <w:r w:rsidRPr="007E650E">
        <w:t>(March 14, 2018) for Procurement Guidelines.</w:t>
      </w:r>
    </w:p>
    <w:p w14:paraId="36201BB4" w14:textId="6B64A620" w:rsidR="00FA04E7" w:rsidRPr="007E650E" w:rsidRDefault="00FA04E7" w:rsidP="002A11AD">
      <w:pPr>
        <w:pStyle w:val="ListParagraph"/>
        <w:spacing w:after="0" w:line="240" w:lineRule="auto"/>
      </w:pPr>
      <w:r w:rsidRPr="007E650E">
        <w:t>The Item Description column must list all equipment costing $</w:t>
      </w:r>
      <w:r w:rsidR="00C134B9" w:rsidRPr="007E650E">
        <w:t>10</w:t>
      </w:r>
      <w:r w:rsidRPr="007E650E">
        <w:t xml:space="preserve">,000 or more. </w:t>
      </w:r>
    </w:p>
    <w:p w14:paraId="08D3A501" w14:textId="77777777" w:rsidR="00FA04E7" w:rsidRPr="007E650E" w:rsidRDefault="00FA04E7" w:rsidP="002A11AD">
      <w:pPr>
        <w:pStyle w:val="ListParagraph"/>
        <w:spacing w:after="0" w:line="240" w:lineRule="auto"/>
      </w:pPr>
      <w:r w:rsidRPr="007E650E">
        <w:t>The Quantity column must contain the desired amount for each item in the Item Description column.</w:t>
      </w:r>
    </w:p>
    <w:p w14:paraId="3A6DDE52" w14:textId="77777777" w:rsidR="00FA04E7" w:rsidRPr="007E650E" w:rsidRDefault="00FA04E7" w:rsidP="002A11AD">
      <w:pPr>
        <w:pStyle w:val="ListParagraph"/>
        <w:spacing w:after="0" w:line="240" w:lineRule="auto"/>
      </w:pPr>
      <w:r w:rsidRPr="007E650E">
        <w:t>The Cost Per Item column must contain the cost for each item listed in the Item Description column.</w:t>
      </w:r>
    </w:p>
    <w:p w14:paraId="23F6CA28" w14:textId="77777777" w:rsidR="00FA04E7" w:rsidRPr="007E650E" w:rsidRDefault="00FA04E7" w:rsidP="002A11AD">
      <w:pPr>
        <w:pStyle w:val="ListParagraph"/>
        <w:spacing w:after="0" w:line="240" w:lineRule="auto"/>
      </w:pPr>
      <w:r w:rsidRPr="007E650E">
        <w:t>Right-click each cell in the Total Cost column and select "Update Field" to populate the total cost for each item listed in the Item Description column.</w:t>
      </w:r>
    </w:p>
    <w:p w14:paraId="4DB61641" w14:textId="77777777" w:rsidR="00FA04E7" w:rsidRPr="007E650E" w:rsidRDefault="00FA04E7" w:rsidP="002A11AD">
      <w:pPr>
        <w:pStyle w:val="ListParagraph"/>
        <w:spacing w:after="0" w:line="240" w:lineRule="auto"/>
      </w:pPr>
      <w:r w:rsidRPr="007E650E">
        <w:t>The Percent Charged to Project column must be manually calculated. If the percentage sign is deleted, it must be re-entered manually to ensure an accurate calculation in the following column, the Total Cost Charged to Project column.</w:t>
      </w:r>
    </w:p>
    <w:p w14:paraId="5D809E84" w14:textId="77777777" w:rsidR="00FA04E7" w:rsidRPr="007E650E" w:rsidRDefault="00FA04E7" w:rsidP="002A11AD">
      <w:pPr>
        <w:pStyle w:val="ListParagraph"/>
        <w:spacing w:after="0" w:line="240" w:lineRule="auto"/>
      </w:pPr>
      <w:r w:rsidRPr="007E650E">
        <w:t>To populate the Total Cost Charged to Project column, right-click each cell and select "Update Field."</w:t>
      </w:r>
    </w:p>
    <w:p w14:paraId="39555B86" w14:textId="4C6B2B1D" w:rsidR="00576144" w:rsidRPr="007E650E" w:rsidRDefault="00FA04E7" w:rsidP="00437424">
      <w:pPr>
        <w:pStyle w:val="ListParagraph"/>
      </w:pPr>
      <w:r w:rsidRPr="007E650E">
        <w:t>To populate the Total cells in the final row of columns 3 and 5, right-click on each cell and select "Update Field."</w:t>
      </w:r>
    </w:p>
    <w:p w14:paraId="34EBBC0B" w14:textId="77777777" w:rsidR="00437424" w:rsidRPr="007E650E" w:rsidRDefault="00437424">
      <w:pPr>
        <w:rPr>
          <w:rFonts w:ascii="Calibri" w:eastAsia="Calibri" w:hAnsi="Calibri" w:cstheme="minorHAnsi"/>
          <w:b/>
          <w:bCs/>
          <w:sz w:val="24"/>
          <w:szCs w:val="24"/>
          <w:lang w:val="en"/>
        </w:rPr>
      </w:pPr>
      <w:r w:rsidRPr="007E650E">
        <w:rPr>
          <w:b/>
          <w:bCs/>
        </w:rPr>
        <w:br w:type="page"/>
      </w:r>
    </w:p>
    <w:p w14:paraId="3604C999" w14:textId="4661E71A" w:rsidR="0081202A" w:rsidRPr="007E650E" w:rsidRDefault="0081202A" w:rsidP="00437424">
      <w:pPr>
        <w:pStyle w:val="Heading5"/>
      </w:pPr>
      <w:r w:rsidRPr="007E650E">
        <w:lastRenderedPageBreak/>
        <w:t xml:space="preserve">Exhibit G – Supplemental Budget, Section 2: Subrecipient </w:t>
      </w:r>
    </w:p>
    <w:p w14:paraId="51B4F907" w14:textId="6C1CAEB3" w:rsidR="00FA04E7" w:rsidRPr="007E650E" w:rsidRDefault="00707BF4" w:rsidP="002A11AD">
      <w:pPr>
        <w:pStyle w:val="ListParagraph"/>
        <w:spacing w:after="0" w:line="240" w:lineRule="auto"/>
      </w:pPr>
      <w:r w:rsidRPr="007E650E">
        <w:rPr>
          <w:lang w:bidi="en-US"/>
        </w:rPr>
        <w:t>If an applicant plans to sub-award funds to a subrecipient to carry out a portion of the grant services, the Supplemental Budget (</w:t>
      </w:r>
      <w:r w:rsidRPr="007E650E">
        <w:rPr>
          <w:i/>
          <w:lang w:bidi="en-US"/>
        </w:rPr>
        <w:t>Exhibit G</w:t>
      </w:r>
      <w:r w:rsidRPr="007E650E">
        <w:rPr>
          <w:lang w:bidi="en-US"/>
        </w:rPr>
        <w:t xml:space="preserve">), Section </w:t>
      </w:r>
      <w:r w:rsidR="00576144" w:rsidRPr="007E650E">
        <w:rPr>
          <w:lang w:bidi="en-US"/>
        </w:rPr>
        <w:t>2</w:t>
      </w:r>
      <w:r w:rsidRPr="007E650E">
        <w:rPr>
          <w:lang w:bidi="en-US"/>
        </w:rPr>
        <w:t>: Subrecipient must be completed.</w:t>
      </w:r>
    </w:p>
    <w:p w14:paraId="26C25B02" w14:textId="4F51B296" w:rsidR="00FA04E7" w:rsidRPr="007E650E" w:rsidRDefault="00FA04E7" w:rsidP="002A11AD">
      <w:pPr>
        <w:pStyle w:val="ListParagraph"/>
        <w:spacing w:after="0" w:line="240" w:lineRule="auto"/>
      </w:pPr>
      <w:r w:rsidRPr="007E650E">
        <w:t xml:space="preserve">The Service Provider Name column must list the subrecipient's name, if known/selected. If </w:t>
      </w:r>
      <w:r w:rsidR="009840E8" w:rsidRPr="007E650E">
        <w:t xml:space="preserve">the </w:t>
      </w:r>
      <w:r w:rsidRPr="007E650E">
        <w:t xml:space="preserve">Service Provider is unknown, then insert </w:t>
      </w:r>
      <w:r w:rsidR="000D5ACF">
        <w:t>"</w:t>
      </w:r>
      <w:r w:rsidRPr="007E650E">
        <w:t>unknown</w:t>
      </w:r>
      <w:r w:rsidR="000D5ACF">
        <w:t>"</w:t>
      </w:r>
      <w:r w:rsidRPr="007E650E">
        <w:t xml:space="preserve"> in the column. </w:t>
      </w:r>
    </w:p>
    <w:p w14:paraId="092A30EC" w14:textId="7A3E9FAB" w:rsidR="00FA04E7" w:rsidRPr="007E650E" w:rsidRDefault="00FA04E7" w:rsidP="002A11AD">
      <w:pPr>
        <w:pStyle w:val="ListParagraph"/>
        <w:spacing w:after="0" w:line="240" w:lineRule="auto"/>
      </w:pPr>
      <w:r w:rsidRPr="007E650E">
        <w:t>The Sub</w:t>
      </w:r>
      <w:r w:rsidR="002F790A" w:rsidRPr="007E650E">
        <w:t>a</w:t>
      </w:r>
      <w:r w:rsidRPr="007E650E">
        <w:t>ward Amount column must contain the desired sub</w:t>
      </w:r>
      <w:r w:rsidR="002F790A" w:rsidRPr="007E650E">
        <w:t>a</w:t>
      </w:r>
      <w:r w:rsidRPr="007E650E">
        <w:t xml:space="preserve">ward amount of each service provider listed in the Service Provider Name column. </w:t>
      </w:r>
    </w:p>
    <w:p w14:paraId="32A3955E" w14:textId="77777777" w:rsidR="00FA04E7" w:rsidRPr="007E650E" w:rsidRDefault="00FA04E7" w:rsidP="002A11AD">
      <w:pPr>
        <w:pStyle w:val="ListParagraph"/>
        <w:spacing w:after="0" w:line="240" w:lineRule="auto"/>
      </w:pPr>
      <w:r w:rsidRPr="007E650E">
        <w:t xml:space="preserve">The Deliverables column must contain the deliverables contributing to the grant objectives for each provider listed in the Service Provider Name column. </w:t>
      </w:r>
    </w:p>
    <w:p w14:paraId="2341E60F" w14:textId="54210959" w:rsidR="008544AA" w:rsidRPr="007E650E" w:rsidRDefault="00FA04E7" w:rsidP="002A11AD">
      <w:pPr>
        <w:pStyle w:val="ListParagraph"/>
      </w:pPr>
      <w:r w:rsidRPr="007E650E">
        <w:t xml:space="preserve">Right-click on the Total cell in the Subaward Amount column and select "Update Field" to populate the total award for each amount listed in the Subaward Amount column. </w:t>
      </w:r>
    </w:p>
    <w:p w14:paraId="17DFF150" w14:textId="3696517B" w:rsidR="0081202A" w:rsidRPr="007E650E" w:rsidRDefault="0081202A" w:rsidP="00437424">
      <w:pPr>
        <w:pStyle w:val="Heading5"/>
      </w:pPr>
      <w:r w:rsidRPr="007E650E">
        <w:t xml:space="preserve">Exhibit G – Supplemental Budget, Section 3: Contractor </w:t>
      </w:r>
    </w:p>
    <w:p w14:paraId="01FB9F9B" w14:textId="7B70A434" w:rsidR="00FA04E7" w:rsidRPr="007E650E" w:rsidRDefault="00FA04E7" w:rsidP="002A11AD">
      <w:pPr>
        <w:pStyle w:val="ListParagraph"/>
        <w:spacing w:after="0" w:line="240" w:lineRule="auto"/>
      </w:pPr>
      <w:r w:rsidRPr="007E650E">
        <w:t xml:space="preserve">If an applicant plans to procure a contract with a contractor such as a vendor, dealer, distributor, merchant, or other seller providing goods or services, the Supplemental Budget (Exhibit G), Section </w:t>
      </w:r>
      <w:r w:rsidR="00576144" w:rsidRPr="007E650E">
        <w:t>3</w:t>
      </w:r>
      <w:r w:rsidRPr="007E650E">
        <w:t>: Contractor must be completed.</w:t>
      </w:r>
    </w:p>
    <w:p w14:paraId="2D269EE1" w14:textId="77777777" w:rsidR="00FA04E7" w:rsidRPr="007E650E" w:rsidRDefault="00FA04E7" w:rsidP="002A11AD">
      <w:pPr>
        <w:pStyle w:val="ListParagraph"/>
        <w:spacing w:after="0" w:line="240" w:lineRule="auto"/>
      </w:pPr>
      <w:r w:rsidRPr="007E650E">
        <w:t>The Description-Type of Service column must list the type of goods or services the contractor will provide through procurement.</w:t>
      </w:r>
    </w:p>
    <w:p w14:paraId="3DA9DF9A" w14:textId="77777777" w:rsidR="00FA04E7" w:rsidRPr="007E650E" w:rsidRDefault="00FA04E7" w:rsidP="002A11AD">
      <w:pPr>
        <w:pStyle w:val="ListParagraph"/>
        <w:spacing w:after="0" w:line="240" w:lineRule="auto"/>
      </w:pPr>
      <w:r w:rsidRPr="007E650E">
        <w:t>The Cost column must contain the service(s) cost for each service listed in the Description-Type of Service column.</w:t>
      </w:r>
    </w:p>
    <w:p w14:paraId="38F3FAD3" w14:textId="044BFE1A" w:rsidR="00FA04E7" w:rsidRPr="007E650E" w:rsidRDefault="00FA04E7" w:rsidP="002A11AD">
      <w:pPr>
        <w:pStyle w:val="ListParagraph"/>
        <w:spacing w:after="0" w:line="240" w:lineRule="auto"/>
      </w:pPr>
      <w:r w:rsidRPr="007E650E">
        <w:t xml:space="preserve">The Service Provider (if known) column must list the contractor's name that has been competitively procured to provide the contractual services for each service listed in the Description-Type of Service column; (if unknown put </w:t>
      </w:r>
      <w:r w:rsidR="000D5ACF">
        <w:t>"</w:t>
      </w:r>
      <w:r w:rsidRPr="007E650E">
        <w:t>Unknown</w:t>
      </w:r>
      <w:r w:rsidR="000D5ACF">
        <w:t>"</w:t>
      </w:r>
      <w:r w:rsidRPr="007E650E">
        <w:t>).</w:t>
      </w:r>
    </w:p>
    <w:p w14:paraId="0BEA1D83" w14:textId="02EA4F5E" w:rsidR="008544AA" w:rsidRPr="007E650E" w:rsidRDefault="00FA04E7" w:rsidP="002A11AD">
      <w:pPr>
        <w:pStyle w:val="ListParagraph"/>
      </w:pPr>
      <w:r w:rsidRPr="007E650E">
        <w:t>Right-click on the Total cell in the Cost column and select "Update Field" to populate the total cost for each amount listed in the Cost column.</w:t>
      </w:r>
      <w:r w:rsidR="008544AA" w:rsidRPr="007E650E">
        <w:t xml:space="preserve"> </w:t>
      </w:r>
    </w:p>
    <w:p w14:paraId="17AF57F3" w14:textId="16671A74" w:rsidR="008544AA" w:rsidRPr="007E650E" w:rsidRDefault="008544AA" w:rsidP="00F470F1">
      <w:pPr>
        <w:pStyle w:val="BodyText"/>
      </w:pPr>
      <w:r w:rsidRPr="007E650E">
        <w:rPr>
          <w:i/>
          <w:iCs/>
          <w:lang w:val="en-US"/>
        </w:rPr>
        <w:t xml:space="preserve">Exhibit G Supplemental Budget </w:t>
      </w:r>
      <w:r w:rsidRPr="007E650E">
        <w:rPr>
          <w:lang w:val="en-US"/>
        </w:rPr>
        <w:t xml:space="preserve">must be submitted in MS Word format. Save this document according to the following naming convention: </w:t>
      </w:r>
      <w:r w:rsidR="000D5ACF">
        <w:rPr>
          <w:lang w:val="en-US"/>
        </w:rPr>
        <w:t>"</w:t>
      </w:r>
      <w:r w:rsidR="00AE37F3" w:rsidRPr="007E650E">
        <w:rPr>
          <w:lang w:val="en-US"/>
        </w:rPr>
        <w:t>ABC</w:t>
      </w:r>
      <w:r w:rsidRPr="007E650E">
        <w:rPr>
          <w:lang w:val="en-US"/>
        </w:rPr>
        <w:t xml:space="preserve"> </w:t>
      </w:r>
      <w:r w:rsidR="00FA04E7" w:rsidRPr="007E650E">
        <w:rPr>
          <w:lang w:val="en-US"/>
        </w:rPr>
        <w:t>DHH PY 25-26</w:t>
      </w:r>
      <w:r w:rsidRPr="007E650E">
        <w:rPr>
          <w:lang w:val="en-US"/>
        </w:rPr>
        <w:t xml:space="preserve"> </w:t>
      </w:r>
      <w:proofErr w:type="spellStart"/>
      <w:r w:rsidRPr="007E650E">
        <w:rPr>
          <w:lang w:val="en-US"/>
        </w:rPr>
        <w:t>ExG</w:t>
      </w:r>
      <w:proofErr w:type="spellEnd"/>
      <w:r w:rsidRPr="007E650E">
        <w:rPr>
          <w:lang w:val="en-US"/>
        </w:rPr>
        <w:t>.</w:t>
      </w:r>
      <w:r w:rsidR="000D5ACF">
        <w:rPr>
          <w:lang w:val="en-US"/>
        </w:rPr>
        <w:t>"</w:t>
      </w:r>
    </w:p>
    <w:p w14:paraId="6D286837" w14:textId="77777777" w:rsidR="008544AA" w:rsidRPr="007E650E" w:rsidRDefault="008544AA" w:rsidP="00F470F1">
      <w:pPr>
        <w:pStyle w:val="Heading3"/>
      </w:pPr>
      <w:bookmarkStart w:id="161" w:name="_Toc167894632"/>
      <w:bookmarkStart w:id="162" w:name="_Toc167894690"/>
      <w:bookmarkStart w:id="163" w:name="_Toc195189617"/>
      <w:bookmarkEnd w:id="161"/>
      <w:bookmarkEnd w:id="162"/>
      <w:r w:rsidRPr="007E650E">
        <w:t>Exhibit Attachment Instructions</w:t>
      </w:r>
      <w:bookmarkEnd w:id="163"/>
    </w:p>
    <w:p w14:paraId="4232FA32" w14:textId="6B6A66BC" w:rsidR="008544AA" w:rsidRPr="007E650E" w:rsidRDefault="008544AA" w:rsidP="00F470F1">
      <w:pPr>
        <w:pStyle w:val="BodyText"/>
      </w:pPr>
      <w:r w:rsidRPr="007E650E">
        <w:rPr>
          <w:lang w:val="en-US"/>
        </w:rPr>
        <w:t>Complete only the required information in the exhibit</w:t>
      </w:r>
      <w:r w:rsidR="000D5ACF">
        <w:rPr>
          <w:lang w:val="en-US"/>
        </w:rPr>
        <w:t>'</w:t>
      </w:r>
      <w:r w:rsidRPr="007E650E">
        <w:rPr>
          <w:lang w:val="en-US"/>
        </w:rPr>
        <w:t>s attachments. Do not change or alter the exhibit attachments. Submit all exhibit attachments in the required format with the following title: "[Applicant</w:t>
      </w:r>
      <w:r w:rsidR="000D5ACF">
        <w:rPr>
          <w:lang w:val="en-US"/>
        </w:rPr>
        <w:t>'</w:t>
      </w:r>
      <w:r w:rsidRPr="007E650E">
        <w:rPr>
          <w:lang w:val="en-US"/>
        </w:rPr>
        <w:t>s Three Digit Initialism] [Grant Initial] [PY XX-XX] [Attachment Abbreviated Title]." For example, "</w:t>
      </w:r>
      <w:r w:rsidR="00AE37F3" w:rsidRPr="007E650E">
        <w:rPr>
          <w:lang w:val="en-US"/>
        </w:rPr>
        <w:t>ABC</w:t>
      </w:r>
      <w:r w:rsidRPr="007E650E">
        <w:rPr>
          <w:lang w:val="en-US"/>
        </w:rPr>
        <w:t xml:space="preserve"> </w:t>
      </w:r>
      <w:r w:rsidR="00FA04E7" w:rsidRPr="007E650E">
        <w:rPr>
          <w:lang w:val="en-US"/>
        </w:rPr>
        <w:t>DHH PY 25-26</w:t>
      </w:r>
      <w:r w:rsidRPr="007E650E">
        <w:rPr>
          <w:lang w:val="en-US"/>
        </w:rPr>
        <w:t xml:space="preserve"> </w:t>
      </w:r>
      <w:proofErr w:type="spellStart"/>
      <w:r w:rsidRPr="007E650E">
        <w:rPr>
          <w:lang w:val="en-US"/>
        </w:rPr>
        <w:t>CovSign</w:t>
      </w:r>
      <w:proofErr w:type="spellEnd"/>
      <w:r w:rsidRPr="007E650E">
        <w:rPr>
          <w:lang w:val="en-US"/>
        </w:rPr>
        <w:t>" for the Cover</w:t>
      </w:r>
      <w:r w:rsidR="00370E12" w:rsidRPr="007E650E">
        <w:rPr>
          <w:lang w:val="en-US"/>
        </w:rPr>
        <w:t>/</w:t>
      </w:r>
      <w:r w:rsidRPr="007E650E">
        <w:rPr>
          <w:lang w:val="en-US"/>
        </w:rPr>
        <w:t xml:space="preserve">Signature Page. File names must not exceed 40 characters. </w:t>
      </w:r>
    </w:p>
    <w:p w14:paraId="1786CC25" w14:textId="36E43018" w:rsidR="008544AA" w:rsidRPr="007E650E" w:rsidRDefault="008544AA" w:rsidP="01476CFA">
      <w:pPr>
        <w:pStyle w:val="BodyText"/>
        <w:rPr>
          <w:lang w:val="en-US"/>
        </w:rPr>
      </w:pPr>
      <w:r w:rsidRPr="007E650E">
        <w:rPr>
          <w:b/>
          <w:bCs/>
          <w:lang w:val="en-US"/>
        </w:rPr>
        <w:t>Disclaimer</w:t>
      </w:r>
      <w:r w:rsidRPr="007E650E">
        <w:rPr>
          <w:lang w:val="en-US"/>
        </w:rPr>
        <w:t xml:space="preserve"> </w:t>
      </w:r>
      <w:r w:rsidR="00437424" w:rsidRPr="007E650E">
        <w:rPr>
          <w:lang w:val="en-US"/>
        </w:rPr>
        <w:t xml:space="preserve">– </w:t>
      </w:r>
      <w:r w:rsidRPr="007E650E">
        <w:rPr>
          <w:lang w:val="en-US"/>
        </w:rPr>
        <w:t>All exhibit attachments must be completed accurately and submitted as part of the application package.</w:t>
      </w:r>
      <w:r w:rsidR="005551BA" w:rsidRPr="007E650E">
        <w:rPr>
          <w:lang w:val="en-US"/>
        </w:rPr>
        <w:t xml:space="preserve"> </w:t>
      </w:r>
    </w:p>
    <w:p w14:paraId="579EF93B" w14:textId="6C51605D" w:rsidR="008544AA" w:rsidRPr="007E650E" w:rsidRDefault="008544AA" w:rsidP="00F470F1">
      <w:pPr>
        <w:pStyle w:val="Heading4"/>
      </w:pPr>
      <w:bookmarkStart w:id="164" w:name="_Hlk158721564"/>
      <w:r w:rsidRPr="007E650E">
        <w:rPr>
          <w:lang w:val="en-US"/>
        </w:rPr>
        <w:lastRenderedPageBreak/>
        <w:t>Cover</w:t>
      </w:r>
      <w:r w:rsidR="00370E12" w:rsidRPr="007E650E">
        <w:rPr>
          <w:lang w:val="en-US"/>
        </w:rPr>
        <w:t>/</w:t>
      </w:r>
      <w:r w:rsidRPr="007E650E">
        <w:rPr>
          <w:lang w:val="en-US"/>
        </w:rPr>
        <w:t>Signature Page</w:t>
      </w:r>
      <w:r w:rsidR="0081202A" w:rsidRPr="007E650E">
        <w:rPr>
          <w:lang w:val="en-US"/>
        </w:rPr>
        <w:t xml:space="preserve"> (</w:t>
      </w:r>
      <w:proofErr w:type="spellStart"/>
      <w:r w:rsidRPr="007E650E">
        <w:rPr>
          <w:lang w:val="en-US"/>
        </w:rPr>
        <w:t>CovSign</w:t>
      </w:r>
      <w:proofErr w:type="spellEnd"/>
      <w:r w:rsidR="0081202A" w:rsidRPr="007E650E">
        <w:rPr>
          <w:lang w:val="en-US"/>
        </w:rPr>
        <w:t>)</w:t>
      </w:r>
      <w:r w:rsidRPr="007E650E">
        <w:rPr>
          <w:lang w:val="en-US"/>
        </w:rPr>
        <w:t xml:space="preserve"> </w:t>
      </w:r>
    </w:p>
    <w:p w14:paraId="08CC38DC" w14:textId="30D5DF48" w:rsidR="008544AA" w:rsidRPr="007E650E" w:rsidRDefault="008544AA" w:rsidP="00F470F1">
      <w:pPr>
        <w:pStyle w:val="BodyText"/>
      </w:pPr>
      <w:r w:rsidRPr="007E650E">
        <w:rPr>
          <w:lang w:val="en-US"/>
        </w:rPr>
        <w:t xml:space="preserve">The Cover Signature page must be completed and submitted electronically as a PDF document with the electronic signature of the signatory authority designated by the organization applying. Ensure that contact information for both the designated contact person and the authorized signatory authority is correct. Save this document according to the naming convention: </w:t>
      </w:r>
      <w:r w:rsidR="000D5ACF">
        <w:rPr>
          <w:lang w:val="en-US"/>
        </w:rPr>
        <w:t>"</w:t>
      </w:r>
      <w:r w:rsidR="00AE37F3" w:rsidRPr="007E650E">
        <w:rPr>
          <w:lang w:val="en-US"/>
        </w:rPr>
        <w:t>ABC</w:t>
      </w:r>
      <w:r w:rsidRPr="007E650E">
        <w:rPr>
          <w:lang w:val="en-US"/>
        </w:rPr>
        <w:t xml:space="preserve"> </w:t>
      </w:r>
      <w:r w:rsidR="00FA04E7" w:rsidRPr="007E650E">
        <w:rPr>
          <w:lang w:val="en-US"/>
        </w:rPr>
        <w:t>DHH PY 25-26</w:t>
      </w:r>
      <w:r w:rsidRPr="007E650E">
        <w:rPr>
          <w:lang w:val="en-US"/>
        </w:rPr>
        <w:t xml:space="preserve"> </w:t>
      </w:r>
      <w:proofErr w:type="spellStart"/>
      <w:r w:rsidRPr="007E650E">
        <w:rPr>
          <w:lang w:val="en-US"/>
        </w:rPr>
        <w:t>CovSign</w:t>
      </w:r>
      <w:proofErr w:type="spellEnd"/>
      <w:r w:rsidR="000D5ACF">
        <w:rPr>
          <w:lang w:val="en-US"/>
        </w:rPr>
        <w:t>"</w:t>
      </w:r>
      <w:r w:rsidRPr="007E650E">
        <w:rPr>
          <w:lang w:val="en-US"/>
        </w:rPr>
        <w:t>.</w:t>
      </w:r>
    </w:p>
    <w:p w14:paraId="1DADFD08" w14:textId="2AC974D2" w:rsidR="008544AA" w:rsidRPr="007E650E" w:rsidRDefault="008544AA" w:rsidP="00F470F1">
      <w:pPr>
        <w:pStyle w:val="Heading4"/>
      </w:pPr>
      <w:bookmarkStart w:id="165" w:name="_Hlk141867487"/>
      <w:bookmarkEnd w:id="164"/>
      <w:r w:rsidRPr="007E650E">
        <w:rPr>
          <w:lang w:val="en-US"/>
        </w:rPr>
        <w:t xml:space="preserve"> Executive Summary</w:t>
      </w:r>
      <w:bookmarkEnd w:id="165"/>
      <w:r w:rsidR="006D18DF" w:rsidRPr="007E650E">
        <w:rPr>
          <w:lang w:val="en-US"/>
        </w:rPr>
        <w:t xml:space="preserve"> (</w:t>
      </w:r>
      <w:proofErr w:type="spellStart"/>
      <w:r w:rsidR="006D18DF" w:rsidRPr="007E650E">
        <w:rPr>
          <w:lang w:val="en-US"/>
        </w:rPr>
        <w:t>E</w:t>
      </w:r>
      <w:r w:rsidRPr="007E650E">
        <w:rPr>
          <w:lang w:val="en-US"/>
        </w:rPr>
        <w:t>xecSum</w:t>
      </w:r>
      <w:proofErr w:type="spellEnd"/>
      <w:r w:rsidR="006D18DF" w:rsidRPr="007E650E">
        <w:rPr>
          <w:lang w:val="en-US"/>
        </w:rPr>
        <w:t>)</w:t>
      </w:r>
    </w:p>
    <w:p w14:paraId="141D4C41" w14:textId="365E76D0" w:rsidR="00003FD2" w:rsidRPr="007E650E" w:rsidRDefault="00003FD2" w:rsidP="00F470F1">
      <w:pPr>
        <w:pStyle w:val="BodyText"/>
        <w:rPr>
          <w:lang w:val="en-US"/>
        </w:rPr>
      </w:pPr>
      <w:r w:rsidRPr="007E650E">
        <w:rPr>
          <w:lang w:val="en-US" w:bidi="en-US"/>
        </w:rPr>
        <w:t>The Executive Summary is limited to three pages. All sections must be completed. The Executive Summary will be publicly posted online and must be written in complete sentences (unless otherwise indicated) with proper grammar. Acronyms must be spelled out the first time they are used. Summaries that do not meet these requirements will be returned to the applicant to be rewritten.</w:t>
      </w:r>
    </w:p>
    <w:p w14:paraId="05B05D42" w14:textId="03A5A31E" w:rsidR="008544AA" w:rsidRPr="007E650E" w:rsidRDefault="00003FD2" w:rsidP="00F470F1">
      <w:pPr>
        <w:pStyle w:val="BodyText"/>
      </w:pPr>
      <w:r w:rsidRPr="007E650E">
        <w:rPr>
          <w:lang w:val="en-US"/>
        </w:rPr>
        <w:t>See the bulleted list below for specific instructions.</w:t>
      </w:r>
      <w:r w:rsidR="008544AA" w:rsidRPr="007E650E">
        <w:rPr>
          <w:lang w:val="en-US"/>
        </w:rPr>
        <w:t xml:space="preserve"> </w:t>
      </w:r>
      <w:bookmarkStart w:id="166" w:name="_Hlk158720729"/>
      <w:bookmarkStart w:id="167" w:name="_Hlk146808801"/>
      <w:r w:rsidR="008544AA" w:rsidRPr="007E650E">
        <w:rPr>
          <w:lang w:val="en-US"/>
        </w:rPr>
        <w:t xml:space="preserve">Save and submit this document according to the naming convention: </w:t>
      </w:r>
      <w:bookmarkEnd w:id="166"/>
      <w:r w:rsidR="000D5ACF">
        <w:rPr>
          <w:lang w:val="en-US"/>
        </w:rPr>
        <w:t>"</w:t>
      </w:r>
      <w:r w:rsidR="00AE37F3" w:rsidRPr="007E650E">
        <w:rPr>
          <w:lang w:val="en-US"/>
        </w:rPr>
        <w:t>ABC</w:t>
      </w:r>
      <w:r w:rsidR="008544AA" w:rsidRPr="007E650E">
        <w:rPr>
          <w:lang w:val="en-US"/>
        </w:rPr>
        <w:t xml:space="preserve"> </w:t>
      </w:r>
      <w:r w:rsidR="00CF0D6C" w:rsidRPr="007E650E">
        <w:rPr>
          <w:lang w:val="en-US"/>
        </w:rPr>
        <w:t>DHH</w:t>
      </w:r>
      <w:r w:rsidR="008544AA" w:rsidRPr="007E650E">
        <w:rPr>
          <w:lang w:val="en-US"/>
        </w:rPr>
        <w:t xml:space="preserve"> PY 2</w:t>
      </w:r>
      <w:r w:rsidR="00CF0D6C" w:rsidRPr="007E650E">
        <w:rPr>
          <w:lang w:val="en-US"/>
        </w:rPr>
        <w:t>5</w:t>
      </w:r>
      <w:r w:rsidR="008544AA" w:rsidRPr="007E650E">
        <w:rPr>
          <w:lang w:val="en-US"/>
        </w:rPr>
        <w:t>-2</w:t>
      </w:r>
      <w:r w:rsidR="00CF0D6C" w:rsidRPr="007E650E">
        <w:rPr>
          <w:lang w:val="en-US"/>
        </w:rPr>
        <w:t>6</w:t>
      </w:r>
      <w:r w:rsidR="008544AA" w:rsidRPr="007E650E">
        <w:rPr>
          <w:lang w:val="en-US"/>
        </w:rPr>
        <w:t xml:space="preserve"> </w:t>
      </w:r>
      <w:proofErr w:type="spellStart"/>
      <w:r w:rsidR="008544AA" w:rsidRPr="007E650E">
        <w:rPr>
          <w:lang w:val="en-US"/>
        </w:rPr>
        <w:t>ExecSum</w:t>
      </w:r>
      <w:proofErr w:type="spellEnd"/>
      <w:r w:rsidR="000D5ACF">
        <w:rPr>
          <w:lang w:val="en-US"/>
        </w:rPr>
        <w:t>"</w:t>
      </w:r>
      <w:r w:rsidR="008544AA" w:rsidRPr="007E650E">
        <w:rPr>
          <w:lang w:val="en-US"/>
        </w:rPr>
        <w:t>.</w:t>
      </w:r>
      <w:bookmarkEnd w:id="167"/>
    </w:p>
    <w:p w14:paraId="59F65B5B" w14:textId="6E9A7AD3" w:rsidR="008544AA" w:rsidRPr="007E650E" w:rsidRDefault="00137533" w:rsidP="00437424">
      <w:pPr>
        <w:pStyle w:val="Heading5"/>
      </w:pPr>
      <w:r w:rsidRPr="007E650E">
        <w:t>Executive Summ</w:t>
      </w:r>
      <w:r w:rsidR="001D3AC0" w:rsidRPr="007E650E">
        <w:t>ar</w:t>
      </w:r>
      <w:r w:rsidRPr="007E650E">
        <w:t>y Content</w:t>
      </w:r>
    </w:p>
    <w:p w14:paraId="386AFF31" w14:textId="77777777" w:rsidR="00FA04E7" w:rsidRPr="007E650E" w:rsidRDefault="00FA04E7" w:rsidP="00CA0DB0">
      <w:pPr>
        <w:pStyle w:val="BodyText"/>
        <w:spacing w:after="0"/>
      </w:pPr>
      <w:r w:rsidRPr="007E650E">
        <w:t>Counties to be Served</w:t>
      </w:r>
    </w:p>
    <w:p w14:paraId="7BCCDF93" w14:textId="77777777" w:rsidR="00FA04E7" w:rsidRPr="007E650E" w:rsidRDefault="00FA04E7" w:rsidP="00FA04E7">
      <w:pPr>
        <w:pStyle w:val="ListParagraph"/>
      </w:pPr>
      <w:r w:rsidRPr="007E650E">
        <w:t>If serving more than one county, list counties in alphabetical order.</w:t>
      </w:r>
    </w:p>
    <w:p w14:paraId="7DAA165D" w14:textId="77777777" w:rsidR="00FA04E7" w:rsidRPr="007E650E" w:rsidRDefault="00FA04E7" w:rsidP="00CA0DB0">
      <w:pPr>
        <w:pStyle w:val="BodyText"/>
        <w:spacing w:after="0"/>
      </w:pPr>
      <w:r w:rsidRPr="007E650E">
        <w:t>Key Partners</w:t>
      </w:r>
    </w:p>
    <w:p w14:paraId="0128F9AE" w14:textId="77777777" w:rsidR="00FA04E7" w:rsidRPr="007E650E" w:rsidRDefault="00FA04E7" w:rsidP="00003FD2">
      <w:pPr>
        <w:pStyle w:val="ListParagraph"/>
        <w:spacing w:after="0" w:line="240" w:lineRule="auto"/>
      </w:pPr>
      <w:r w:rsidRPr="007E650E">
        <w:t xml:space="preserve">List key partners in a </w:t>
      </w:r>
      <w:proofErr w:type="gramStart"/>
      <w:r w:rsidRPr="007E650E">
        <w:t>bulleted</w:t>
      </w:r>
      <w:proofErr w:type="gramEnd"/>
      <w:r w:rsidRPr="007E650E">
        <w:t xml:space="preserve"> list.</w:t>
      </w:r>
    </w:p>
    <w:p w14:paraId="1BFF407C" w14:textId="77777777" w:rsidR="00FA04E7" w:rsidRPr="007E650E" w:rsidRDefault="00FA04E7" w:rsidP="00FA04E7">
      <w:pPr>
        <w:pStyle w:val="ListParagraph"/>
      </w:pPr>
      <w:proofErr w:type="gramStart"/>
      <w:r w:rsidRPr="007E650E">
        <w:t>Required</w:t>
      </w:r>
      <w:proofErr w:type="gramEnd"/>
      <w:r w:rsidRPr="007E650E">
        <w:t xml:space="preserve"> partners should be listed first, followed by additional training, education, employer, and supportive services partners.</w:t>
      </w:r>
    </w:p>
    <w:p w14:paraId="2A599856" w14:textId="77777777" w:rsidR="00FA04E7" w:rsidRPr="007E650E" w:rsidRDefault="00FA04E7" w:rsidP="00CA0DB0">
      <w:pPr>
        <w:pStyle w:val="BodyText"/>
        <w:spacing w:after="0"/>
      </w:pPr>
      <w:r w:rsidRPr="007E650E">
        <w:t>Project Description</w:t>
      </w:r>
    </w:p>
    <w:p w14:paraId="4A35DE91" w14:textId="77777777" w:rsidR="00FA04E7" w:rsidRPr="007E650E" w:rsidRDefault="00FA04E7" w:rsidP="00003FD2">
      <w:pPr>
        <w:pStyle w:val="ListParagraph"/>
        <w:spacing w:after="0" w:line="240" w:lineRule="auto"/>
      </w:pPr>
      <w:r w:rsidRPr="007E650E">
        <w:t>Provide an abstract of project highlights (this section should summarize the Project Narrative).</w:t>
      </w:r>
    </w:p>
    <w:p w14:paraId="0FA82F2B" w14:textId="77777777" w:rsidR="00FA04E7" w:rsidRPr="007E650E" w:rsidRDefault="00FA04E7" w:rsidP="00FA04E7">
      <w:pPr>
        <w:pStyle w:val="ListParagraph"/>
      </w:pPr>
      <w:r w:rsidRPr="007E650E">
        <w:t>Use complete sentences and proper grammar.</w:t>
      </w:r>
    </w:p>
    <w:p w14:paraId="42262F2E" w14:textId="77777777" w:rsidR="00FA04E7" w:rsidRPr="007E650E" w:rsidRDefault="00FA04E7" w:rsidP="00CA0DB0">
      <w:pPr>
        <w:pStyle w:val="BodyText"/>
        <w:spacing w:after="0"/>
      </w:pPr>
      <w:r w:rsidRPr="007E650E">
        <w:t>Outreach Plan for Targeted Populations to be Served</w:t>
      </w:r>
    </w:p>
    <w:p w14:paraId="4DECD825" w14:textId="77777777" w:rsidR="00FA04E7" w:rsidRPr="007E650E" w:rsidRDefault="00FA04E7" w:rsidP="00003FD2">
      <w:pPr>
        <w:pStyle w:val="ListParagraph"/>
        <w:spacing w:after="0" w:line="240" w:lineRule="auto"/>
      </w:pPr>
      <w:r w:rsidRPr="007E650E">
        <w:t>Provide an abstract of outreach plan highlights (this section should summarize the project outreach).</w:t>
      </w:r>
    </w:p>
    <w:p w14:paraId="122CD484" w14:textId="77777777" w:rsidR="00FA04E7" w:rsidRPr="007E650E" w:rsidRDefault="00FA04E7" w:rsidP="00FA04E7">
      <w:pPr>
        <w:pStyle w:val="ListParagraph"/>
        <w:rPr>
          <w:lang w:val="en"/>
        </w:rPr>
      </w:pPr>
      <w:r w:rsidRPr="007E650E">
        <w:t>Use complete sentences and proper grammar</w:t>
      </w:r>
      <w:r w:rsidRPr="007E650E">
        <w:rPr>
          <w:lang w:val="en"/>
        </w:rPr>
        <w:t>.</w:t>
      </w:r>
    </w:p>
    <w:p w14:paraId="5CE193F5" w14:textId="77777777" w:rsidR="00FA04E7" w:rsidRPr="007E650E" w:rsidRDefault="00FA04E7" w:rsidP="00CA0DB0">
      <w:pPr>
        <w:pStyle w:val="BodyText"/>
        <w:spacing w:after="0"/>
      </w:pPr>
      <w:r w:rsidRPr="007E650E">
        <w:t>Proposed Outcomes</w:t>
      </w:r>
    </w:p>
    <w:p w14:paraId="54F60D32" w14:textId="43B9BC10" w:rsidR="00FA04E7" w:rsidRPr="007E650E" w:rsidRDefault="00FA04E7" w:rsidP="00003FD2">
      <w:pPr>
        <w:pStyle w:val="ListParagraph"/>
        <w:spacing w:after="0" w:line="240" w:lineRule="auto"/>
      </w:pPr>
      <w:r w:rsidRPr="007E650E">
        <w:t>Proposed outcomes are not the same as performance goals. Outcomes are mid and long-term results demonstrating individual participants</w:t>
      </w:r>
      <w:r w:rsidR="000D5ACF">
        <w:t>'</w:t>
      </w:r>
      <w:r w:rsidRPr="007E650E">
        <w:t xml:space="preserve"> progress towards successful career pathways and reflecting a meaningful change in the workforce system. </w:t>
      </w:r>
    </w:p>
    <w:p w14:paraId="5BC85F10" w14:textId="7E652647" w:rsidR="0006315C" w:rsidRPr="007E650E" w:rsidRDefault="00FA04E7" w:rsidP="00FA04E7">
      <w:pPr>
        <w:pStyle w:val="ListParagraph"/>
      </w:pPr>
      <w:r w:rsidRPr="007E650E">
        <w:t>Include the proposed outcomes of your project in a short narrative.</w:t>
      </w:r>
    </w:p>
    <w:p w14:paraId="19A9AA86" w14:textId="676EBB3D" w:rsidR="008544AA" w:rsidRPr="007E650E" w:rsidRDefault="008544AA" w:rsidP="0006315C">
      <w:pPr>
        <w:pStyle w:val="Heading4"/>
      </w:pPr>
      <w:r w:rsidRPr="007E650E">
        <w:rPr>
          <w:lang w:val="en-US"/>
        </w:rPr>
        <w:lastRenderedPageBreak/>
        <w:t>Commitment Letters</w:t>
      </w:r>
      <w:r w:rsidR="006D18DF" w:rsidRPr="007E650E">
        <w:rPr>
          <w:lang w:val="en-US"/>
        </w:rPr>
        <w:t xml:space="preserve"> (</w:t>
      </w:r>
      <w:r w:rsidRPr="007E650E">
        <w:rPr>
          <w:lang w:val="en-US"/>
        </w:rPr>
        <w:t>ComLtr</w:t>
      </w:r>
      <w:r w:rsidR="006D18DF" w:rsidRPr="007E650E">
        <w:rPr>
          <w:lang w:val="en-US"/>
        </w:rPr>
        <w:t>)</w:t>
      </w:r>
    </w:p>
    <w:p w14:paraId="405AE4B3" w14:textId="788C8BFB" w:rsidR="0006315C" w:rsidRPr="007E650E" w:rsidRDefault="0006315C" w:rsidP="00437424">
      <w:pPr>
        <w:pStyle w:val="Heading5"/>
      </w:pPr>
      <w:r w:rsidRPr="007E650E">
        <w:t xml:space="preserve">Leveraged </w:t>
      </w:r>
      <w:r w:rsidR="00C47F4C" w:rsidRPr="007E650E">
        <w:t>Resource</w:t>
      </w:r>
      <w:r w:rsidRPr="007E650E">
        <w:t xml:space="preserve"> Details</w:t>
      </w:r>
    </w:p>
    <w:p w14:paraId="4D611E2B" w14:textId="75BD1B9F" w:rsidR="0006315C" w:rsidRPr="007E650E" w:rsidRDefault="008544AA" w:rsidP="00F470F1">
      <w:pPr>
        <w:pStyle w:val="BodyText"/>
      </w:pPr>
      <w:r w:rsidRPr="007E650E">
        <w:t xml:space="preserve">There is no leverage </w:t>
      </w:r>
      <w:r w:rsidR="00C47F4C" w:rsidRPr="007E650E">
        <w:t>resource</w:t>
      </w:r>
      <w:r w:rsidRPr="007E650E">
        <w:t xml:space="preserve"> requirement</w:t>
      </w:r>
      <w:r w:rsidR="00437424" w:rsidRPr="007E650E">
        <w:t>,</w:t>
      </w:r>
      <w:r w:rsidRPr="007E650E">
        <w:t xml:space="preserve"> therefore, Commitment Letters are </w:t>
      </w:r>
      <w:r w:rsidR="00331F53" w:rsidRPr="007E650E">
        <w:t xml:space="preserve">only </w:t>
      </w:r>
      <w:r w:rsidRPr="007E650E">
        <w:t>required</w:t>
      </w:r>
      <w:r w:rsidR="00331F53" w:rsidRPr="007E650E">
        <w:t xml:space="preserve"> if applicants are providing leveraged resources</w:t>
      </w:r>
      <w:r w:rsidRPr="007E650E">
        <w:t>.</w:t>
      </w:r>
    </w:p>
    <w:p w14:paraId="1CFF95EC" w14:textId="6E35C62E" w:rsidR="008544AA" w:rsidRPr="007E650E" w:rsidRDefault="008544AA" w:rsidP="00F470F1">
      <w:pPr>
        <w:pStyle w:val="BodyText"/>
        <w:rPr>
          <w:rFonts w:cs="Calibri"/>
        </w:rPr>
      </w:pPr>
      <w:r w:rsidRPr="007E650E">
        <w:rPr>
          <w:rFonts w:cs="Calibri"/>
        </w:rPr>
        <w:t xml:space="preserve">Applicants </w:t>
      </w:r>
      <w:r w:rsidR="00331F53" w:rsidRPr="007E650E">
        <w:rPr>
          <w:rFonts w:cs="Calibri"/>
        </w:rPr>
        <w:t>must</w:t>
      </w:r>
      <w:r w:rsidRPr="007E650E">
        <w:rPr>
          <w:rFonts w:cs="Calibri"/>
        </w:rPr>
        <w:t xml:space="preserve"> provide a letter to verify the dollar amount and the source of contributions from each entity that pledges </w:t>
      </w:r>
      <w:r w:rsidR="00C47F4C" w:rsidRPr="007E650E">
        <w:rPr>
          <w:rFonts w:cs="Calibri"/>
        </w:rPr>
        <w:t>leveraged</w:t>
      </w:r>
      <w:r w:rsidRPr="007E650E">
        <w:rPr>
          <w:rFonts w:cs="Calibri"/>
        </w:rPr>
        <w:t xml:space="preserve"> resources to the project. The letters should clearly define the contribution parameters and include the exact amount or an estimate of the in-kind dollar amount of the contribution. If provided, the individual amounts and totals in these letters should match those listed </w:t>
      </w:r>
      <w:r w:rsidR="00331F53" w:rsidRPr="007E650E">
        <w:rPr>
          <w:rFonts w:cs="Calibri"/>
        </w:rPr>
        <w:t>on the Cover Signature Page</w:t>
      </w:r>
      <w:r w:rsidRPr="007E650E">
        <w:rPr>
          <w:rFonts w:cs="Calibri"/>
        </w:rPr>
        <w:t>. In the case of a discrepancy, the dollar amount pledged in the letter will be used in all calculations. If a partner or partners contribute, the applicant must provide a letter conforming to the stated guidelines.</w:t>
      </w:r>
    </w:p>
    <w:p w14:paraId="407E7F1D" w14:textId="21F9CD2A" w:rsidR="008544AA" w:rsidRPr="007E650E" w:rsidRDefault="008544AA" w:rsidP="00F470F1">
      <w:pPr>
        <w:pStyle w:val="BodyText"/>
      </w:pPr>
      <w:r w:rsidRPr="007E650E">
        <w:t>Commitment Letters</w:t>
      </w:r>
      <w:r w:rsidR="00636FC0" w:rsidRPr="007E650E">
        <w:t>, if applicable,</w:t>
      </w:r>
      <w:r w:rsidRPr="007E650E">
        <w:t xml:space="preserve"> should meet the following criteria:</w:t>
      </w:r>
    </w:p>
    <w:p w14:paraId="4390628D" w14:textId="2D828A17" w:rsidR="000B3459" w:rsidRPr="007E650E" w:rsidRDefault="008544AA" w:rsidP="000B3459">
      <w:pPr>
        <w:pStyle w:val="ListParagraph"/>
        <w:spacing w:after="0" w:line="240" w:lineRule="auto"/>
      </w:pPr>
      <w:r w:rsidRPr="007E650E">
        <w:t xml:space="preserve">Each letter </w:t>
      </w:r>
      <w:r w:rsidR="000B3459" w:rsidRPr="007E650E">
        <w:t>must indicate the dollar amount of leveraged resources.</w:t>
      </w:r>
    </w:p>
    <w:p w14:paraId="4FDF5E37" w14:textId="448896AC" w:rsidR="008544AA" w:rsidRPr="007E650E" w:rsidRDefault="000B3459" w:rsidP="000B3459">
      <w:pPr>
        <w:pStyle w:val="ListParagraph"/>
        <w:spacing w:after="0" w:line="240" w:lineRule="auto"/>
      </w:pPr>
      <w:r w:rsidRPr="007E650E">
        <w:t xml:space="preserve">Each letter </w:t>
      </w:r>
      <w:r w:rsidR="008544AA" w:rsidRPr="007E650E">
        <w:t>must describe in detail each partner's specific roles and responsibilities.</w:t>
      </w:r>
    </w:p>
    <w:p w14:paraId="472E4649" w14:textId="77777777" w:rsidR="008544AA" w:rsidRPr="007E650E" w:rsidRDefault="008544AA" w:rsidP="000B3459">
      <w:pPr>
        <w:pStyle w:val="ListParagraph"/>
        <w:spacing w:after="0" w:line="240" w:lineRule="auto"/>
      </w:pPr>
      <w:r w:rsidRPr="007E650E">
        <w:t>Each letter must describe how the services proposed will differ from or enhance what already exists locally.</w:t>
      </w:r>
    </w:p>
    <w:p w14:paraId="554B4459" w14:textId="40C4B8B5" w:rsidR="008544AA" w:rsidRPr="007E650E" w:rsidRDefault="008544AA" w:rsidP="000B3459">
      <w:pPr>
        <w:pStyle w:val="ListParagraph"/>
        <w:spacing w:after="0" w:line="240" w:lineRule="auto"/>
      </w:pPr>
      <w:r w:rsidRPr="007E650E">
        <w:t>Each letter must be signed by an authorized signatory representative of the partner agency, complete with the contact</w:t>
      </w:r>
      <w:r w:rsidR="000D5ACF">
        <w:t>'</w:t>
      </w:r>
      <w:r w:rsidRPr="007E650E">
        <w:t>s name, title, and telephone number.</w:t>
      </w:r>
    </w:p>
    <w:p w14:paraId="4389DE67" w14:textId="624E3C42" w:rsidR="008544AA" w:rsidRPr="007E650E" w:rsidRDefault="008544AA" w:rsidP="000B3459">
      <w:pPr>
        <w:pStyle w:val="ListParagraph"/>
        <w:spacing w:after="0" w:line="240" w:lineRule="auto"/>
        <w:rPr>
          <w:rFonts w:eastAsia="Calibri" w:cstheme="minorHAnsi"/>
        </w:rPr>
      </w:pPr>
      <w:r w:rsidRPr="007E650E">
        <w:rPr>
          <w:rFonts w:eastAsia="Calibri" w:cstheme="minorHAnsi"/>
        </w:rPr>
        <w:t>Each letter must be dated within the grant competition period between</w:t>
      </w:r>
      <w:r w:rsidR="00B44C60" w:rsidRPr="007E650E">
        <w:rPr>
          <w:rFonts w:eastAsia="Calibri" w:cstheme="minorHAnsi"/>
        </w:rPr>
        <w:t xml:space="preserve"> April 23, 2025 –</w:t>
      </w:r>
      <w:r w:rsidR="00D66A2D" w:rsidRPr="007E650E">
        <w:rPr>
          <w:rFonts w:eastAsia="Calibri" w:cstheme="minorHAnsi"/>
        </w:rPr>
        <w:t xml:space="preserve"> </w:t>
      </w:r>
      <w:r w:rsidR="00B44C60" w:rsidRPr="007E650E">
        <w:rPr>
          <w:rFonts w:eastAsia="Calibri" w:cstheme="minorHAnsi"/>
        </w:rPr>
        <w:t>May 27, 2025</w:t>
      </w:r>
      <w:bookmarkStart w:id="168" w:name="_Hlk157435527"/>
      <w:r w:rsidRPr="007E650E">
        <w:rPr>
          <w:rFonts w:eastAsia="Calibri" w:cstheme="minorHAnsi"/>
        </w:rPr>
        <w:t>.</w:t>
      </w:r>
    </w:p>
    <w:bookmarkEnd w:id="168"/>
    <w:p w14:paraId="183355D8" w14:textId="028E74C1" w:rsidR="008544AA" w:rsidRPr="007E650E" w:rsidRDefault="008544AA" w:rsidP="00F470F1">
      <w:pPr>
        <w:pStyle w:val="ListParagraph"/>
      </w:pPr>
      <w:r w:rsidRPr="007E650E">
        <w:t>Letters must be submitted in one continuous PDF</w:t>
      </w:r>
      <w:r w:rsidR="00B44C60" w:rsidRPr="007E650E">
        <w:t xml:space="preserve"> </w:t>
      </w:r>
      <w:r w:rsidRPr="007E650E">
        <w:t>and submit</w:t>
      </w:r>
      <w:r w:rsidR="009367B4" w:rsidRPr="007E650E">
        <w:t xml:space="preserve">ted </w:t>
      </w:r>
      <w:r w:rsidRPr="007E650E">
        <w:t xml:space="preserve">according to the naming convention: </w:t>
      </w:r>
      <w:r w:rsidR="000D5ACF">
        <w:t>"</w:t>
      </w:r>
      <w:r w:rsidRPr="007E650E">
        <w:t xml:space="preserve">ABC </w:t>
      </w:r>
      <w:r w:rsidR="00CF0D6C" w:rsidRPr="007E650E">
        <w:t>DHH</w:t>
      </w:r>
      <w:r w:rsidRPr="007E650E">
        <w:t xml:space="preserve"> PY 2</w:t>
      </w:r>
      <w:r w:rsidR="00CF0D6C" w:rsidRPr="007E650E">
        <w:t>5</w:t>
      </w:r>
      <w:r w:rsidRPr="007E650E">
        <w:t>-2</w:t>
      </w:r>
      <w:r w:rsidR="00CF0D6C" w:rsidRPr="007E650E">
        <w:t>6</w:t>
      </w:r>
      <w:r w:rsidRPr="007E650E">
        <w:t xml:space="preserve"> ComLtr.</w:t>
      </w:r>
      <w:r w:rsidR="000D5ACF">
        <w:t>"</w:t>
      </w:r>
    </w:p>
    <w:p w14:paraId="05C83A8B" w14:textId="77777777" w:rsidR="008544AA" w:rsidRPr="007E650E" w:rsidRDefault="008544AA" w:rsidP="00437424">
      <w:pPr>
        <w:pStyle w:val="Heading5"/>
      </w:pPr>
      <w:bookmarkStart w:id="169" w:name="_Hlk160111396"/>
      <w:r w:rsidRPr="007E650E">
        <w:t>Reminder of the Submission Guidelines</w:t>
      </w:r>
    </w:p>
    <w:p w14:paraId="6D7A8896" w14:textId="4A408803" w:rsidR="008544AA" w:rsidRPr="007E650E" w:rsidRDefault="008544AA" w:rsidP="00F470F1">
      <w:pPr>
        <w:rPr>
          <w:rFonts w:ascii="Calibri" w:hAnsi="Calibri" w:cs="Calibri"/>
          <w:sz w:val="24"/>
          <w:szCs w:val="24"/>
        </w:rPr>
      </w:pPr>
      <w:r w:rsidRPr="007E650E">
        <w:rPr>
          <w:rFonts w:ascii="Calibri" w:hAnsi="Calibri" w:cs="Calibri"/>
          <w:sz w:val="24"/>
          <w:szCs w:val="24"/>
        </w:rPr>
        <w:t>Complete only the required information in the exhibits. Submit all exhibits and attachments with the following naming convention</w:t>
      </w:r>
      <w:r w:rsidR="00370E12" w:rsidRPr="007E650E">
        <w:rPr>
          <w:rFonts w:ascii="Calibri" w:hAnsi="Calibri" w:cs="Calibri"/>
          <w:sz w:val="24"/>
          <w:szCs w:val="24"/>
        </w:rPr>
        <w:t>:</w:t>
      </w:r>
      <w:r w:rsidRPr="007E650E">
        <w:rPr>
          <w:rFonts w:ascii="Calibri" w:hAnsi="Calibri" w:cs="Calibri"/>
          <w:sz w:val="24"/>
          <w:szCs w:val="24"/>
        </w:rPr>
        <w:t xml:space="preserve"> </w:t>
      </w:r>
      <w:r w:rsidR="000D5ACF">
        <w:rPr>
          <w:rFonts w:ascii="Calibri" w:hAnsi="Calibri" w:cs="Calibri"/>
          <w:sz w:val="24"/>
          <w:szCs w:val="24"/>
        </w:rPr>
        <w:t>"</w:t>
      </w:r>
      <w:r w:rsidRPr="007E650E">
        <w:rPr>
          <w:rFonts w:ascii="Calibri" w:hAnsi="Calibri" w:cs="Calibri"/>
          <w:sz w:val="24"/>
          <w:szCs w:val="24"/>
        </w:rPr>
        <w:t>[Applicant</w:t>
      </w:r>
      <w:r w:rsidR="000D5ACF">
        <w:rPr>
          <w:rFonts w:ascii="Calibri" w:hAnsi="Calibri" w:cs="Calibri"/>
          <w:sz w:val="24"/>
          <w:szCs w:val="24"/>
        </w:rPr>
        <w:t>'</w:t>
      </w:r>
      <w:r w:rsidRPr="007E650E">
        <w:rPr>
          <w:rFonts w:ascii="Calibri" w:hAnsi="Calibri" w:cs="Calibri"/>
          <w:sz w:val="24"/>
          <w:szCs w:val="24"/>
        </w:rPr>
        <w:t>s Three Digit Initialism] [Grant Initialism] [PY XX-XX] [Exhibit or Attachment Initialism].</w:t>
      </w:r>
      <w:r w:rsidR="000D5ACF">
        <w:rPr>
          <w:rFonts w:ascii="Calibri" w:hAnsi="Calibri" w:cs="Calibri"/>
          <w:sz w:val="24"/>
          <w:szCs w:val="24"/>
        </w:rPr>
        <w:t>"</w:t>
      </w:r>
      <w:r w:rsidRPr="007E650E">
        <w:rPr>
          <w:rFonts w:ascii="Calibri" w:hAnsi="Calibri" w:cs="Calibri"/>
          <w:sz w:val="24"/>
          <w:szCs w:val="24"/>
        </w:rPr>
        <w:t xml:space="preserve"> For example, </w:t>
      </w:r>
      <w:r w:rsidR="000D5ACF">
        <w:rPr>
          <w:rFonts w:ascii="Calibri" w:hAnsi="Calibri" w:cs="Calibri"/>
          <w:sz w:val="24"/>
          <w:szCs w:val="24"/>
        </w:rPr>
        <w:t>"</w:t>
      </w:r>
      <w:r w:rsidR="00AE37F3" w:rsidRPr="007E650E">
        <w:rPr>
          <w:rFonts w:ascii="Calibri" w:hAnsi="Calibri" w:cs="Calibri"/>
          <w:sz w:val="24"/>
          <w:szCs w:val="24"/>
        </w:rPr>
        <w:t>ABC</w:t>
      </w:r>
      <w:r w:rsidRPr="007E650E">
        <w:rPr>
          <w:rFonts w:ascii="Calibri" w:hAnsi="Calibri" w:cs="Calibri"/>
          <w:sz w:val="24"/>
          <w:szCs w:val="24"/>
        </w:rPr>
        <w:t xml:space="preserve"> </w:t>
      </w:r>
      <w:r w:rsidR="00E576C6" w:rsidRPr="007E650E">
        <w:rPr>
          <w:rFonts w:ascii="Calibri" w:hAnsi="Calibri" w:cs="Calibri"/>
          <w:sz w:val="24"/>
          <w:szCs w:val="24"/>
        </w:rPr>
        <w:t xml:space="preserve">DHH PY 25-26 </w:t>
      </w:r>
      <w:proofErr w:type="spellStart"/>
      <w:r w:rsidRPr="007E650E">
        <w:rPr>
          <w:rFonts w:ascii="Calibri" w:hAnsi="Calibri" w:cs="Calibri"/>
          <w:sz w:val="24"/>
          <w:szCs w:val="24"/>
        </w:rPr>
        <w:t>ExF</w:t>
      </w:r>
      <w:proofErr w:type="spellEnd"/>
      <w:r w:rsidR="000D5ACF">
        <w:rPr>
          <w:rFonts w:ascii="Calibri" w:hAnsi="Calibri" w:cs="Calibri"/>
          <w:sz w:val="24"/>
          <w:szCs w:val="24"/>
        </w:rPr>
        <w:t>"</w:t>
      </w:r>
      <w:r w:rsidRPr="007E650E">
        <w:rPr>
          <w:rFonts w:ascii="Calibri" w:hAnsi="Calibri" w:cs="Calibri"/>
          <w:sz w:val="24"/>
          <w:szCs w:val="24"/>
        </w:rPr>
        <w:t xml:space="preserve"> for Exhibit F. File names must not exceed 40 Characters. Exhibits must be completed accurately. Applications that do not include all the required documents and/or</w:t>
      </w:r>
      <w:r w:rsidR="009367B4" w:rsidRPr="007E650E">
        <w:rPr>
          <w:rFonts w:ascii="Calibri" w:hAnsi="Calibri" w:cs="Calibri"/>
          <w:sz w:val="24"/>
          <w:szCs w:val="24"/>
        </w:rPr>
        <w:t xml:space="preserve"> are</w:t>
      </w:r>
      <w:r w:rsidRPr="007E650E">
        <w:rPr>
          <w:rFonts w:ascii="Calibri" w:hAnsi="Calibri" w:cs="Calibri"/>
          <w:sz w:val="24"/>
          <w:szCs w:val="24"/>
        </w:rPr>
        <w:t xml:space="preserve"> submitted after </w:t>
      </w:r>
      <w:r w:rsidR="00DF7565" w:rsidRPr="007E650E">
        <w:rPr>
          <w:rFonts w:ascii="Calibri" w:hAnsi="Calibri" w:cs="Calibri"/>
          <w:sz w:val="24"/>
          <w:szCs w:val="24"/>
        </w:rPr>
        <w:t xml:space="preserve">3 </w:t>
      </w:r>
      <w:r w:rsidRPr="007E650E">
        <w:rPr>
          <w:rFonts w:ascii="Calibri" w:hAnsi="Calibri" w:cs="Calibri"/>
          <w:sz w:val="24"/>
          <w:szCs w:val="24"/>
        </w:rPr>
        <w:t xml:space="preserve">p.m. PT on </w:t>
      </w:r>
      <w:r w:rsidR="00DF7565" w:rsidRPr="007E650E">
        <w:rPr>
          <w:rFonts w:ascii="Calibri" w:hAnsi="Calibri" w:cs="Calibri"/>
          <w:sz w:val="24"/>
          <w:szCs w:val="24"/>
        </w:rPr>
        <w:t>May 27, 2025</w:t>
      </w:r>
      <w:r w:rsidRPr="007E650E">
        <w:rPr>
          <w:rFonts w:ascii="Calibri" w:hAnsi="Calibri" w:cs="Calibri"/>
          <w:sz w:val="24"/>
          <w:szCs w:val="24"/>
        </w:rPr>
        <w:t xml:space="preserve">, will be deemed non-responsive and automatically disqualified from being considered for funding. </w:t>
      </w:r>
    </w:p>
    <w:p w14:paraId="1CBB4FE5" w14:textId="69641A64" w:rsidR="008544AA" w:rsidRPr="007E650E" w:rsidRDefault="008544AA" w:rsidP="00F470F1">
      <w:pPr>
        <w:rPr>
          <w:rFonts w:ascii="Calibri" w:hAnsi="Calibri" w:cs="Calibri"/>
          <w:sz w:val="24"/>
          <w:szCs w:val="24"/>
        </w:rPr>
      </w:pPr>
      <w:r w:rsidRPr="007E650E">
        <w:rPr>
          <w:rFonts w:ascii="Calibri" w:hAnsi="Calibri" w:cs="Calibri"/>
          <w:b/>
          <w:bCs/>
          <w:sz w:val="24"/>
          <w:szCs w:val="24"/>
        </w:rPr>
        <w:t>Disclaimer</w:t>
      </w:r>
      <w:r w:rsidRPr="007E650E">
        <w:rPr>
          <w:rFonts w:ascii="Calibri" w:hAnsi="Calibri" w:cs="Calibri"/>
          <w:sz w:val="24"/>
          <w:szCs w:val="24"/>
        </w:rPr>
        <w:t xml:space="preserve"> </w:t>
      </w:r>
      <w:r w:rsidR="00437424" w:rsidRPr="007E650E">
        <w:rPr>
          <w:rFonts w:ascii="Calibri" w:hAnsi="Calibri" w:cs="Calibri"/>
          <w:sz w:val="24"/>
          <w:szCs w:val="24"/>
        </w:rPr>
        <w:t xml:space="preserve">– </w:t>
      </w:r>
      <w:r w:rsidRPr="007E650E">
        <w:rPr>
          <w:rFonts w:ascii="Calibri" w:hAnsi="Calibri" w:cs="Calibri"/>
          <w:sz w:val="24"/>
          <w:szCs w:val="24"/>
        </w:rPr>
        <w:t>The exhibits have been updated for accessibility in compliance with the Americans with Disabilities Act.</w:t>
      </w:r>
    </w:p>
    <w:p w14:paraId="0B195AA4" w14:textId="0863B9F6" w:rsidR="008544AA" w:rsidRPr="007E650E" w:rsidRDefault="008544AA" w:rsidP="00DF7565">
      <w:pPr>
        <w:rPr>
          <w:rFonts w:ascii="Calibri" w:eastAsia="Arial" w:hAnsi="Calibri" w:cs="Calibri"/>
          <w:sz w:val="24"/>
          <w:szCs w:val="24"/>
        </w:rPr>
      </w:pPr>
      <w:bookmarkStart w:id="170" w:name="_Hlk161132213"/>
      <w:r w:rsidRPr="007E650E">
        <w:rPr>
          <w:rFonts w:ascii="Calibri" w:hAnsi="Calibri" w:cs="Calibri"/>
          <w:sz w:val="24"/>
          <w:szCs w:val="24"/>
        </w:rPr>
        <w:t xml:space="preserve">Refer to </w:t>
      </w:r>
      <w:r w:rsidR="5E1818CA" w:rsidRPr="007E650E">
        <w:rPr>
          <w:rFonts w:ascii="Calibri" w:hAnsi="Calibri" w:cs="Calibri"/>
          <w:sz w:val="24"/>
          <w:szCs w:val="24"/>
        </w:rPr>
        <w:t>4.B</w:t>
      </w:r>
      <w:r w:rsidRPr="007E650E">
        <w:rPr>
          <w:rFonts w:ascii="Calibri" w:hAnsi="Calibri" w:cs="Calibri"/>
          <w:i/>
          <w:iCs/>
          <w:sz w:val="24"/>
          <w:szCs w:val="24"/>
        </w:rPr>
        <w:t>. Submission Guidelines</w:t>
      </w:r>
      <w:r w:rsidRPr="007E650E">
        <w:rPr>
          <w:rFonts w:ascii="Calibri" w:hAnsi="Calibri" w:cs="Calibri"/>
          <w:sz w:val="24"/>
          <w:szCs w:val="24"/>
        </w:rPr>
        <w:t xml:space="preserve"> </w:t>
      </w:r>
      <w:r w:rsidR="009367B4" w:rsidRPr="007E650E">
        <w:rPr>
          <w:rFonts w:ascii="Calibri" w:hAnsi="Calibri" w:cs="Calibri"/>
          <w:sz w:val="24"/>
          <w:szCs w:val="24"/>
        </w:rPr>
        <w:t>for</w:t>
      </w:r>
      <w:r w:rsidRPr="007E650E">
        <w:rPr>
          <w:rFonts w:ascii="Calibri" w:hAnsi="Calibri" w:cs="Calibri"/>
          <w:sz w:val="24"/>
          <w:szCs w:val="24"/>
        </w:rPr>
        <w:t xml:space="preserve"> instructions on file submission.</w:t>
      </w:r>
      <w:r w:rsidRPr="007E650E">
        <w:rPr>
          <w:rFonts w:ascii="Calibri" w:hAnsi="Calibri" w:cs="Calibri"/>
          <w:sz w:val="24"/>
          <w:szCs w:val="24"/>
        </w:rPr>
        <w:br w:type="page"/>
      </w:r>
    </w:p>
    <w:p w14:paraId="66B6EC77" w14:textId="263C7230" w:rsidR="008544AA" w:rsidRPr="007E650E" w:rsidRDefault="008544AA" w:rsidP="00F470F1">
      <w:pPr>
        <w:pStyle w:val="Heading2"/>
        <w:numPr>
          <w:ilvl w:val="0"/>
          <w:numId w:val="0"/>
        </w:numPr>
        <w:rPr>
          <w:rFonts w:eastAsia="Arial"/>
          <w:lang w:val="en"/>
        </w:rPr>
      </w:pPr>
      <w:bookmarkStart w:id="171" w:name="_Toc167356449"/>
      <w:bookmarkStart w:id="172" w:name="_Toc195189618"/>
      <w:bookmarkEnd w:id="169"/>
      <w:bookmarkEnd w:id="170"/>
      <w:r w:rsidRPr="007E650E">
        <w:rPr>
          <w:rFonts w:eastAsia="Arial"/>
          <w:lang w:val="en"/>
        </w:rPr>
        <w:lastRenderedPageBreak/>
        <w:t xml:space="preserve">Appendix B: </w:t>
      </w:r>
      <w:bookmarkEnd w:id="171"/>
      <w:r w:rsidR="00F308AC" w:rsidRPr="007E650E">
        <w:rPr>
          <w:rFonts w:eastAsia="Arial"/>
          <w:lang w:val="en"/>
        </w:rPr>
        <w:t>Administrative Cost Definitions</w:t>
      </w:r>
      <w:bookmarkEnd w:id="172"/>
    </w:p>
    <w:p w14:paraId="6F08C290" w14:textId="37208EC8" w:rsidR="008544AA" w:rsidRPr="007E650E" w:rsidRDefault="008544AA" w:rsidP="00437424">
      <w:pPr>
        <w:pStyle w:val="BodyText"/>
        <w:spacing w:after="0"/>
      </w:pPr>
    </w:p>
    <w:p w14:paraId="58F36885" w14:textId="77777777" w:rsidR="00F308AC" w:rsidRPr="007E650E" w:rsidRDefault="00F308AC" w:rsidP="00F308AC">
      <w:pPr>
        <w:pStyle w:val="BodyText"/>
      </w:pPr>
      <w:r w:rsidRPr="007E650E">
        <w:t>There is an administrative cost limit of ten percent of the total funds awarded under this contract.</w:t>
      </w:r>
    </w:p>
    <w:p w14:paraId="77539768" w14:textId="77777777" w:rsidR="00F308AC" w:rsidRPr="007E650E" w:rsidRDefault="00F308AC" w:rsidP="00F308AC">
      <w:pPr>
        <w:pStyle w:val="BodyText"/>
      </w:pPr>
      <w:r w:rsidRPr="007E650E">
        <w:t>All local grant recipients and lower tier subrecipients must follow the federal allowable cost principles that apply to their type of organization. The Department of Labor (DOL) regulations at 2 CFR 200 &amp; 225, 2 CFR 2900, 29 CFR 95.27 and 29 CFR 97.22 identify the federal principles for determining allowable costs that must be followed.</w:t>
      </w:r>
    </w:p>
    <w:p w14:paraId="40FD9A3F" w14:textId="78E8EF75" w:rsidR="00F308AC" w:rsidRPr="007E650E" w:rsidRDefault="00F308AC" w:rsidP="00CF0D6C">
      <w:pPr>
        <w:pStyle w:val="BodyText"/>
        <w:numPr>
          <w:ilvl w:val="1"/>
          <w:numId w:val="18"/>
        </w:numPr>
        <w:tabs>
          <w:tab w:val="left" w:pos="1080"/>
        </w:tabs>
        <w:ind w:left="1080" w:hanging="990"/>
      </w:pPr>
      <w:r w:rsidRPr="007E650E">
        <w:t xml:space="preserve">The cost of administration is that allocable portion of necessary and reasonable allowable costs of direct grant recipients and which are not related to the direct provision of Wagner-Peyser services, including services to participants and employers. These costs can be both </w:t>
      </w:r>
      <w:proofErr w:type="gramStart"/>
      <w:r w:rsidRPr="007E650E">
        <w:t>personnel</w:t>
      </w:r>
      <w:proofErr w:type="gramEnd"/>
      <w:r w:rsidRPr="007E650E">
        <w:t xml:space="preserve"> and non-personnel, and both direct and indirect.</w:t>
      </w:r>
    </w:p>
    <w:p w14:paraId="36D124AD" w14:textId="2E840645" w:rsidR="00F308AC" w:rsidRPr="007E650E" w:rsidRDefault="00F308AC" w:rsidP="00CF0D6C">
      <w:pPr>
        <w:pStyle w:val="BodyText"/>
        <w:numPr>
          <w:ilvl w:val="1"/>
          <w:numId w:val="18"/>
        </w:numPr>
        <w:ind w:left="1080" w:hanging="990"/>
      </w:pPr>
      <w:r w:rsidRPr="007E650E">
        <w:t>The costs of administration are the costs associated with performing the following functions:</w:t>
      </w:r>
    </w:p>
    <w:p w14:paraId="585CE573" w14:textId="2C1A1EB0" w:rsidR="00F308AC" w:rsidRPr="007E650E" w:rsidRDefault="00F308AC" w:rsidP="00CF0D6C">
      <w:pPr>
        <w:pStyle w:val="BodyText"/>
        <w:numPr>
          <w:ilvl w:val="0"/>
          <w:numId w:val="19"/>
        </w:numPr>
        <w:spacing w:after="0"/>
      </w:pPr>
      <w:r w:rsidRPr="007E650E">
        <w:t>Accounting, budgeting, financial and cash management functions.</w:t>
      </w:r>
    </w:p>
    <w:p w14:paraId="7EDB44BD" w14:textId="011812D1" w:rsidR="00F308AC" w:rsidRPr="007E650E" w:rsidRDefault="00F308AC" w:rsidP="00CF0D6C">
      <w:pPr>
        <w:pStyle w:val="BodyText"/>
        <w:numPr>
          <w:ilvl w:val="0"/>
          <w:numId w:val="19"/>
        </w:numPr>
        <w:spacing w:after="0"/>
      </w:pPr>
      <w:r w:rsidRPr="007E650E">
        <w:t>Procurement and purchasing functions.</w:t>
      </w:r>
    </w:p>
    <w:p w14:paraId="3CE9104E" w14:textId="13969D57" w:rsidR="00F308AC" w:rsidRPr="007E650E" w:rsidRDefault="00F308AC" w:rsidP="00CF0D6C">
      <w:pPr>
        <w:pStyle w:val="BodyText"/>
        <w:numPr>
          <w:ilvl w:val="0"/>
          <w:numId w:val="19"/>
        </w:numPr>
        <w:spacing w:after="0"/>
      </w:pPr>
      <w:r w:rsidRPr="007E650E">
        <w:t>Property management functions.</w:t>
      </w:r>
    </w:p>
    <w:p w14:paraId="54234DBC" w14:textId="141EDC0A" w:rsidR="00F308AC" w:rsidRPr="007E650E" w:rsidRDefault="00F308AC" w:rsidP="00CF0D6C">
      <w:pPr>
        <w:pStyle w:val="BodyText"/>
        <w:numPr>
          <w:ilvl w:val="0"/>
          <w:numId w:val="19"/>
        </w:numPr>
        <w:spacing w:after="0"/>
      </w:pPr>
      <w:r w:rsidRPr="007E650E">
        <w:t>Personnel management functions.</w:t>
      </w:r>
    </w:p>
    <w:p w14:paraId="696A177C" w14:textId="7EEC2AE8" w:rsidR="00F308AC" w:rsidRPr="007E650E" w:rsidRDefault="00F308AC" w:rsidP="00CF0D6C">
      <w:pPr>
        <w:pStyle w:val="BodyText"/>
        <w:numPr>
          <w:ilvl w:val="0"/>
          <w:numId w:val="19"/>
        </w:numPr>
        <w:spacing w:after="0"/>
      </w:pPr>
      <w:r w:rsidRPr="007E650E">
        <w:t>Payroll functions.</w:t>
      </w:r>
    </w:p>
    <w:p w14:paraId="2613E95C" w14:textId="4537027A" w:rsidR="00F308AC" w:rsidRPr="007E650E" w:rsidRDefault="00F308AC" w:rsidP="00CF0D6C">
      <w:pPr>
        <w:pStyle w:val="BodyText"/>
        <w:numPr>
          <w:ilvl w:val="0"/>
          <w:numId w:val="19"/>
        </w:numPr>
        <w:spacing w:after="0"/>
      </w:pPr>
      <w:r w:rsidRPr="007E650E">
        <w:t>Coordinating the resolution of findings arising from audits, reviews, investigations, and incident reports.</w:t>
      </w:r>
    </w:p>
    <w:p w14:paraId="64EC24D1" w14:textId="6A66CBAC" w:rsidR="00F308AC" w:rsidRPr="007E650E" w:rsidRDefault="00F308AC" w:rsidP="00CF0D6C">
      <w:pPr>
        <w:pStyle w:val="BodyText"/>
        <w:numPr>
          <w:ilvl w:val="0"/>
          <w:numId w:val="19"/>
        </w:numPr>
        <w:spacing w:after="0"/>
      </w:pPr>
      <w:r w:rsidRPr="007E650E">
        <w:t>Audit functions.</w:t>
      </w:r>
    </w:p>
    <w:p w14:paraId="524D612F" w14:textId="04A07F06" w:rsidR="00F308AC" w:rsidRPr="007E650E" w:rsidRDefault="00F308AC" w:rsidP="00CF0D6C">
      <w:pPr>
        <w:pStyle w:val="BodyText"/>
        <w:numPr>
          <w:ilvl w:val="0"/>
          <w:numId w:val="19"/>
        </w:numPr>
        <w:spacing w:after="0"/>
      </w:pPr>
      <w:r w:rsidRPr="007E650E">
        <w:t>General legal services functions.</w:t>
      </w:r>
    </w:p>
    <w:p w14:paraId="588729A7" w14:textId="1C35AE1F" w:rsidR="00F308AC" w:rsidRPr="007E650E" w:rsidRDefault="00F308AC" w:rsidP="00C75252">
      <w:pPr>
        <w:pStyle w:val="BodyText"/>
        <w:numPr>
          <w:ilvl w:val="0"/>
          <w:numId w:val="19"/>
        </w:numPr>
        <w:spacing w:after="160" w:line="259" w:lineRule="auto"/>
      </w:pPr>
      <w:r w:rsidRPr="007E650E">
        <w:t>Developing systems and procedures, including information systems, required for these administrative functions.</w:t>
      </w:r>
    </w:p>
    <w:p w14:paraId="1078D140" w14:textId="19F14210" w:rsidR="00F308AC" w:rsidRPr="007E650E" w:rsidRDefault="00F308AC" w:rsidP="00CF0D6C">
      <w:pPr>
        <w:pStyle w:val="BodyText"/>
        <w:numPr>
          <w:ilvl w:val="1"/>
          <w:numId w:val="18"/>
        </w:numPr>
        <w:ind w:left="1080" w:hanging="990"/>
      </w:pPr>
      <w:r w:rsidRPr="007E650E">
        <w:t xml:space="preserve">Performing oversight and monitoring responsibilities related to Wagner-Peyser administrative functions. </w:t>
      </w:r>
    </w:p>
    <w:p w14:paraId="060033E9" w14:textId="57800DBE" w:rsidR="00F308AC" w:rsidRPr="007E650E" w:rsidRDefault="00F308AC" w:rsidP="00CF0D6C">
      <w:pPr>
        <w:pStyle w:val="BodyText"/>
        <w:numPr>
          <w:ilvl w:val="1"/>
          <w:numId w:val="18"/>
        </w:numPr>
        <w:ind w:left="1080" w:hanging="990"/>
      </w:pPr>
      <w:r w:rsidRPr="007E650E">
        <w:t>Costs of goods and services required for administrative functions of the program, including goods and services such as rental or purchase of equipment, utilities, office supplies, postage, and rental and maintenance of office space.</w:t>
      </w:r>
    </w:p>
    <w:p w14:paraId="72E3877C" w14:textId="669C191F" w:rsidR="00F308AC" w:rsidRPr="007E650E" w:rsidRDefault="00F308AC" w:rsidP="00CF0D6C">
      <w:pPr>
        <w:pStyle w:val="BodyText"/>
        <w:numPr>
          <w:ilvl w:val="1"/>
          <w:numId w:val="18"/>
        </w:numPr>
        <w:ind w:left="1080" w:hanging="990"/>
      </w:pPr>
      <w:r w:rsidRPr="007E650E">
        <w:t xml:space="preserve">Travel costs </w:t>
      </w:r>
      <w:proofErr w:type="gramStart"/>
      <w:r w:rsidRPr="007E650E">
        <w:t>incurred</w:t>
      </w:r>
      <w:proofErr w:type="gramEnd"/>
      <w:r w:rsidRPr="007E650E">
        <w:t xml:space="preserve"> for official business in carrying out administrative activities.</w:t>
      </w:r>
    </w:p>
    <w:p w14:paraId="0F22BBCF" w14:textId="0D7CB812" w:rsidR="00F308AC" w:rsidRPr="007E650E" w:rsidRDefault="00F308AC" w:rsidP="00CF0D6C">
      <w:pPr>
        <w:pStyle w:val="BodyText"/>
        <w:numPr>
          <w:ilvl w:val="1"/>
          <w:numId w:val="18"/>
        </w:numPr>
        <w:ind w:left="1080" w:hanging="990"/>
      </w:pPr>
      <w:r w:rsidRPr="007E650E">
        <w:t xml:space="preserve">Costs of information systems related to administrative functions (e.g., personnel, procurement, purchasing, property management, accounting, and payroll systems) including the purchase, systems development, and operating costs of such systems (costs of information technology computer hardware and software needed for </w:t>
      </w:r>
      <w:r w:rsidRPr="007E650E">
        <w:lastRenderedPageBreak/>
        <w:t>tracking and monitoring of the Wagner-Peyser program, participant, or performance requirements; or for collecting, storing, and disseminating such information, are excluded from the administrative cost limit calculation).</w:t>
      </w:r>
    </w:p>
    <w:p w14:paraId="03E5BB6D" w14:textId="04AE3D0B" w:rsidR="00F308AC" w:rsidRPr="007E650E" w:rsidRDefault="00F308AC" w:rsidP="00CF0D6C">
      <w:pPr>
        <w:pStyle w:val="BodyText"/>
        <w:numPr>
          <w:ilvl w:val="1"/>
          <w:numId w:val="18"/>
        </w:numPr>
        <w:ind w:left="1080" w:hanging="990"/>
      </w:pPr>
      <w:r w:rsidRPr="007E650E">
        <w:t>Awards to subrecipients or vendors that are solely for the performance of administrative functions are classified as administrative costs.</w:t>
      </w:r>
    </w:p>
    <w:p w14:paraId="74FBD014" w14:textId="2B6892CF" w:rsidR="00F308AC" w:rsidRPr="007E650E" w:rsidRDefault="00F308AC" w:rsidP="00CF0D6C">
      <w:pPr>
        <w:pStyle w:val="BodyText"/>
        <w:numPr>
          <w:ilvl w:val="1"/>
          <w:numId w:val="18"/>
        </w:numPr>
        <w:ind w:left="1080" w:hanging="990"/>
      </w:pPr>
      <w:r w:rsidRPr="007E650E">
        <w:t>Personnel and related non-personnel costs of staff that perform both administrative functions specified in part B of this section and programmatic services, or activities must be allocated as administrative or program costs to the benefiting cost objectives/categories based on documented distributions of actual time worked or other equitable cost allocation methods.</w:t>
      </w:r>
    </w:p>
    <w:p w14:paraId="2E2DF029" w14:textId="65D4D16F" w:rsidR="00F308AC" w:rsidRPr="007E650E" w:rsidRDefault="00F308AC" w:rsidP="00CF0D6C">
      <w:pPr>
        <w:pStyle w:val="BodyText"/>
        <w:numPr>
          <w:ilvl w:val="1"/>
          <w:numId w:val="18"/>
        </w:numPr>
        <w:ind w:left="1080" w:hanging="990"/>
      </w:pPr>
      <w:r w:rsidRPr="007E650E">
        <w:t>Continuous improvement activities are charged to administration or program category based on the purpose or nature of the activity to be improved. Documentation of such charges must be maintained.</w:t>
      </w:r>
    </w:p>
    <w:p w14:paraId="3E1D1017" w14:textId="77777777" w:rsidR="008544AA" w:rsidRPr="007E650E" w:rsidRDefault="008544AA" w:rsidP="008544AA">
      <w:pPr>
        <w:spacing w:after="0" w:line="240" w:lineRule="auto"/>
        <w:rPr>
          <w:rFonts w:eastAsia="Calibri" w:cstheme="minorHAnsi"/>
          <w:sz w:val="24"/>
          <w:szCs w:val="24"/>
          <w:lang w:val="en"/>
        </w:rPr>
      </w:pPr>
      <w:r w:rsidRPr="007E650E">
        <w:rPr>
          <w:rFonts w:eastAsia="Arial" w:cstheme="minorHAnsi"/>
          <w:lang w:val="en"/>
        </w:rPr>
        <w:br w:type="page"/>
      </w:r>
    </w:p>
    <w:p w14:paraId="7BFF0CE8" w14:textId="51BEBBDD" w:rsidR="008544AA" w:rsidRPr="007E650E" w:rsidRDefault="008544AA" w:rsidP="00943164">
      <w:pPr>
        <w:pStyle w:val="Heading2"/>
        <w:numPr>
          <w:ilvl w:val="0"/>
          <w:numId w:val="0"/>
        </w:numPr>
        <w:rPr>
          <w:rFonts w:eastAsia="Arial"/>
          <w:lang w:val="en"/>
        </w:rPr>
      </w:pPr>
      <w:bookmarkStart w:id="173" w:name="_2zbgiuw"/>
      <w:bookmarkStart w:id="174" w:name="_1egqt2p"/>
      <w:bookmarkStart w:id="175" w:name="_Toc117246192"/>
      <w:bookmarkStart w:id="176" w:name="_Toc130496201"/>
      <w:bookmarkStart w:id="177" w:name="_Toc167356450"/>
      <w:bookmarkStart w:id="178" w:name="_Toc195189619"/>
      <w:bookmarkEnd w:id="173"/>
      <w:bookmarkEnd w:id="174"/>
      <w:r w:rsidRPr="007E650E">
        <w:rPr>
          <w:rFonts w:eastAsia="Arial"/>
          <w:lang w:val="en"/>
        </w:rPr>
        <w:lastRenderedPageBreak/>
        <w:t xml:space="preserve">Appendix C: </w:t>
      </w:r>
      <w:bookmarkEnd w:id="175"/>
      <w:bookmarkEnd w:id="176"/>
      <w:bookmarkEnd w:id="177"/>
      <w:r w:rsidR="00F308AC" w:rsidRPr="007E650E">
        <w:rPr>
          <w:rFonts w:eastAsia="Arial"/>
          <w:lang w:val="en"/>
        </w:rPr>
        <w:t>Deaf and Hard of Hearing America</w:t>
      </w:r>
      <w:r w:rsidR="000D5ACF">
        <w:rPr>
          <w:rFonts w:eastAsia="Arial"/>
          <w:lang w:val="en"/>
        </w:rPr>
        <w:t>'</w:t>
      </w:r>
      <w:r w:rsidR="00F308AC" w:rsidRPr="007E650E">
        <w:rPr>
          <w:rFonts w:eastAsia="Arial"/>
          <w:lang w:val="en"/>
        </w:rPr>
        <w:t>s Job Center of California Sites</w:t>
      </w:r>
      <w:bookmarkEnd w:id="178"/>
    </w:p>
    <w:p w14:paraId="47CD8A72" w14:textId="77777777" w:rsidR="00F308AC" w:rsidRPr="007E650E" w:rsidRDefault="00F308AC" w:rsidP="00F308AC">
      <w:pPr>
        <w:pStyle w:val="BodyText"/>
        <w:spacing w:after="0"/>
        <w:rPr>
          <w:b/>
          <w:bCs/>
        </w:rPr>
      </w:pPr>
      <w:r w:rsidRPr="007E650E">
        <w:rPr>
          <w:b/>
          <w:bCs/>
        </w:rPr>
        <w:t>Alameda</w:t>
      </w:r>
    </w:p>
    <w:p w14:paraId="33450AA9" w14:textId="53F10AF0" w:rsidR="00F308AC" w:rsidRPr="007E650E" w:rsidRDefault="00F308AC" w:rsidP="00F308AC">
      <w:pPr>
        <w:pStyle w:val="BodyText"/>
        <w:spacing w:after="0"/>
      </w:pPr>
      <w:r w:rsidRPr="007E650E">
        <w:t>Tri-Cities America</w:t>
      </w:r>
      <w:r w:rsidR="000D5ACF">
        <w:t>'</w:t>
      </w:r>
      <w:r w:rsidRPr="007E650E">
        <w:t xml:space="preserve">s Job Center of California </w:t>
      </w:r>
    </w:p>
    <w:p w14:paraId="7AB6C7AA" w14:textId="77777777" w:rsidR="00F308AC" w:rsidRPr="007E650E" w:rsidRDefault="00F308AC" w:rsidP="00F308AC">
      <w:pPr>
        <w:pStyle w:val="BodyText"/>
        <w:spacing w:after="0"/>
      </w:pPr>
      <w:r w:rsidRPr="007E650E">
        <w:t>39155 Liberty Street, Suite B200</w:t>
      </w:r>
    </w:p>
    <w:p w14:paraId="5116AF88" w14:textId="77777777" w:rsidR="00F308AC" w:rsidRPr="007E650E" w:rsidRDefault="00F308AC" w:rsidP="00F308AC">
      <w:pPr>
        <w:pStyle w:val="BodyText"/>
        <w:spacing w:after="0"/>
      </w:pPr>
      <w:r w:rsidRPr="007E650E">
        <w:t>Fremont, CA 94538</w:t>
      </w:r>
    </w:p>
    <w:p w14:paraId="6E58C819" w14:textId="77777777" w:rsidR="00F308AC" w:rsidRPr="007E650E" w:rsidRDefault="00F308AC" w:rsidP="00F308AC">
      <w:pPr>
        <w:pStyle w:val="BodyText"/>
        <w:spacing w:after="0"/>
      </w:pPr>
      <w:r w:rsidRPr="007E650E">
        <w:t>VP: 1-510-371-0036</w:t>
      </w:r>
    </w:p>
    <w:p w14:paraId="5F016329" w14:textId="77777777" w:rsidR="00F308AC" w:rsidRPr="007E650E" w:rsidRDefault="00F308AC" w:rsidP="00F308AC">
      <w:pPr>
        <w:pStyle w:val="BodyText"/>
        <w:spacing w:after="0"/>
      </w:pPr>
    </w:p>
    <w:p w14:paraId="5346144E" w14:textId="10EADD42" w:rsidR="00F308AC" w:rsidRPr="007E650E" w:rsidRDefault="00F308AC" w:rsidP="00F308AC">
      <w:pPr>
        <w:pStyle w:val="BodyText"/>
        <w:spacing w:after="0"/>
      </w:pPr>
      <w:r w:rsidRPr="007E650E">
        <w:t>America</w:t>
      </w:r>
      <w:r w:rsidR="000D5ACF">
        <w:t>'</w:t>
      </w:r>
      <w:r w:rsidRPr="007E650E">
        <w:t xml:space="preserve">s Job Center of California </w:t>
      </w:r>
    </w:p>
    <w:p w14:paraId="4285CA34" w14:textId="77777777" w:rsidR="00F308AC" w:rsidRPr="007E650E" w:rsidRDefault="00F308AC" w:rsidP="00F308AC">
      <w:pPr>
        <w:pStyle w:val="BodyText"/>
        <w:spacing w:after="0"/>
      </w:pPr>
      <w:r w:rsidRPr="007E650E">
        <w:t xml:space="preserve">7677 </w:t>
      </w:r>
      <w:proofErr w:type="spellStart"/>
      <w:r w:rsidRPr="007E650E">
        <w:t>Oakport</w:t>
      </w:r>
      <w:proofErr w:type="spellEnd"/>
      <w:r w:rsidRPr="007E650E">
        <w:t xml:space="preserve"> Street, Suite 350</w:t>
      </w:r>
    </w:p>
    <w:p w14:paraId="21AB0CE0" w14:textId="77777777" w:rsidR="00F308AC" w:rsidRPr="007E650E" w:rsidRDefault="00F308AC" w:rsidP="00F308AC">
      <w:pPr>
        <w:pStyle w:val="BodyText"/>
        <w:spacing w:after="0"/>
      </w:pPr>
      <w:r w:rsidRPr="007E650E">
        <w:t>Oakland, CA 94621</w:t>
      </w:r>
    </w:p>
    <w:p w14:paraId="3A19BB00" w14:textId="77777777" w:rsidR="00F308AC" w:rsidRPr="007E650E" w:rsidRDefault="00F308AC" w:rsidP="00F308AC">
      <w:pPr>
        <w:pStyle w:val="BodyText"/>
        <w:spacing w:after="0"/>
      </w:pPr>
      <w:r w:rsidRPr="007E650E">
        <w:t>VP: 1-510-394-1846</w:t>
      </w:r>
    </w:p>
    <w:p w14:paraId="0827CFBC" w14:textId="77777777" w:rsidR="00F308AC" w:rsidRPr="007E650E" w:rsidRDefault="00F308AC" w:rsidP="00F308AC">
      <w:pPr>
        <w:pStyle w:val="BodyText"/>
        <w:spacing w:after="0"/>
      </w:pPr>
    </w:p>
    <w:p w14:paraId="7A5925E0" w14:textId="77777777" w:rsidR="00F308AC" w:rsidRPr="007E650E" w:rsidRDefault="00F308AC" w:rsidP="00F308AC">
      <w:pPr>
        <w:pStyle w:val="BodyText"/>
        <w:spacing w:after="0"/>
        <w:rPr>
          <w:b/>
          <w:bCs/>
        </w:rPr>
      </w:pPr>
      <w:r w:rsidRPr="007E650E">
        <w:rPr>
          <w:b/>
          <w:bCs/>
        </w:rPr>
        <w:t>Contra Costa</w:t>
      </w:r>
    </w:p>
    <w:p w14:paraId="490F06A0" w14:textId="5C1FC164" w:rsidR="00F308AC" w:rsidRPr="007E650E" w:rsidRDefault="00F308AC" w:rsidP="00F308AC">
      <w:pPr>
        <w:pStyle w:val="BodyText"/>
        <w:spacing w:after="0"/>
      </w:pPr>
      <w:r w:rsidRPr="007E650E">
        <w:t>EASTBAY Works - America</w:t>
      </w:r>
      <w:r w:rsidR="000D5ACF">
        <w:t>'</w:t>
      </w:r>
      <w:r w:rsidRPr="007E650E">
        <w:t>s Job Center of California</w:t>
      </w:r>
    </w:p>
    <w:p w14:paraId="607DF287" w14:textId="77777777" w:rsidR="00F308AC" w:rsidRPr="007E650E" w:rsidRDefault="00F308AC" w:rsidP="00F308AC">
      <w:pPr>
        <w:pStyle w:val="BodyText"/>
        <w:spacing w:after="0"/>
      </w:pPr>
      <w:r w:rsidRPr="007E650E">
        <w:t>4071 Port Chicago Highway, Suite 250</w:t>
      </w:r>
    </w:p>
    <w:p w14:paraId="5ACE0D0B" w14:textId="77777777" w:rsidR="00F308AC" w:rsidRPr="007E650E" w:rsidRDefault="00F308AC" w:rsidP="00F308AC">
      <w:pPr>
        <w:pStyle w:val="BodyText"/>
        <w:spacing w:after="0"/>
      </w:pPr>
      <w:r w:rsidRPr="007E650E">
        <w:t>Concord, CA 94520</w:t>
      </w:r>
    </w:p>
    <w:p w14:paraId="2DD73D55" w14:textId="77777777" w:rsidR="00F308AC" w:rsidRPr="007E650E" w:rsidRDefault="00F308AC" w:rsidP="00F308AC">
      <w:pPr>
        <w:pStyle w:val="BodyText"/>
        <w:spacing w:after="0"/>
      </w:pPr>
      <w:r w:rsidRPr="007E650E">
        <w:t>VP: 1-925-246-5978</w:t>
      </w:r>
    </w:p>
    <w:p w14:paraId="3558B3A8" w14:textId="77777777" w:rsidR="00F308AC" w:rsidRPr="007E650E" w:rsidRDefault="00F308AC" w:rsidP="00F308AC">
      <w:pPr>
        <w:pStyle w:val="BodyText"/>
        <w:spacing w:after="0"/>
      </w:pPr>
    </w:p>
    <w:p w14:paraId="26F0FC57" w14:textId="77777777" w:rsidR="00F308AC" w:rsidRPr="007E650E" w:rsidRDefault="00F308AC" w:rsidP="00F308AC">
      <w:pPr>
        <w:pStyle w:val="BodyText"/>
        <w:spacing w:after="0"/>
        <w:rPr>
          <w:b/>
          <w:bCs/>
        </w:rPr>
      </w:pPr>
      <w:r w:rsidRPr="007E650E">
        <w:rPr>
          <w:b/>
          <w:bCs/>
        </w:rPr>
        <w:t>Fresno</w:t>
      </w:r>
    </w:p>
    <w:p w14:paraId="060D53F3" w14:textId="77777777" w:rsidR="00F308AC" w:rsidRPr="007E650E" w:rsidRDefault="00F308AC" w:rsidP="00F308AC">
      <w:pPr>
        <w:pStyle w:val="BodyText"/>
        <w:spacing w:after="0"/>
      </w:pPr>
      <w:r w:rsidRPr="007E650E">
        <w:t>Fresno Workforce Connection</w:t>
      </w:r>
    </w:p>
    <w:p w14:paraId="485A498C" w14:textId="77777777" w:rsidR="00F308AC" w:rsidRPr="007E650E" w:rsidRDefault="00F308AC" w:rsidP="00F308AC">
      <w:pPr>
        <w:pStyle w:val="BodyText"/>
        <w:spacing w:after="0"/>
      </w:pPr>
      <w:r w:rsidRPr="007E650E">
        <w:t>3170 W. Shaw Avenue</w:t>
      </w:r>
    </w:p>
    <w:p w14:paraId="4AC46982" w14:textId="77777777" w:rsidR="00F308AC" w:rsidRPr="007E650E" w:rsidRDefault="00F308AC" w:rsidP="00F308AC">
      <w:pPr>
        <w:pStyle w:val="BodyText"/>
        <w:spacing w:after="0"/>
      </w:pPr>
      <w:r w:rsidRPr="007E650E">
        <w:t>Fresno, CA 93711</w:t>
      </w:r>
    </w:p>
    <w:p w14:paraId="6C107E69" w14:textId="77777777" w:rsidR="00F308AC" w:rsidRPr="007E650E" w:rsidRDefault="00F308AC" w:rsidP="00F308AC">
      <w:pPr>
        <w:pStyle w:val="BodyText"/>
        <w:spacing w:after="0"/>
      </w:pPr>
      <w:r w:rsidRPr="007E650E">
        <w:t>VP: 1-559-408-5210 or 1-559-478-2735</w:t>
      </w:r>
    </w:p>
    <w:p w14:paraId="4FCE6859" w14:textId="77777777" w:rsidR="00F308AC" w:rsidRPr="007E650E" w:rsidRDefault="00F308AC" w:rsidP="00F308AC">
      <w:pPr>
        <w:pStyle w:val="BodyText"/>
        <w:spacing w:after="0"/>
      </w:pPr>
      <w:r w:rsidRPr="007E650E">
        <w:t>Voice: 1-559-230-4124</w:t>
      </w:r>
    </w:p>
    <w:p w14:paraId="3C85EEE1" w14:textId="77777777" w:rsidR="00F308AC" w:rsidRPr="007E650E" w:rsidRDefault="00F308AC" w:rsidP="00F308AC">
      <w:pPr>
        <w:pStyle w:val="BodyText"/>
        <w:spacing w:after="0"/>
      </w:pPr>
    </w:p>
    <w:p w14:paraId="792A11B1" w14:textId="77777777" w:rsidR="00F308AC" w:rsidRPr="007E650E" w:rsidRDefault="00F308AC" w:rsidP="00F308AC">
      <w:pPr>
        <w:pStyle w:val="BodyText"/>
        <w:spacing w:after="0"/>
        <w:rPr>
          <w:b/>
          <w:bCs/>
        </w:rPr>
      </w:pPr>
      <w:r w:rsidRPr="007E650E">
        <w:rPr>
          <w:b/>
          <w:bCs/>
        </w:rPr>
        <w:t>Los Angeles</w:t>
      </w:r>
    </w:p>
    <w:p w14:paraId="758F11DD" w14:textId="441EBC28" w:rsidR="00F308AC" w:rsidRPr="007E650E" w:rsidRDefault="00C75252" w:rsidP="00C75252">
      <w:pPr>
        <w:pStyle w:val="BodyText"/>
        <w:rPr>
          <w:lang w:bidi="en-US"/>
        </w:rPr>
      </w:pPr>
      <w:r w:rsidRPr="007E650E">
        <w:rPr>
          <w:lang w:bidi="en-US"/>
        </w:rPr>
        <w:t>Verdugo Jobs Center</w:t>
      </w:r>
      <w:r w:rsidRPr="007E650E">
        <w:rPr>
          <w:lang w:bidi="en-US"/>
        </w:rPr>
        <w:br/>
        <w:t>1255 S. Central Avenue</w:t>
      </w:r>
      <w:r w:rsidRPr="007E650E">
        <w:rPr>
          <w:lang w:bidi="en-US"/>
        </w:rPr>
        <w:br/>
        <w:t>Glendale, CA 91204</w:t>
      </w:r>
      <w:r w:rsidRPr="007E650E">
        <w:rPr>
          <w:lang w:bidi="en-US"/>
        </w:rPr>
        <w:br/>
        <w:t>Video Phone: 1-818-485-2722</w:t>
      </w:r>
      <w:r w:rsidRPr="007E650E">
        <w:rPr>
          <w:lang w:bidi="en-US"/>
        </w:rPr>
        <w:br/>
        <w:t>Voice: 1-818-937-8000</w:t>
      </w:r>
      <w:r w:rsidRPr="007E650E">
        <w:rPr>
          <w:lang w:bidi="en-US"/>
        </w:rPr>
        <w:br/>
        <w:t>TDD: 1-818-409-7236</w:t>
      </w:r>
    </w:p>
    <w:p w14:paraId="006B505D" w14:textId="57F2914A" w:rsidR="00F308AC" w:rsidRPr="007E650E" w:rsidRDefault="00F308AC" w:rsidP="00F308AC">
      <w:pPr>
        <w:pStyle w:val="BodyText"/>
        <w:spacing w:after="0"/>
      </w:pPr>
      <w:r w:rsidRPr="007E650E">
        <w:t xml:space="preserve"> </w:t>
      </w:r>
    </w:p>
    <w:p w14:paraId="2FF6A660" w14:textId="77777777" w:rsidR="00F308AC" w:rsidRPr="007E650E" w:rsidRDefault="00F308AC" w:rsidP="00F308AC">
      <w:pPr>
        <w:pStyle w:val="BodyText"/>
        <w:spacing w:after="0"/>
      </w:pPr>
      <w:r w:rsidRPr="007E650E">
        <w:t xml:space="preserve">South Bay One-Stop Business and Career Center </w:t>
      </w:r>
    </w:p>
    <w:p w14:paraId="24597942" w14:textId="77777777" w:rsidR="00F308AC" w:rsidRPr="007E650E" w:rsidRDefault="00F308AC" w:rsidP="00F308AC">
      <w:pPr>
        <w:pStyle w:val="BodyText"/>
        <w:spacing w:after="0"/>
      </w:pPr>
      <w:r w:rsidRPr="007E650E">
        <w:t>1220 Engracia Ave.</w:t>
      </w:r>
    </w:p>
    <w:p w14:paraId="178DA9CA" w14:textId="77777777" w:rsidR="00F308AC" w:rsidRPr="007E650E" w:rsidRDefault="00F308AC" w:rsidP="00F308AC">
      <w:pPr>
        <w:pStyle w:val="BodyText"/>
        <w:spacing w:after="0"/>
      </w:pPr>
      <w:r w:rsidRPr="007E650E">
        <w:t>Torrance, CA 90501</w:t>
      </w:r>
    </w:p>
    <w:p w14:paraId="30B76D2F" w14:textId="77777777" w:rsidR="00F308AC" w:rsidRPr="007E650E" w:rsidRDefault="00F308AC" w:rsidP="00F308AC">
      <w:pPr>
        <w:pStyle w:val="BodyText"/>
        <w:spacing w:after="0"/>
      </w:pPr>
      <w:r w:rsidRPr="007E650E">
        <w:t>VP: 1-323-924-8636</w:t>
      </w:r>
    </w:p>
    <w:p w14:paraId="07E46826" w14:textId="77777777" w:rsidR="00F308AC" w:rsidRPr="007E650E" w:rsidRDefault="00F308AC" w:rsidP="00F308AC">
      <w:pPr>
        <w:pStyle w:val="BodyText"/>
        <w:spacing w:after="0"/>
      </w:pPr>
      <w:r w:rsidRPr="007E650E">
        <w:t>Voice: 1-310-782-2120</w:t>
      </w:r>
    </w:p>
    <w:p w14:paraId="607C413F" w14:textId="77777777" w:rsidR="00F308AC" w:rsidRPr="007E650E" w:rsidRDefault="00F308AC" w:rsidP="00F308AC">
      <w:pPr>
        <w:pStyle w:val="BodyText"/>
        <w:spacing w:after="0"/>
      </w:pPr>
      <w:r w:rsidRPr="007E650E">
        <w:t>TDD: 1-310-782-2122</w:t>
      </w:r>
    </w:p>
    <w:p w14:paraId="19E0025E" w14:textId="77777777" w:rsidR="00F308AC" w:rsidRPr="007E650E" w:rsidRDefault="00F308AC" w:rsidP="00F308AC">
      <w:pPr>
        <w:pStyle w:val="BodyText"/>
        <w:spacing w:after="0"/>
      </w:pPr>
    </w:p>
    <w:p w14:paraId="5326866E" w14:textId="07FFFCC3" w:rsidR="00F308AC" w:rsidRPr="007E650E" w:rsidRDefault="00F308AC" w:rsidP="00F308AC">
      <w:pPr>
        <w:pStyle w:val="BodyText"/>
        <w:spacing w:after="0"/>
        <w:rPr>
          <w:b/>
          <w:bCs/>
        </w:rPr>
      </w:pPr>
      <w:r w:rsidRPr="007E650E">
        <w:rPr>
          <w:b/>
          <w:bCs/>
        </w:rPr>
        <w:lastRenderedPageBreak/>
        <w:t>Los Angeles (continued)</w:t>
      </w:r>
    </w:p>
    <w:p w14:paraId="41C77E4E" w14:textId="5CE95893" w:rsidR="00F308AC" w:rsidRPr="007E650E" w:rsidRDefault="00F308AC" w:rsidP="00F308AC">
      <w:pPr>
        <w:pStyle w:val="BodyText"/>
        <w:spacing w:after="0"/>
      </w:pPr>
      <w:r w:rsidRPr="007E650E">
        <w:t>Pomona Valley America</w:t>
      </w:r>
      <w:r w:rsidR="000D5ACF">
        <w:t>'</w:t>
      </w:r>
      <w:r w:rsidRPr="007E650E">
        <w:t>s Job Center of California</w:t>
      </w:r>
    </w:p>
    <w:p w14:paraId="1D454BFB" w14:textId="77777777" w:rsidR="00F308AC" w:rsidRPr="007E650E" w:rsidRDefault="00F308AC" w:rsidP="00F308AC">
      <w:pPr>
        <w:pStyle w:val="BodyText"/>
        <w:spacing w:after="0"/>
      </w:pPr>
      <w:r w:rsidRPr="007E650E">
        <w:t>1460 E. Holt Avenue. Suite 130</w:t>
      </w:r>
    </w:p>
    <w:p w14:paraId="0680A744" w14:textId="77777777" w:rsidR="00F308AC" w:rsidRPr="007E650E" w:rsidRDefault="00F308AC" w:rsidP="00F308AC">
      <w:pPr>
        <w:pStyle w:val="BodyText"/>
        <w:spacing w:after="0"/>
      </w:pPr>
      <w:r w:rsidRPr="007E650E">
        <w:t>Pomona, CA 91767</w:t>
      </w:r>
    </w:p>
    <w:p w14:paraId="109D8F55" w14:textId="77777777" w:rsidR="00F308AC" w:rsidRPr="007E650E" w:rsidRDefault="00F308AC" w:rsidP="00F308AC">
      <w:pPr>
        <w:pStyle w:val="BodyText"/>
        <w:spacing w:after="0"/>
      </w:pPr>
      <w:r w:rsidRPr="007E650E">
        <w:t>VP: 1-626-593-1490</w:t>
      </w:r>
    </w:p>
    <w:p w14:paraId="07906921" w14:textId="77777777" w:rsidR="00F308AC" w:rsidRPr="007E650E" w:rsidRDefault="00F308AC" w:rsidP="00F308AC">
      <w:pPr>
        <w:pStyle w:val="BodyText"/>
        <w:spacing w:after="0"/>
      </w:pPr>
      <w:r w:rsidRPr="007E650E">
        <w:t>Voice: 1-626-814-8242</w:t>
      </w:r>
    </w:p>
    <w:p w14:paraId="4A1DC1C6" w14:textId="77777777" w:rsidR="00F308AC" w:rsidRPr="007E650E" w:rsidRDefault="00F308AC" w:rsidP="00F308AC">
      <w:pPr>
        <w:pStyle w:val="BodyText"/>
        <w:spacing w:after="0"/>
      </w:pPr>
      <w:r w:rsidRPr="007E650E">
        <w:t>TDD: 1-626-814-8213</w:t>
      </w:r>
    </w:p>
    <w:p w14:paraId="729F97E7" w14:textId="77777777" w:rsidR="00F308AC" w:rsidRPr="007E650E" w:rsidRDefault="00F308AC" w:rsidP="00F308AC">
      <w:pPr>
        <w:pStyle w:val="BodyText"/>
        <w:spacing w:after="0"/>
      </w:pPr>
    </w:p>
    <w:p w14:paraId="619297F3" w14:textId="77777777" w:rsidR="00C75252" w:rsidRPr="007E650E" w:rsidRDefault="00C75252" w:rsidP="00C75252">
      <w:pPr>
        <w:pStyle w:val="BodyText"/>
        <w:spacing w:after="0"/>
      </w:pPr>
      <w:r w:rsidRPr="007E650E">
        <w:t>SELACO Cerritos AJCC</w:t>
      </w:r>
    </w:p>
    <w:p w14:paraId="4FDC41E2" w14:textId="77777777" w:rsidR="00C75252" w:rsidRPr="007E650E" w:rsidRDefault="00C75252" w:rsidP="00C75252">
      <w:pPr>
        <w:pStyle w:val="BodyText"/>
        <w:spacing w:after="0"/>
      </w:pPr>
      <w:r w:rsidRPr="007E650E">
        <w:t>10900 E. 183rd Street, Suite 392</w:t>
      </w:r>
    </w:p>
    <w:p w14:paraId="4FD85790" w14:textId="77777777" w:rsidR="00C75252" w:rsidRPr="007E650E" w:rsidRDefault="00C75252" w:rsidP="00C75252">
      <w:pPr>
        <w:pStyle w:val="BodyText"/>
        <w:spacing w:after="0"/>
      </w:pPr>
      <w:r w:rsidRPr="007E650E">
        <w:t>Cerritos, CA 90703</w:t>
      </w:r>
    </w:p>
    <w:p w14:paraId="39A40EB2" w14:textId="77777777" w:rsidR="00C75252" w:rsidRPr="007E650E" w:rsidRDefault="00C75252" w:rsidP="00C75252">
      <w:pPr>
        <w:pStyle w:val="BodyText"/>
        <w:spacing w:after="0"/>
      </w:pPr>
      <w:r w:rsidRPr="007E650E">
        <w:t>Video Phone: 1-562-219-4488</w:t>
      </w:r>
    </w:p>
    <w:p w14:paraId="65D4A545" w14:textId="77777777" w:rsidR="00C75252" w:rsidRPr="007E650E" w:rsidRDefault="00C75252" w:rsidP="00C75252">
      <w:pPr>
        <w:pStyle w:val="BodyText"/>
        <w:spacing w:after="0"/>
      </w:pPr>
      <w:r w:rsidRPr="007E650E">
        <w:t>Voice: 1-562-484-5048</w:t>
      </w:r>
    </w:p>
    <w:p w14:paraId="712F4EA8" w14:textId="29D52368" w:rsidR="00F308AC" w:rsidRPr="007E650E" w:rsidRDefault="00C75252" w:rsidP="00C75252">
      <w:pPr>
        <w:pStyle w:val="BodyText"/>
        <w:spacing w:after="0"/>
      </w:pPr>
      <w:r w:rsidRPr="007E650E">
        <w:t>TDD: 1-562-403-2125</w:t>
      </w:r>
    </w:p>
    <w:p w14:paraId="3EE97AFE" w14:textId="77777777" w:rsidR="00F308AC" w:rsidRPr="007E650E" w:rsidRDefault="00F308AC" w:rsidP="00F308AC">
      <w:pPr>
        <w:pStyle w:val="BodyText"/>
        <w:spacing w:after="0"/>
      </w:pPr>
    </w:p>
    <w:p w14:paraId="1E2034C6" w14:textId="77777777" w:rsidR="00F308AC" w:rsidRPr="007E650E" w:rsidRDefault="00F308AC" w:rsidP="00F308AC">
      <w:pPr>
        <w:pStyle w:val="BodyText"/>
        <w:spacing w:after="0"/>
        <w:rPr>
          <w:b/>
          <w:bCs/>
        </w:rPr>
      </w:pPr>
      <w:r w:rsidRPr="007E650E">
        <w:rPr>
          <w:b/>
          <w:bCs/>
        </w:rPr>
        <w:t>Orange</w:t>
      </w:r>
    </w:p>
    <w:p w14:paraId="549542E1" w14:textId="77777777" w:rsidR="00F308AC" w:rsidRPr="007E650E" w:rsidRDefault="00F308AC" w:rsidP="00F308AC">
      <w:pPr>
        <w:pStyle w:val="BodyText"/>
        <w:spacing w:after="0"/>
      </w:pPr>
      <w:r w:rsidRPr="007E650E">
        <w:t>Brea Workforce Solutions Center</w:t>
      </w:r>
    </w:p>
    <w:p w14:paraId="7D339F5B" w14:textId="77777777" w:rsidR="00F308AC" w:rsidRPr="007E650E" w:rsidRDefault="00F308AC" w:rsidP="00F308AC">
      <w:pPr>
        <w:pStyle w:val="BodyText"/>
        <w:spacing w:after="0"/>
      </w:pPr>
      <w:r w:rsidRPr="007E650E">
        <w:t>675 Placentia Ave, 3rd Floor</w:t>
      </w:r>
    </w:p>
    <w:p w14:paraId="40755C4C" w14:textId="77777777" w:rsidR="00F308AC" w:rsidRPr="007E650E" w:rsidRDefault="00F308AC" w:rsidP="00F308AC">
      <w:pPr>
        <w:pStyle w:val="BodyText"/>
        <w:spacing w:after="0"/>
      </w:pPr>
      <w:r w:rsidRPr="007E650E">
        <w:t>Brea, CA 92821</w:t>
      </w:r>
    </w:p>
    <w:p w14:paraId="71629B5C" w14:textId="77777777" w:rsidR="00F308AC" w:rsidRPr="007E650E" w:rsidRDefault="00F308AC" w:rsidP="00F308AC">
      <w:pPr>
        <w:pStyle w:val="BodyText"/>
        <w:spacing w:after="0"/>
      </w:pPr>
      <w:r w:rsidRPr="007E650E">
        <w:t>VP: 1-714-586-5902</w:t>
      </w:r>
    </w:p>
    <w:p w14:paraId="6EEF0AC3" w14:textId="77777777" w:rsidR="00F308AC" w:rsidRPr="007E650E" w:rsidRDefault="00F308AC" w:rsidP="00F308AC">
      <w:pPr>
        <w:pStyle w:val="BodyText"/>
        <w:spacing w:after="0"/>
      </w:pPr>
      <w:r w:rsidRPr="007E650E">
        <w:t>Voice: 1-657-400-1339</w:t>
      </w:r>
    </w:p>
    <w:p w14:paraId="637CBBDF" w14:textId="77777777" w:rsidR="00F308AC" w:rsidRPr="007E650E" w:rsidRDefault="00F308AC" w:rsidP="00F308AC">
      <w:pPr>
        <w:pStyle w:val="BodyText"/>
        <w:spacing w:after="0"/>
      </w:pPr>
      <w:r w:rsidRPr="007E650E">
        <w:t>TDD: 1-714-889-1249</w:t>
      </w:r>
    </w:p>
    <w:p w14:paraId="43403C8B" w14:textId="77777777" w:rsidR="00F308AC" w:rsidRPr="007E650E" w:rsidRDefault="00F308AC" w:rsidP="00F308AC">
      <w:pPr>
        <w:pStyle w:val="BodyText"/>
        <w:spacing w:after="0"/>
      </w:pPr>
    </w:p>
    <w:p w14:paraId="125F74DE" w14:textId="77777777" w:rsidR="00F308AC" w:rsidRPr="007E650E" w:rsidRDefault="00F308AC" w:rsidP="00F308AC">
      <w:pPr>
        <w:pStyle w:val="BodyText"/>
        <w:spacing w:after="0"/>
      </w:pPr>
      <w:r w:rsidRPr="007E650E">
        <w:t>Santa Ana WORK Center</w:t>
      </w:r>
    </w:p>
    <w:p w14:paraId="7313305A" w14:textId="77777777" w:rsidR="00F308AC" w:rsidRPr="007E650E" w:rsidRDefault="00F308AC" w:rsidP="00F308AC">
      <w:pPr>
        <w:pStyle w:val="BodyText"/>
        <w:spacing w:after="0"/>
      </w:pPr>
      <w:r w:rsidRPr="007E650E">
        <w:t xml:space="preserve">801 West Civic Center Dr., Suite 200 </w:t>
      </w:r>
    </w:p>
    <w:p w14:paraId="4232E661" w14:textId="77777777" w:rsidR="00F308AC" w:rsidRPr="007E650E" w:rsidRDefault="00F308AC" w:rsidP="00F308AC">
      <w:pPr>
        <w:pStyle w:val="BodyText"/>
        <w:spacing w:after="0"/>
      </w:pPr>
      <w:r w:rsidRPr="007E650E">
        <w:t>Santa Ana, CA 92701</w:t>
      </w:r>
    </w:p>
    <w:p w14:paraId="35BCF07B" w14:textId="77777777" w:rsidR="00F308AC" w:rsidRPr="007E650E" w:rsidRDefault="00F308AC" w:rsidP="00F308AC">
      <w:pPr>
        <w:pStyle w:val="BodyText"/>
        <w:spacing w:after="0"/>
      </w:pPr>
      <w:r w:rsidRPr="007E650E">
        <w:t>VP: 1-714-855-4068</w:t>
      </w:r>
    </w:p>
    <w:p w14:paraId="2C625EF9" w14:textId="77777777" w:rsidR="00F308AC" w:rsidRPr="007E650E" w:rsidRDefault="00F308AC" w:rsidP="00F308AC">
      <w:pPr>
        <w:pStyle w:val="BodyText"/>
        <w:spacing w:after="0"/>
      </w:pPr>
      <w:r w:rsidRPr="007E650E">
        <w:t>Voice: 1-714-565-2668</w:t>
      </w:r>
    </w:p>
    <w:p w14:paraId="54E24A73" w14:textId="77777777" w:rsidR="00F308AC" w:rsidRPr="007E650E" w:rsidRDefault="00F308AC" w:rsidP="00F308AC">
      <w:pPr>
        <w:pStyle w:val="BodyText"/>
        <w:spacing w:after="0"/>
      </w:pPr>
      <w:r w:rsidRPr="007E650E">
        <w:t>TDD: 1-714-565-2669</w:t>
      </w:r>
    </w:p>
    <w:p w14:paraId="5C0D7113" w14:textId="77777777" w:rsidR="00F308AC" w:rsidRPr="007E650E" w:rsidRDefault="00F308AC" w:rsidP="00F308AC">
      <w:pPr>
        <w:pStyle w:val="BodyText"/>
        <w:spacing w:after="0"/>
      </w:pPr>
      <w:r w:rsidRPr="007E650E">
        <w:t xml:space="preserve"> </w:t>
      </w:r>
    </w:p>
    <w:p w14:paraId="0AB7BD46" w14:textId="77777777" w:rsidR="00F308AC" w:rsidRPr="007E650E" w:rsidRDefault="00F308AC" w:rsidP="00F308AC">
      <w:pPr>
        <w:pStyle w:val="BodyText"/>
        <w:spacing w:after="0"/>
        <w:rPr>
          <w:b/>
          <w:bCs/>
        </w:rPr>
      </w:pPr>
      <w:r w:rsidRPr="007E650E">
        <w:rPr>
          <w:b/>
          <w:bCs/>
        </w:rPr>
        <w:t>Riverside</w:t>
      </w:r>
    </w:p>
    <w:p w14:paraId="45E4D1F7" w14:textId="06E57F39" w:rsidR="00F308AC" w:rsidRPr="007E650E" w:rsidRDefault="00F308AC" w:rsidP="00F308AC">
      <w:pPr>
        <w:pStyle w:val="BodyText"/>
        <w:spacing w:after="0"/>
      </w:pPr>
      <w:r w:rsidRPr="007E650E">
        <w:t>Riverside America</w:t>
      </w:r>
      <w:r w:rsidR="000D5ACF">
        <w:t>'</w:t>
      </w:r>
      <w:r w:rsidRPr="007E650E">
        <w:t xml:space="preserve">s Job Center of California </w:t>
      </w:r>
    </w:p>
    <w:p w14:paraId="7657B8A9" w14:textId="77777777" w:rsidR="00F308AC" w:rsidRPr="007E650E" w:rsidRDefault="00F308AC" w:rsidP="00F308AC">
      <w:pPr>
        <w:pStyle w:val="BodyText"/>
        <w:spacing w:after="0"/>
      </w:pPr>
      <w:r w:rsidRPr="007E650E">
        <w:t>1325 Spruce Street, Suite 110</w:t>
      </w:r>
    </w:p>
    <w:p w14:paraId="1E54139F" w14:textId="77777777" w:rsidR="00F308AC" w:rsidRPr="007E650E" w:rsidRDefault="00F308AC" w:rsidP="00F308AC">
      <w:pPr>
        <w:pStyle w:val="BodyText"/>
        <w:spacing w:after="0"/>
      </w:pPr>
      <w:r w:rsidRPr="007E650E">
        <w:t>Riverside, CA 92507</w:t>
      </w:r>
    </w:p>
    <w:p w14:paraId="1A8187B7" w14:textId="77777777" w:rsidR="00F308AC" w:rsidRPr="007E650E" w:rsidRDefault="00F308AC" w:rsidP="00F308AC">
      <w:pPr>
        <w:pStyle w:val="BodyText"/>
        <w:spacing w:after="0"/>
      </w:pPr>
      <w:r w:rsidRPr="007E650E">
        <w:t>VP: 1-951-801-5694</w:t>
      </w:r>
    </w:p>
    <w:p w14:paraId="76403FDC" w14:textId="77777777" w:rsidR="00F308AC" w:rsidRPr="007E650E" w:rsidRDefault="00F308AC" w:rsidP="00F308AC">
      <w:pPr>
        <w:pStyle w:val="BodyText"/>
        <w:spacing w:after="0"/>
      </w:pPr>
      <w:r w:rsidRPr="007E650E">
        <w:t>Voice: 1-951-955-2212</w:t>
      </w:r>
    </w:p>
    <w:p w14:paraId="19DEC699" w14:textId="77777777" w:rsidR="00F308AC" w:rsidRPr="007E650E" w:rsidRDefault="00F308AC" w:rsidP="00F308AC">
      <w:pPr>
        <w:pStyle w:val="BodyText"/>
        <w:spacing w:after="0"/>
      </w:pPr>
      <w:r w:rsidRPr="007E650E">
        <w:t>TDD: 1-951-955-2245</w:t>
      </w:r>
    </w:p>
    <w:p w14:paraId="12758FCF" w14:textId="77777777" w:rsidR="00F308AC" w:rsidRPr="007E650E" w:rsidRDefault="00F308AC" w:rsidP="00F308AC">
      <w:pPr>
        <w:pStyle w:val="BodyText"/>
        <w:spacing w:after="0"/>
      </w:pPr>
    </w:p>
    <w:p w14:paraId="431AC2D4" w14:textId="77777777" w:rsidR="00F308AC" w:rsidRPr="007E650E" w:rsidRDefault="00F308AC" w:rsidP="00F308AC">
      <w:pPr>
        <w:pStyle w:val="BodyText"/>
        <w:spacing w:after="0"/>
        <w:rPr>
          <w:b/>
          <w:bCs/>
        </w:rPr>
      </w:pPr>
      <w:r w:rsidRPr="007E650E">
        <w:rPr>
          <w:b/>
          <w:bCs/>
        </w:rPr>
        <w:t>Sacramento</w:t>
      </w:r>
    </w:p>
    <w:p w14:paraId="74B1158E" w14:textId="334955DE" w:rsidR="00F308AC" w:rsidRPr="007E650E" w:rsidRDefault="00F308AC" w:rsidP="00F308AC">
      <w:pPr>
        <w:pStyle w:val="BodyText"/>
        <w:spacing w:after="0"/>
      </w:pPr>
      <w:r w:rsidRPr="007E650E">
        <w:t>Hillsdale America</w:t>
      </w:r>
      <w:r w:rsidR="000D5ACF">
        <w:t>'</w:t>
      </w:r>
      <w:r w:rsidRPr="007E650E">
        <w:t>s Job Center of California</w:t>
      </w:r>
    </w:p>
    <w:p w14:paraId="4894E0EC" w14:textId="77777777" w:rsidR="00F308AC" w:rsidRPr="007E650E" w:rsidRDefault="00F308AC" w:rsidP="00F308AC">
      <w:pPr>
        <w:pStyle w:val="BodyText"/>
        <w:spacing w:after="0"/>
      </w:pPr>
      <w:r w:rsidRPr="007E650E">
        <w:t>5655 Hillsdale Blvd., Suite 8</w:t>
      </w:r>
    </w:p>
    <w:p w14:paraId="12858CC9" w14:textId="77777777" w:rsidR="00F308AC" w:rsidRPr="007E650E" w:rsidRDefault="00F308AC" w:rsidP="00F308AC">
      <w:pPr>
        <w:pStyle w:val="BodyText"/>
        <w:spacing w:after="0"/>
      </w:pPr>
      <w:r w:rsidRPr="007E650E">
        <w:t>Sacramento, CA 95842</w:t>
      </w:r>
    </w:p>
    <w:p w14:paraId="2876C6B3" w14:textId="77777777" w:rsidR="00F308AC" w:rsidRPr="007E650E" w:rsidRDefault="00F308AC" w:rsidP="00F308AC">
      <w:pPr>
        <w:pStyle w:val="BodyText"/>
        <w:spacing w:after="0"/>
      </w:pPr>
      <w:r w:rsidRPr="007E650E">
        <w:t>VP: 1-916-409-3071</w:t>
      </w:r>
    </w:p>
    <w:p w14:paraId="6FB18609" w14:textId="77777777" w:rsidR="00F308AC" w:rsidRPr="007E650E" w:rsidRDefault="00F308AC" w:rsidP="00F308AC">
      <w:pPr>
        <w:pStyle w:val="BodyText"/>
        <w:spacing w:after="0"/>
      </w:pPr>
      <w:r w:rsidRPr="007E650E">
        <w:t>Voice: 1-916-263-4146</w:t>
      </w:r>
    </w:p>
    <w:p w14:paraId="086FEC47" w14:textId="77777777" w:rsidR="00F308AC" w:rsidRPr="007E650E" w:rsidRDefault="00F308AC" w:rsidP="00F308AC">
      <w:pPr>
        <w:pStyle w:val="BodyText"/>
        <w:spacing w:after="0"/>
      </w:pPr>
    </w:p>
    <w:p w14:paraId="48C80D93" w14:textId="25503F9A" w:rsidR="00F308AC" w:rsidRPr="007E650E" w:rsidRDefault="00F308AC" w:rsidP="00F308AC">
      <w:pPr>
        <w:pStyle w:val="BodyText"/>
        <w:spacing w:after="0"/>
      </w:pPr>
      <w:r w:rsidRPr="007E650E">
        <w:t>Mark Sanders America</w:t>
      </w:r>
      <w:r w:rsidR="000D5ACF">
        <w:t>'</w:t>
      </w:r>
      <w:r w:rsidRPr="007E650E">
        <w:t>s Job Center of California</w:t>
      </w:r>
    </w:p>
    <w:p w14:paraId="3DBD9991" w14:textId="77777777" w:rsidR="00F308AC" w:rsidRPr="007E650E" w:rsidRDefault="00F308AC" w:rsidP="00F308AC">
      <w:pPr>
        <w:pStyle w:val="BodyText"/>
        <w:spacing w:after="0"/>
      </w:pPr>
      <w:r w:rsidRPr="007E650E">
        <w:t>2901 50th Street</w:t>
      </w:r>
    </w:p>
    <w:p w14:paraId="2DB92F5C" w14:textId="77777777" w:rsidR="00F308AC" w:rsidRPr="007E650E" w:rsidRDefault="00F308AC" w:rsidP="00F308AC">
      <w:pPr>
        <w:pStyle w:val="BodyText"/>
        <w:spacing w:after="0"/>
      </w:pPr>
      <w:r w:rsidRPr="007E650E">
        <w:t>Sacramento, CA 95817</w:t>
      </w:r>
    </w:p>
    <w:p w14:paraId="345AB48A" w14:textId="77777777" w:rsidR="00F308AC" w:rsidRPr="007E650E" w:rsidRDefault="00F308AC" w:rsidP="00F308AC">
      <w:pPr>
        <w:pStyle w:val="BodyText"/>
        <w:spacing w:after="0"/>
      </w:pPr>
      <w:r w:rsidRPr="007E650E">
        <w:t>VP: 1-916-374-7167</w:t>
      </w:r>
    </w:p>
    <w:p w14:paraId="16CCDCFD" w14:textId="77777777" w:rsidR="00F308AC" w:rsidRPr="007E650E" w:rsidRDefault="00F308AC" w:rsidP="00F308AC">
      <w:pPr>
        <w:pStyle w:val="BodyText"/>
        <w:spacing w:after="0"/>
      </w:pPr>
      <w:r w:rsidRPr="007E650E">
        <w:t>Voice: 1-916-227-0207</w:t>
      </w:r>
    </w:p>
    <w:p w14:paraId="4C469AFE" w14:textId="77777777" w:rsidR="00F308AC" w:rsidRPr="007E650E" w:rsidRDefault="00F308AC" w:rsidP="00F308AC">
      <w:pPr>
        <w:pStyle w:val="BodyText"/>
        <w:spacing w:after="0"/>
      </w:pPr>
    </w:p>
    <w:p w14:paraId="4BB4EE3F" w14:textId="77777777" w:rsidR="00F308AC" w:rsidRPr="007E650E" w:rsidRDefault="00F308AC" w:rsidP="00F308AC">
      <w:pPr>
        <w:pStyle w:val="BodyText"/>
        <w:spacing w:after="0"/>
        <w:rPr>
          <w:b/>
          <w:bCs/>
        </w:rPr>
      </w:pPr>
      <w:r w:rsidRPr="007E650E">
        <w:rPr>
          <w:b/>
          <w:bCs/>
        </w:rPr>
        <w:t>San Bernardino</w:t>
      </w:r>
    </w:p>
    <w:p w14:paraId="7724B6E8" w14:textId="573848B5" w:rsidR="00F308AC" w:rsidRPr="007E650E" w:rsidRDefault="00F308AC" w:rsidP="00F308AC">
      <w:pPr>
        <w:pStyle w:val="BodyText"/>
        <w:spacing w:after="0"/>
      </w:pPr>
      <w:r w:rsidRPr="007E650E">
        <w:t>West Valley America</w:t>
      </w:r>
      <w:r w:rsidR="000D5ACF">
        <w:t>'</w:t>
      </w:r>
      <w:r w:rsidRPr="007E650E">
        <w:t xml:space="preserve">s Job Center of California </w:t>
      </w:r>
    </w:p>
    <w:p w14:paraId="5689E22F" w14:textId="77777777" w:rsidR="00F308AC" w:rsidRPr="007E650E" w:rsidRDefault="00F308AC" w:rsidP="00F308AC">
      <w:pPr>
        <w:pStyle w:val="BodyText"/>
        <w:spacing w:after="0"/>
      </w:pPr>
      <w:r w:rsidRPr="007E650E">
        <w:t>9650 9th Street, Suite A</w:t>
      </w:r>
    </w:p>
    <w:p w14:paraId="02B70151" w14:textId="77777777" w:rsidR="00F308AC" w:rsidRPr="007E650E" w:rsidRDefault="00F308AC" w:rsidP="00F308AC">
      <w:pPr>
        <w:pStyle w:val="BodyText"/>
        <w:spacing w:after="0"/>
      </w:pPr>
      <w:r w:rsidRPr="007E650E">
        <w:t>Rancho Cucamonga, CA 91730</w:t>
      </w:r>
    </w:p>
    <w:p w14:paraId="41BA248B" w14:textId="77777777" w:rsidR="00F308AC" w:rsidRPr="007E650E" w:rsidRDefault="00F308AC" w:rsidP="00F308AC">
      <w:pPr>
        <w:pStyle w:val="BodyText"/>
        <w:spacing w:after="0"/>
      </w:pPr>
      <w:r w:rsidRPr="007E650E">
        <w:t>VP: 1-909-256-0058</w:t>
      </w:r>
    </w:p>
    <w:p w14:paraId="1D18B11B" w14:textId="77777777" w:rsidR="00F308AC" w:rsidRPr="007E650E" w:rsidRDefault="00F308AC" w:rsidP="00F308AC">
      <w:pPr>
        <w:pStyle w:val="BodyText"/>
        <w:spacing w:after="0"/>
      </w:pPr>
      <w:r w:rsidRPr="007E650E">
        <w:t>Voice: 1-909-948-6638</w:t>
      </w:r>
    </w:p>
    <w:p w14:paraId="574F23A9" w14:textId="77777777" w:rsidR="00F308AC" w:rsidRPr="007E650E" w:rsidRDefault="00F308AC" w:rsidP="00F308AC">
      <w:pPr>
        <w:pStyle w:val="BodyText"/>
        <w:spacing w:after="0"/>
      </w:pPr>
      <w:r w:rsidRPr="007E650E">
        <w:t>TDD: 1-909-948-6693</w:t>
      </w:r>
    </w:p>
    <w:p w14:paraId="1217F5D8" w14:textId="77777777" w:rsidR="00F308AC" w:rsidRPr="007E650E" w:rsidRDefault="00F308AC" w:rsidP="00F308AC">
      <w:pPr>
        <w:pStyle w:val="BodyText"/>
        <w:spacing w:after="0"/>
      </w:pPr>
    </w:p>
    <w:p w14:paraId="3C3F2514" w14:textId="77777777" w:rsidR="00F308AC" w:rsidRPr="007E650E" w:rsidRDefault="00F308AC" w:rsidP="00F308AC">
      <w:pPr>
        <w:pStyle w:val="BodyText"/>
        <w:spacing w:after="0"/>
        <w:rPr>
          <w:b/>
          <w:bCs/>
        </w:rPr>
      </w:pPr>
      <w:r w:rsidRPr="007E650E">
        <w:rPr>
          <w:b/>
          <w:bCs/>
        </w:rPr>
        <w:t>San Diego</w:t>
      </w:r>
    </w:p>
    <w:p w14:paraId="5D7E404A" w14:textId="77777777" w:rsidR="00F308AC" w:rsidRPr="007E650E" w:rsidRDefault="00F308AC" w:rsidP="00F308AC">
      <w:pPr>
        <w:pStyle w:val="BodyText"/>
        <w:spacing w:after="0"/>
      </w:pPr>
      <w:r w:rsidRPr="007E650E">
        <w:t xml:space="preserve">North County Coastal Career Center </w:t>
      </w:r>
    </w:p>
    <w:p w14:paraId="4F75306C" w14:textId="77777777" w:rsidR="00F308AC" w:rsidRPr="007E650E" w:rsidRDefault="00F308AC" w:rsidP="00F308AC">
      <w:pPr>
        <w:pStyle w:val="BodyText"/>
        <w:spacing w:after="0"/>
      </w:pPr>
      <w:r w:rsidRPr="007E650E">
        <w:t>1949 Avenida Del Oro, Suite 106</w:t>
      </w:r>
    </w:p>
    <w:p w14:paraId="5DCF7B65" w14:textId="77777777" w:rsidR="00F308AC" w:rsidRPr="007E650E" w:rsidRDefault="00F308AC" w:rsidP="00F308AC">
      <w:pPr>
        <w:pStyle w:val="BodyText"/>
        <w:spacing w:after="0"/>
      </w:pPr>
      <w:r w:rsidRPr="007E650E">
        <w:t>Oceanside, CA 92056</w:t>
      </w:r>
    </w:p>
    <w:p w14:paraId="7BBDBB90" w14:textId="77777777" w:rsidR="00F308AC" w:rsidRPr="007E650E" w:rsidRDefault="00F308AC" w:rsidP="00F308AC">
      <w:pPr>
        <w:pStyle w:val="BodyText"/>
        <w:spacing w:after="0"/>
      </w:pPr>
      <w:r w:rsidRPr="007E650E">
        <w:t>VP: 1-760-230-5440</w:t>
      </w:r>
    </w:p>
    <w:p w14:paraId="38D17667" w14:textId="77777777" w:rsidR="00F308AC" w:rsidRPr="007E650E" w:rsidRDefault="00F308AC" w:rsidP="00F308AC">
      <w:pPr>
        <w:pStyle w:val="BodyText"/>
        <w:spacing w:after="0"/>
      </w:pPr>
    </w:p>
    <w:p w14:paraId="56B82742" w14:textId="77777777" w:rsidR="00F308AC" w:rsidRPr="007E650E" w:rsidRDefault="00F308AC" w:rsidP="00F308AC">
      <w:pPr>
        <w:pStyle w:val="BodyText"/>
        <w:spacing w:after="0"/>
      </w:pPr>
      <w:r w:rsidRPr="007E650E">
        <w:t>South Metro Career Center</w:t>
      </w:r>
    </w:p>
    <w:p w14:paraId="71C6E0A5" w14:textId="77777777" w:rsidR="00F308AC" w:rsidRPr="007E650E" w:rsidRDefault="00F308AC" w:rsidP="00F308AC">
      <w:pPr>
        <w:pStyle w:val="BodyText"/>
        <w:spacing w:after="0"/>
      </w:pPr>
      <w:r w:rsidRPr="007E650E">
        <w:t>4389 Imperial Ave.</w:t>
      </w:r>
    </w:p>
    <w:p w14:paraId="75A519B1" w14:textId="77777777" w:rsidR="00F308AC" w:rsidRPr="007E650E" w:rsidRDefault="00F308AC" w:rsidP="00F308AC">
      <w:pPr>
        <w:pStyle w:val="BodyText"/>
        <w:spacing w:after="0"/>
      </w:pPr>
      <w:r w:rsidRPr="007E650E">
        <w:t>San Diego, CA 92113</w:t>
      </w:r>
    </w:p>
    <w:p w14:paraId="59D78FF6" w14:textId="77777777" w:rsidR="00F308AC" w:rsidRPr="007E650E" w:rsidRDefault="00F308AC" w:rsidP="00F308AC">
      <w:pPr>
        <w:pStyle w:val="BodyText"/>
        <w:spacing w:after="0"/>
      </w:pPr>
      <w:r w:rsidRPr="007E650E">
        <w:t>VP: 1-619-550-3399</w:t>
      </w:r>
    </w:p>
    <w:p w14:paraId="3DBAC987" w14:textId="77777777" w:rsidR="00F308AC" w:rsidRPr="007E650E" w:rsidRDefault="00F308AC" w:rsidP="00F308AC">
      <w:pPr>
        <w:pStyle w:val="BodyText"/>
        <w:spacing w:after="0"/>
      </w:pPr>
      <w:r w:rsidRPr="007E650E">
        <w:t xml:space="preserve"> </w:t>
      </w:r>
    </w:p>
    <w:p w14:paraId="329137C9" w14:textId="77777777" w:rsidR="00F308AC" w:rsidRPr="007E650E" w:rsidRDefault="00F308AC" w:rsidP="00F308AC">
      <w:pPr>
        <w:pStyle w:val="BodyText"/>
        <w:spacing w:after="0"/>
        <w:rPr>
          <w:b/>
          <w:bCs/>
        </w:rPr>
      </w:pPr>
      <w:r w:rsidRPr="007E650E">
        <w:rPr>
          <w:b/>
          <w:bCs/>
        </w:rPr>
        <w:t>San Francisco</w:t>
      </w:r>
    </w:p>
    <w:p w14:paraId="0815EB65" w14:textId="77777777" w:rsidR="00F308AC" w:rsidRPr="007E650E" w:rsidRDefault="00F308AC" w:rsidP="00F308AC">
      <w:pPr>
        <w:pStyle w:val="BodyText"/>
        <w:spacing w:after="0"/>
      </w:pPr>
      <w:r w:rsidRPr="007E650E">
        <w:t xml:space="preserve">San Francisco Civic Center </w:t>
      </w:r>
    </w:p>
    <w:p w14:paraId="4BF43F35" w14:textId="77777777" w:rsidR="00F308AC" w:rsidRPr="007E650E" w:rsidRDefault="00F308AC" w:rsidP="00F308AC">
      <w:pPr>
        <w:pStyle w:val="BodyText"/>
        <w:spacing w:after="0"/>
      </w:pPr>
      <w:r w:rsidRPr="007E650E">
        <w:t>801 Turk Street</w:t>
      </w:r>
    </w:p>
    <w:p w14:paraId="7429B2F6" w14:textId="77777777" w:rsidR="00F308AC" w:rsidRPr="007E650E" w:rsidRDefault="00F308AC" w:rsidP="00F308AC">
      <w:pPr>
        <w:pStyle w:val="BodyText"/>
        <w:spacing w:after="0"/>
      </w:pPr>
      <w:r w:rsidRPr="007E650E">
        <w:t>San Francisco, CA 94102</w:t>
      </w:r>
    </w:p>
    <w:p w14:paraId="7EC377FB" w14:textId="77777777" w:rsidR="00F308AC" w:rsidRPr="007E650E" w:rsidRDefault="00F308AC" w:rsidP="00F308AC">
      <w:pPr>
        <w:pStyle w:val="BodyText"/>
        <w:spacing w:after="0"/>
      </w:pPr>
      <w:r w:rsidRPr="007E650E">
        <w:t>VP: 1-415-255-5867</w:t>
      </w:r>
    </w:p>
    <w:p w14:paraId="2BDED8B0" w14:textId="77777777" w:rsidR="00F308AC" w:rsidRPr="007E650E" w:rsidRDefault="00F308AC" w:rsidP="00F308AC">
      <w:pPr>
        <w:pStyle w:val="BodyText"/>
        <w:spacing w:after="0"/>
      </w:pPr>
      <w:r w:rsidRPr="007E650E">
        <w:t>Voice: 1-415-749-3235</w:t>
      </w:r>
    </w:p>
    <w:p w14:paraId="1F2B9F32" w14:textId="77777777" w:rsidR="00F308AC" w:rsidRPr="007E650E" w:rsidRDefault="00F308AC" w:rsidP="00F308AC">
      <w:pPr>
        <w:pStyle w:val="BodyText"/>
        <w:spacing w:after="0"/>
      </w:pPr>
    </w:p>
    <w:p w14:paraId="67871109" w14:textId="77777777" w:rsidR="00F308AC" w:rsidRPr="007E650E" w:rsidRDefault="00F308AC" w:rsidP="00F308AC">
      <w:pPr>
        <w:pStyle w:val="BodyText"/>
        <w:spacing w:after="0"/>
        <w:rPr>
          <w:b/>
          <w:bCs/>
        </w:rPr>
      </w:pPr>
      <w:r w:rsidRPr="007E650E">
        <w:rPr>
          <w:b/>
          <w:bCs/>
        </w:rPr>
        <w:t>Santa Clara</w:t>
      </w:r>
    </w:p>
    <w:p w14:paraId="3AF8C5B0" w14:textId="2BB1EAF5" w:rsidR="00C75252" w:rsidRPr="007E650E" w:rsidRDefault="00F308AC" w:rsidP="00F308AC">
      <w:pPr>
        <w:pStyle w:val="BodyText"/>
        <w:spacing w:after="0"/>
      </w:pPr>
      <w:r w:rsidRPr="007E650E">
        <w:t>North San Jose America</w:t>
      </w:r>
      <w:r w:rsidR="000D5ACF">
        <w:t>'</w:t>
      </w:r>
      <w:r w:rsidRPr="007E650E">
        <w:t>s Job Center of California</w:t>
      </w:r>
    </w:p>
    <w:p w14:paraId="43A5783C" w14:textId="0FE7641F" w:rsidR="00F308AC" w:rsidRPr="007E650E" w:rsidRDefault="00F308AC" w:rsidP="00F308AC">
      <w:pPr>
        <w:pStyle w:val="BodyText"/>
        <w:spacing w:after="0"/>
      </w:pPr>
      <w:r w:rsidRPr="007E650E">
        <w:t>1901 Zanker Road</w:t>
      </w:r>
    </w:p>
    <w:p w14:paraId="3E027A34" w14:textId="77777777" w:rsidR="00F308AC" w:rsidRPr="007E650E" w:rsidRDefault="00F308AC" w:rsidP="00F308AC">
      <w:pPr>
        <w:pStyle w:val="BodyText"/>
        <w:spacing w:after="0"/>
      </w:pPr>
      <w:r w:rsidRPr="007E650E">
        <w:t>San Jose, CA 95112</w:t>
      </w:r>
    </w:p>
    <w:p w14:paraId="0016DFA8" w14:textId="77777777" w:rsidR="00F308AC" w:rsidRPr="007E650E" w:rsidRDefault="00F308AC" w:rsidP="00F308AC">
      <w:pPr>
        <w:pStyle w:val="BodyText"/>
        <w:spacing w:after="0"/>
      </w:pPr>
      <w:r w:rsidRPr="007E650E">
        <w:t>VP: 1-408-426-5049</w:t>
      </w:r>
    </w:p>
    <w:p w14:paraId="6110F69B" w14:textId="088EDD71" w:rsidR="008544AA" w:rsidRPr="007E650E" w:rsidRDefault="00F308AC" w:rsidP="00F308AC">
      <w:pPr>
        <w:pStyle w:val="BodyText"/>
        <w:spacing w:after="0"/>
      </w:pPr>
      <w:r w:rsidRPr="007E650E">
        <w:t>Voice: 1-408-216-6189</w:t>
      </w:r>
      <w:r w:rsidR="008544AA" w:rsidRPr="007E650E">
        <w:br w:type="page"/>
      </w:r>
    </w:p>
    <w:p w14:paraId="62D18182" w14:textId="43599556" w:rsidR="008544AA" w:rsidRPr="007E650E" w:rsidRDefault="008544AA" w:rsidP="00943164">
      <w:pPr>
        <w:pStyle w:val="Heading2"/>
        <w:numPr>
          <w:ilvl w:val="0"/>
          <w:numId w:val="0"/>
        </w:numPr>
        <w:rPr>
          <w:rFonts w:eastAsia="Arial"/>
          <w:lang w:val="en"/>
        </w:rPr>
      </w:pPr>
      <w:bookmarkStart w:id="179" w:name="_3cqmetx"/>
      <w:bookmarkStart w:id="180" w:name="_Toc116915409"/>
      <w:bookmarkStart w:id="181" w:name="_Toc117246193"/>
      <w:bookmarkStart w:id="182" w:name="_Toc130496202"/>
      <w:bookmarkStart w:id="183" w:name="_Toc167356451"/>
      <w:bookmarkStart w:id="184" w:name="_Toc195189620"/>
      <w:bookmarkEnd w:id="179"/>
      <w:r w:rsidRPr="007E650E">
        <w:rPr>
          <w:rFonts w:eastAsia="Arial"/>
          <w:lang w:val="en"/>
        </w:rPr>
        <w:lastRenderedPageBreak/>
        <w:t xml:space="preserve">Appendix D: </w:t>
      </w:r>
      <w:bookmarkEnd w:id="180"/>
      <w:bookmarkEnd w:id="181"/>
      <w:bookmarkEnd w:id="182"/>
      <w:bookmarkEnd w:id="183"/>
      <w:r w:rsidR="00F308AC" w:rsidRPr="007E650E">
        <w:rPr>
          <w:rFonts w:eastAsia="Arial"/>
          <w:lang w:val="en"/>
        </w:rPr>
        <w:t>Definitions</w:t>
      </w:r>
      <w:bookmarkEnd w:id="184"/>
    </w:p>
    <w:p w14:paraId="2E6798AB" w14:textId="3394AFF9" w:rsidR="00F308AC" w:rsidRPr="007E650E" w:rsidRDefault="00C90887" w:rsidP="00C90887">
      <w:pPr>
        <w:pStyle w:val="BodyText"/>
      </w:pPr>
      <w:r w:rsidRPr="007E650E">
        <w:rPr>
          <w:b/>
          <w:bCs/>
          <w:lang w:bidi="en-US"/>
        </w:rPr>
        <w:t>Enrolled Participants</w:t>
      </w:r>
      <w:r w:rsidRPr="007E650E">
        <w:rPr>
          <w:lang w:bidi="en-US"/>
        </w:rPr>
        <w:t xml:space="preserve"> – Clients enrolled into the DHH program who are provided one or more services that create participation.</w:t>
      </w:r>
    </w:p>
    <w:p w14:paraId="00A47C8F" w14:textId="121EA6E4" w:rsidR="00F308AC" w:rsidRPr="007E650E" w:rsidRDefault="00F308AC" w:rsidP="00C90887">
      <w:pPr>
        <w:pStyle w:val="BodyText"/>
        <w:ind w:right="413"/>
      </w:pPr>
      <w:r w:rsidRPr="007E650E">
        <w:rPr>
          <w:b/>
        </w:rPr>
        <w:t xml:space="preserve">Placements </w:t>
      </w:r>
      <w:r w:rsidRPr="007E650E">
        <w:t>– The hiring by a public or private employer of a DHH enrolled client referred by the grantee</w:t>
      </w:r>
      <w:r w:rsidR="000D5ACF">
        <w:t>'</w:t>
      </w:r>
      <w:r w:rsidRPr="007E650E">
        <w:t xml:space="preserve">s staff for a job or an interview, providing the grantee </w:t>
      </w:r>
      <w:r w:rsidR="00C90887" w:rsidRPr="007E650E">
        <w:t>has</w:t>
      </w:r>
      <w:r w:rsidRPr="007E650E">
        <w:t xml:space="preserve"> completed </w:t>
      </w:r>
      <w:r w:rsidRPr="007E650E">
        <w:rPr>
          <w:u w:val="single"/>
        </w:rPr>
        <w:t>all</w:t>
      </w:r>
      <w:r w:rsidRPr="007E650E">
        <w:t xml:space="preserve"> the following steps:</w:t>
      </w:r>
    </w:p>
    <w:p w14:paraId="7E81A497" w14:textId="77CEB602" w:rsidR="00F308AC" w:rsidRPr="007E650E" w:rsidRDefault="00F308AC" w:rsidP="00CF0D6C">
      <w:pPr>
        <w:pStyle w:val="ListParagraph"/>
        <w:widowControl w:val="0"/>
        <w:numPr>
          <w:ilvl w:val="0"/>
          <w:numId w:val="20"/>
        </w:numPr>
        <w:tabs>
          <w:tab w:val="left" w:pos="699"/>
          <w:tab w:val="left" w:pos="700"/>
        </w:tabs>
        <w:autoSpaceDE w:val="0"/>
        <w:autoSpaceDN w:val="0"/>
        <w:spacing w:after="0" w:line="242" w:lineRule="auto"/>
        <w:ind w:right="636"/>
      </w:pPr>
      <w:r w:rsidRPr="007E650E">
        <w:t xml:space="preserve">Prepared a job order prior to referral, except in the case of a job development </w:t>
      </w:r>
      <w:proofErr w:type="gramStart"/>
      <w:r w:rsidRPr="007E650E">
        <w:t>contact</w:t>
      </w:r>
      <w:proofErr w:type="gramEnd"/>
      <w:r w:rsidRPr="007E650E">
        <w:t xml:space="preserve"> on behalf of a </w:t>
      </w:r>
      <w:r w:rsidRPr="007E650E">
        <w:rPr>
          <w:b/>
          <w:bCs/>
        </w:rPr>
        <w:t>specific</w:t>
      </w:r>
      <w:r w:rsidRPr="007E650E">
        <w:t xml:space="preserve"> participant</w:t>
      </w:r>
      <w:r w:rsidR="00D064B7" w:rsidRPr="007E650E">
        <w:t>.</w:t>
      </w:r>
    </w:p>
    <w:p w14:paraId="4E944085" w14:textId="5C8E2585" w:rsidR="00F308AC" w:rsidRPr="007E650E" w:rsidRDefault="00F308AC" w:rsidP="00CF0D6C">
      <w:pPr>
        <w:pStyle w:val="ListParagraph"/>
        <w:widowControl w:val="0"/>
        <w:numPr>
          <w:ilvl w:val="0"/>
          <w:numId w:val="20"/>
        </w:numPr>
        <w:tabs>
          <w:tab w:val="left" w:pos="699"/>
          <w:tab w:val="left" w:pos="700"/>
        </w:tabs>
        <w:autoSpaceDE w:val="0"/>
        <w:autoSpaceDN w:val="0"/>
        <w:spacing w:after="0" w:line="301" w:lineRule="exact"/>
      </w:pPr>
      <w:r w:rsidRPr="007E650E">
        <w:t>Made prior arrangements with the employer for the referral of an individual or</w:t>
      </w:r>
      <w:r w:rsidRPr="007E650E">
        <w:rPr>
          <w:spacing w:val="-15"/>
        </w:rPr>
        <w:t xml:space="preserve"> </w:t>
      </w:r>
      <w:proofErr w:type="gramStart"/>
      <w:r w:rsidRPr="007E650E">
        <w:t>individuals</w:t>
      </w:r>
      <w:proofErr w:type="gramEnd"/>
      <w:r w:rsidR="00D064B7" w:rsidRPr="007E650E">
        <w:t>.</w:t>
      </w:r>
    </w:p>
    <w:p w14:paraId="287C1E56" w14:textId="10576E80" w:rsidR="00F308AC" w:rsidRPr="007E650E" w:rsidRDefault="00F308AC" w:rsidP="00CF0D6C">
      <w:pPr>
        <w:pStyle w:val="ListParagraph"/>
        <w:widowControl w:val="0"/>
        <w:numPr>
          <w:ilvl w:val="0"/>
          <w:numId w:val="20"/>
        </w:numPr>
        <w:tabs>
          <w:tab w:val="left" w:pos="699"/>
          <w:tab w:val="left" w:pos="700"/>
        </w:tabs>
        <w:autoSpaceDE w:val="0"/>
        <w:autoSpaceDN w:val="0"/>
        <w:spacing w:after="0" w:line="242" w:lineRule="auto"/>
        <w:ind w:right="385"/>
      </w:pPr>
      <w:proofErr w:type="gramStart"/>
      <w:r w:rsidRPr="007E650E">
        <w:t>Referred</w:t>
      </w:r>
      <w:proofErr w:type="gramEnd"/>
      <w:r w:rsidRPr="007E650E">
        <w:t xml:space="preserve"> an individual who has not been specifically designated by the employer, except for referrals on agricultural job orders for a specific crew leader or</w:t>
      </w:r>
      <w:r w:rsidRPr="007E650E">
        <w:rPr>
          <w:spacing w:val="-8"/>
        </w:rPr>
        <w:t xml:space="preserve"> </w:t>
      </w:r>
      <w:r w:rsidRPr="007E650E">
        <w:t>worker</w:t>
      </w:r>
      <w:r w:rsidR="00D064B7" w:rsidRPr="007E650E">
        <w:t>.</w:t>
      </w:r>
    </w:p>
    <w:p w14:paraId="3CA491EC" w14:textId="35EBD008" w:rsidR="00F308AC" w:rsidRPr="007E650E" w:rsidRDefault="00F308AC" w:rsidP="00CF0D6C">
      <w:pPr>
        <w:pStyle w:val="ListParagraph"/>
        <w:widowControl w:val="0"/>
        <w:numPr>
          <w:ilvl w:val="0"/>
          <w:numId w:val="20"/>
        </w:numPr>
        <w:tabs>
          <w:tab w:val="left" w:pos="699"/>
          <w:tab w:val="left" w:pos="700"/>
        </w:tabs>
        <w:autoSpaceDE w:val="0"/>
        <w:autoSpaceDN w:val="0"/>
        <w:spacing w:after="0" w:line="240" w:lineRule="auto"/>
        <w:ind w:right="576"/>
      </w:pPr>
      <w:r w:rsidRPr="007E650E">
        <w:t>Verified from a reliable source, preferably the employer, that the individual had entered</w:t>
      </w:r>
      <w:r w:rsidRPr="007E650E">
        <w:rPr>
          <w:spacing w:val="-29"/>
        </w:rPr>
        <w:t xml:space="preserve"> </w:t>
      </w:r>
      <w:r w:rsidRPr="007E650E">
        <w:t>a job</w:t>
      </w:r>
      <w:r w:rsidR="00D064B7" w:rsidRPr="007E650E">
        <w:t>.</w:t>
      </w:r>
    </w:p>
    <w:p w14:paraId="107EEBEB" w14:textId="259773AA" w:rsidR="00F308AC" w:rsidRPr="007E650E" w:rsidRDefault="00F308AC" w:rsidP="00CF0D6C">
      <w:pPr>
        <w:pStyle w:val="ListParagraph"/>
        <w:widowControl w:val="0"/>
        <w:numPr>
          <w:ilvl w:val="0"/>
          <w:numId w:val="20"/>
        </w:numPr>
        <w:tabs>
          <w:tab w:val="left" w:pos="699"/>
          <w:tab w:val="left" w:pos="700"/>
        </w:tabs>
        <w:autoSpaceDE w:val="0"/>
        <w:autoSpaceDN w:val="0"/>
        <w:spacing w:after="0" w:line="305" w:lineRule="exact"/>
      </w:pPr>
      <w:r w:rsidRPr="007E650E">
        <w:t>Appropriately recorded the placement in EDD</w:t>
      </w:r>
      <w:r w:rsidR="000D5ACF">
        <w:t>'</w:t>
      </w:r>
      <w:r w:rsidRPr="007E650E">
        <w:t>s automated CalJOBS system.</w:t>
      </w:r>
    </w:p>
    <w:p w14:paraId="702D6066" w14:textId="77777777" w:rsidR="00F308AC" w:rsidRPr="007E650E" w:rsidRDefault="00F308AC" w:rsidP="00F308AC">
      <w:pPr>
        <w:pStyle w:val="BodyText"/>
        <w:spacing w:before="9"/>
        <w:rPr>
          <w:sz w:val="23"/>
        </w:rPr>
      </w:pPr>
    </w:p>
    <w:p w14:paraId="17D81494" w14:textId="0D345368" w:rsidR="00F308AC" w:rsidRPr="007E650E" w:rsidRDefault="00F308AC" w:rsidP="00C90887">
      <w:pPr>
        <w:pStyle w:val="BodyText"/>
        <w:ind w:right="386"/>
      </w:pPr>
      <w:r w:rsidRPr="007E650E">
        <w:t>The placement may be for the specific job to which the applicant was referred or for a</w:t>
      </w:r>
      <w:r w:rsidR="00C90887" w:rsidRPr="007E650E">
        <w:t xml:space="preserve"> </w:t>
      </w:r>
      <w:r w:rsidRPr="007E650E">
        <w:t xml:space="preserve">different job with the </w:t>
      </w:r>
      <w:r w:rsidRPr="007E650E">
        <w:rPr>
          <w:b/>
          <w:bCs/>
        </w:rPr>
        <w:t>same</w:t>
      </w:r>
      <w:r w:rsidRPr="007E650E">
        <w:t xml:space="preserve"> employer.</w:t>
      </w:r>
    </w:p>
    <w:p w14:paraId="535961BE" w14:textId="77777777" w:rsidR="00F308AC" w:rsidRPr="007E650E" w:rsidRDefault="00F308AC" w:rsidP="00C90887">
      <w:pPr>
        <w:pStyle w:val="BodyText"/>
      </w:pPr>
      <w:r w:rsidRPr="007E650E">
        <w:rPr>
          <w:b/>
        </w:rPr>
        <w:t xml:space="preserve">Full-time Placement </w:t>
      </w:r>
      <w:r w:rsidRPr="007E650E">
        <w:t>– More than 31 hours in any seven-day workweek.</w:t>
      </w:r>
    </w:p>
    <w:p w14:paraId="678BA9F0" w14:textId="77777777" w:rsidR="00F308AC" w:rsidRPr="007E650E" w:rsidRDefault="00F308AC" w:rsidP="00C90887">
      <w:pPr>
        <w:pStyle w:val="BodyText"/>
      </w:pPr>
      <w:r w:rsidRPr="007E650E">
        <w:rPr>
          <w:b/>
        </w:rPr>
        <w:t xml:space="preserve">Part-time Placement </w:t>
      </w:r>
      <w:r w:rsidRPr="007E650E">
        <w:t>– Fewer than 31 hours in any seven-day workweek.</w:t>
      </w:r>
    </w:p>
    <w:p w14:paraId="3EC5C7F8" w14:textId="77777777" w:rsidR="00F308AC" w:rsidRPr="007E650E" w:rsidRDefault="00F308AC" w:rsidP="00C90887">
      <w:pPr>
        <w:pStyle w:val="BodyText"/>
      </w:pPr>
      <w:r w:rsidRPr="007E650E">
        <w:rPr>
          <w:b/>
        </w:rPr>
        <w:t xml:space="preserve">Temporary Placement </w:t>
      </w:r>
      <w:r w:rsidRPr="007E650E">
        <w:t>– A job which the employer expects to last from four to 150 days.</w:t>
      </w:r>
    </w:p>
    <w:p w14:paraId="67BE5417" w14:textId="07B3DA21" w:rsidR="00F308AC" w:rsidRPr="007E650E" w:rsidRDefault="00F308AC" w:rsidP="003A2C35">
      <w:pPr>
        <w:pStyle w:val="BodyText"/>
        <w:spacing w:before="1"/>
        <w:ind w:right="456" w:hanging="1"/>
      </w:pPr>
      <w:r w:rsidRPr="007E650E">
        <w:rPr>
          <w:b/>
        </w:rPr>
        <w:t xml:space="preserve">Obtained Employment </w:t>
      </w:r>
      <w:r w:rsidRPr="007E650E">
        <w:t xml:space="preserve">– </w:t>
      </w:r>
      <w:r w:rsidR="00C90887" w:rsidRPr="007E650E">
        <w:rPr>
          <w:lang w:bidi="en-US"/>
        </w:rPr>
        <w:t>A reporting term used to describe individuals who secure employment within the current quarter or the next completed quarter following the last staff-assisted job search assistance service that was partially funded by the Agency such as</w:t>
      </w:r>
      <w:r w:rsidR="00E110F5" w:rsidRPr="007E650E">
        <w:rPr>
          <w:lang w:bidi="en-US"/>
        </w:rPr>
        <w:t xml:space="preserve"> the following</w:t>
      </w:r>
      <w:r w:rsidRPr="007E650E">
        <w:t>:</w:t>
      </w:r>
    </w:p>
    <w:p w14:paraId="0BACEC12" w14:textId="77777777" w:rsidR="00F308AC" w:rsidRPr="007E650E" w:rsidRDefault="00F308AC" w:rsidP="00CF0D6C">
      <w:pPr>
        <w:pStyle w:val="BodyText"/>
        <w:widowControl w:val="0"/>
        <w:numPr>
          <w:ilvl w:val="0"/>
          <w:numId w:val="21"/>
        </w:numPr>
        <w:autoSpaceDE w:val="0"/>
        <w:autoSpaceDN w:val="0"/>
        <w:spacing w:before="1" w:after="0"/>
        <w:ind w:right="456"/>
      </w:pPr>
      <w:r w:rsidRPr="007E650E">
        <w:t>Participating in job search activities.</w:t>
      </w:r>
    </w:p>
    <w:p w14:paraId="03E92FBB" w14:textId="77777777" w:rsidR="00F308AC" w:rsidRPr="007E650E" w:rsidRDefault="00F308AC" w:rsidP="00CF0D6C">
      <w:pPr>
        <w:pStyle w:val="BodyText"/>
        <w:widowControl w:val="0"/>
        <w:numPr>
          <w:ilvl w:val="0"/>
          <w:numId w:val="21"/>
        </w:numPr>
        <w:autoSpaceDE w:val="0"/>
        <w:autoSpaceDN w:val="0"/>
        <w:spacing w:before="1" w:after="0"/>
        <w:ind w:right="456"/>
      </w:pPr>
      <w:r w:rsidRPr="007E650E">
        <w:t>Accepting a position resulting from the use of an agency-sponsored automated labor exchange.</w:t>
      </w:r>
    </w:p>
    <w:p w14:paraId="23D8CD76" w14:textId="6AF184BE" w:rsidR="00F308AC" w:rsidRPr="007E650E" w:rsidRDefault="00F308AC" w:rsidP="00CF0D6C">
      <w:pPr>
        <w:pStyle w:val="BodyText"/>
        <w:widowControl w:val="0"/>
        <w:numPr>
          <w:ilvl w:val="0"/>
          <w:numId w:val="21"/>
        </w:numPr>
        <w:autoSpaceDE w:val="0"/>
        <w:autoSpaceDN w:val="0"/>
        <w:spacing w:before="1" w:after="0"/>
        <w:ind w:right="456"/>
      </w:pPr>
      <w:r w:rsidRPr="007E650E">
        <w:t>Receiving employment counseling or testing or development of an employability plan</w:t>
      </w:r>
      <w:r w:rsidR="00E110F5" w:rsidRPr="007E650E">
        <w:t>.</w:t>
      </w:r>
    </w:p>
    <w:p w14:paraId="4F4EE801" w14:textId="77777777" w:rsidR="00F308AC" w:rsidRPr="007E650E" w:rsidRDefault="00F308AC" w:rsidP="00CF0D6C">
      <w:pPr>
        <w:pStyle w:val="BodyText"/>
        <w:widowControl w:val="0"/>
        <w:numPr>
          <w:ilvl w:val="0"/>
          <w:numId w:val="21"/>
        </w:numPr>
        <w:autoSpaceDE w:val="0"/>
        <w:autoSpaceDN w:val="0"/>
        <w:spacing w:before="1" w:after="0"/>
        <w:ind w:right="456"/>
      </w:pPr>
      <w:r w:rsidRPr="007E650E">
        <w:t>Receiving bonding assistance.</w:t>
      </w:r>
    </w:p>
    <w:p w14:paraId="21275AC9" w14:textId="77777777" w:rsidR="00F308AC" w:rsidRPr="007E650E" w:rsidRDefault="00F308AC" w:rsidP="00CF0D6C">
      <w:pPr>
        <w:pStyle w:val="BodyText"/>
        <w:widowControl w:val="0"/>
        <w:numPr>
          <w:ilvl w:val="0"/>
          <w:numId w:val="21"/>
        </w:numPr>
        <w:autoSpaceDE w:val="0"/>
        <w:autoSpaceDN w:val="0"/>
        <w:spacing w:before="1" w:after="0"/>
        <w:ind w:right="456"/>
      </w:pPr>
      <w:r w:rsidRPr="007E650E">
        <w:t>Terminating from a skill training program to which a job seeker was referred by the Agency.</w:t>
      </w:r>
    </w:p>
    <w:p w14:paraId="7DD2A47C" w14:textId="77777777" w:rsidR="00F308AC" w:rsidRPr="007E650E" w:rsidRDefault="00F308AC" w:rsidP="00CF0D6C">
      <w:pPr>
        <w:pStyle w:val="BodyText"/>
        <w:widowControl w:val="0"/>
        <w:numPr>
          <w:ilvl w:val="0"/>
          <w:numId w:val="21"/>
        </w:numPr>
        <w:autoSpaceDE w:val="0"/>
        <w:autoSpaceDN w:val="0"/>
        <w:spacing w:before="1" w:after="0"/>
        <w:ind w:right="456"/>
      </w:pPr>
      <w:r w:rsidRPr="007E650E">
        <w:t>Receiving tax credit voucher, and receipt of verification from a reliable source, preferably the employer.</w:t>
      </w:r>
    </w:p>
    <w:p w14:paraId="14FD3697" w14:textId="77777777" w:rsidR="00F308AC" w:rsidRPr="007E650E" w:rsidRDefault="00F308AC" w:rsidP="00F308AC">
      <w:pPr>
        <w:pStyle w:val="BodyText"/>
        <w:spacing w:before="1"/>
        <w:ind w:left="339" w:right="456"/>
      </w:pPr>
    </w:p>
    <w:p w14:paraId="4A8D16D1" w14:textId="1FD4D30C" w:rsidR="00BD16EA" w:rsidRPr="007E650E" w:rsidRDefault="00BD16EA" w:rsidP="00BD16EA">
      <w:pPr>
        <w:widowControl w:val="0"/>
        <w:autoSpaceDE w:val="0"/>
        <w:autoSpaceDN w:val="0"/>
        <w:spacing w:after="0" w:line="240" w:lineRule="auto"/>
        <w:ind w:right="676"/>
        <w:rPr>
          <w:rFonts w:ascii="Calibri" w:eastAsia="Calibri" w:hAnsi="Calibri" w:cs="Calibri"/>
          <w:bCs/>
          <w:kern w:val="0"/>
          <w:sz w:val="24"/>
          <w:szCs w:val="24"/>
          <w:lang w:bidi="en-US"/>
          <w14:ligatures w14:val="none"/>
        </w:rPr>
      </w:pPr>
      <w:r w:rsidRPr="007E650E">
        <w:rPr>
          <w:rFonts w:ascii="Calibri" w:eastAsia="Calibri" w:hAnsi="Calibri" w:cs="Calibri"/>
          <w:b/>
          <w:kern w:val="0"/>
          <w:sz w:val="24"/>
          <w:szCs w:val="24"/>
          <w:lang w:bidi="en-US"/>
          <w14:ligatures w14:val="none"/>
        </w:rPr>
        <w:t xml:space="preserve">Basic Career Services </w:t>
      </w:r>
      <w:r w:rsidRPr="007E650E">
        <w:rPr>
          <w:rFonts w:ascii="Calibri" w:eastAsia="Calibri" w:hAnsi="Calibri" w:cs="Calibri"/>
          <w:bCs/>
          <w:kern w:val="0"/>
          <w:sz w:val="24"/>
          <w:szCs w:val="24"/>
          <w:lang w:bidi="en-US"/>
          <w14:ligatures w14:val="none"/>
        </w:rPr>
        <w:t xml:space="preserve">– Services defined in </w:t>
      </w:r>
      <w:r w:rsidRPr="007E650E">
        <w:rPr>
          <w:rFonts w:ascii="Calibri" w:eastAsia="Calibri" w:hAnsi="Calibri" w:cs="Calibri"/>
          <w:bCs/>
          <w:i/>
          <w:iCs/>
          <w:kern w:val="0"/>
          <w:sz w:val="24"/>
          <w:szCs w:val="24"/>
          <w:lang w:bidi="en-US"/>
          <w14:ligatures w14:val="none"/>
        </w:rPr>
        <w:t>CalJOBS Activity Codes</w:t>
      </w:r>
      <w:r w:rsidR="00E110F5" w:rsidRPr="007E650E">
        <w:rPr>
          <w:rFonts w:ascii="Calibri" w:eastAsia="Calibri" w:hAnsi="Calibri" w:cs="Calibri"/>
          <w:bCs/>
          <w:kern w:val="0"/>
          <w:sz w:val="24"/>
          <w:szCs w:val="24"/>
          <w:lang w:bidi="en-US"/>
          <w14:ligatures w14:val="none"/>
        </w:rPr>
        <w:t xml:space="preserve"> (</w:t>
      </w:r>
      <w:hyperlink r:id="rId42" w:history="1">
        <w:r w:rsidR="00E110F5" w:rsidRPr="007E650E">
          <w:rPr>
            <w:rFonts w:ascii="Calibri" w:eastAsia="Calibri" w:hAnsi="Calibri" w:cs="Calibri"/>
            <w:bCs/>
            <w:color w:val="0000FF"/>
            <w:kern w:val="0"/>
            <w:sz w:val="24"/>
            <w:szCs w:val="24"/>
            <w:u w:val="single"/>
            <w:lang w:bidi="en-US"/>
            <w14:ligatures w14:val="none"/>
          </w:rPr>
          <w:t>WSD24-05</w:t>
        </w:r>
      </w:hyperlink>
      <w:r w:rsidR="00E110F5" w:rsidRPr="007E650E">
        <w:rPr>
          <w:rFonts w:ascii="Calibri" w:eastAsia="Calibri" w:hAnsi="Calibri" w:cs="Calibri"/>
          <w:bCs/>
          <w:kern w:val="0"/>
          <w:sz w:val="24"/>
          <w:szCs w:val="24"/>
          <w:lang w:bidi="en-US"/>
          <w14:ligatures w14:val="none"/>
        </w:rPr>
        <w:t>)</w:t>
      </w:r>
      <w:r w:rsidRPr="007E650E">
        <w:rPr>
          <w:rFonts w:ascii="Calibri" w:eastAsia="Calibri" w:hAnsi="Calibri" w:cs="Calibri"/>
          <w:bCs/>
          <w:kern w:val="0"/>
          <w:sz w:val="24"/>
          <w:szCs w:val="24"/>
          <w:lang w:bidi="en-US"/>
          <w14:ligatures w14:val="none"/>
        </w:rPr>
        <w:t xml:space="preserve"> as Basic Career Services (staff-assisted) that are allowable under the Wagner-Peyser program.</w:t>
      </w:r>
      <w:r w:rsidR="005551BA" w:rsidRPr="007E650E">
        <w:rPr>
          <w:rFonts w:ascii="Calibri" w:eastAsia="Calibri" w:hAnsi="Calibri" w:cs="Calibri"/>
          <w:bCs/>
          <w:kern w:val="0"/>
          <w:sz w:val="24"/>
          <w:szCs w:val="24"/>
          <w:lang w:bidi="en-US"/>
          <w14:ligatures w14:val="none"/>
        </w:rPr>
        <w:t xml:space="preserve"> </w:t>
      </w:r>
      <w:r w:rsidRPr="007E650E">
        <w:rPr>
          <w:rFonts w:ascii="Calibri" w:eastAsia="Calibri" w:hAnsi="Calibri" w:cs="Calibri"/>
          <w:bCs/>
          <w:kern w:val="0"/>
          <w:sz w:val="24"/>
          <w:szCs w:val="24"/>
          <w:lang w:bidi="en-US"/>
          <w14:ligatures w14:val="none"/>
        </w:rPr>
        <w:t>For example, 102 Initial Assessment, 125 Job Search and Placement Assistance, 133 Job Search Workshop, 121 Job Referral: Outside CalJOBS, etc.</w:t>
      </w:r>
    </w:p>
    <w:p w14:paraId="21B11EC1" w14:textId="77777777" w:rsidR="00BD16EA" w:rsidRPr="007E650E" w:rsidRDefault="00BD16EA" w:rsidP="00BD16EA">
      <w:pPr>
        <w:widowControl w:val="0"/>
        <w:autoSpaceDE w:val="0"/>
        <w:autoSpaceDN w:val="0"/>
        <w:spacing w:after="0" w:line="240" w:lineRule="auto"/>
        <w:ind w:right="676"/>
        <w:rPr>
          <w:rFonts w:ascii="Calibri" w:eastAsia="Calibri" w:hAnsi="Calibri" w:cs="Calibri"/>
          <w:bCs/>
          <w:kern w:val="0"/>
          <w:sz w:val="24"/>
          <w:szCs w:val="24"/>
          <w:lang w:bidi="en-US"/>
          <w14:ligatures w14:val="none"/>
        </w:rPr>
      </w:pPr>
    </w:p>
    <w:p w14:paraId="22F588E3" w14:textId="42B1440F" w:rsidR="00BD16EA" w:rsidRPr="007E650E" w:rsidRDefault="00BD16EA" w:rsidP="00BD16EA">
      <w:pPr>
        <w:widowControl w:val="0"/>
        <w:autoSpaceDE w:val="0"/>
        <w:autoSpaceDN w:val="0"/>
        <w:spacing w:after="0" w:line="240" w:lineRule="auto"/>
        <w:ind w:right="676"/>
        <w:rPr>
          <w:rFonts w:ascii="Calibri" w:eastAsia="Calibri" w:hAnsi="Calibri" w:cs="Calibri"/>
          <w:bCs/>
          <w:kern w:val="0"/>
          <w:sz w:val="24"/>
          <w:szCs w:val="24"/>
          <w:lang w:bidi="en-US"/>
          <w14:ligatures w14:val="none"/>
        </w:rPr>
      </w:pPr>
      <w:r w:rsidRPr="007E650E">
        <w:rPr>
          <w:rFonts w:ascii="Calibri" w:eastAsia="Calibri" w:hAnsi="Calibri" w:cs="Calibri"/>
          <w:b/>
          <w:kern w:val="0"/>
          <w:sz w:val="24"/>
          <w:szCs w:val="24"/>
          <w:lang w:bidi="en-US"/>
          <w14:ligatures w14:val="none"/>
        </w:rPr>
        <w:t>Individualized Career Services</w:t>
      </w:r>
      <w:r w:rsidRPr="007E650E">
        <w:rPr>
          <w:rFonts w:ascii="Calibri" w:eastAsia="Calibri" w:hAnsi="Calibri" w:cs="Calibri"/>
          <w:bCs/>
          <w:kern w:val="0"/>
          <w:sz w:val="24"/>
          <w:szCs w:val="24"/>
          <w:lang w:bidi="en-US"/>
          <w14:ligatures w14:val="none"/>
        </w:rPr>
        <w:t xml:space="preserve"> – Services defined in </w:t>
      </w:r>
      <w:r w:rsidRPr="007E650E">
        <w:rPr>
          <w:rFonts w:ascii="Calibri" w:eastAsia="Calibri" w:hAnsi="Calibri" w:cs="Calibri"/>
          <w:bCs/>
          <w:i/>
          <w:iCs/>
          <w:kern w:val="0"/>
          <w:sz w:val="24"/>
          <w:szCs w:val="24"/>
          <w:lang w:bidi="en-US"/>
          <w14:ligatures w14:val="none"/>
        </w:rPr>
        <w:t>CalJOBS Activity Codes</w:t>
      </w:r>
      <w:r w:rsidR="00E110F5" w:rsidRPr="007E650E">
        <w:rPr>
          <w:rFonts w:ascii="Calibri" w:eastAsia="Calibri" w:hAnsi="Calibri" w:cs="Calibri"/>
          <w:bCs/>
          <w:kern w:val="0"/>
          <w:sz w:val="24"/>
          <w:szCs w:val="24"/>
          <w:lang w:bidi="en-US"/>
          <w14:ligatures w14:val="none"/>
        </w:rPr>
        <w:t xml:space="preserve"> (</w:t>
      </w:r>
      <w:hyperlink r:id="rId43" w:history="1">
        <w:r w:rsidR="00E110F5" w:rsidRPr="007E650E">
          <w:rPr>
            <w:rFonts w:ascii="Calibri" w:eastAsia="Calibri" w:hAnsi="Calibri" w:cs="Calibri"/>
            <w:bCs/>
            <w:color w:val="0000FF"/>
            <w:kern w:val="0"/>
            <w:sz w:val="24"/>
            <w:szCs w:val="24"/>
            <w:u w:val="single"/>
            <w:lang w:bidi="en-US"/>
            <w14:ligatures w14:val="none"/>
          </w:rPr>
          <w:t>WSD24-05</w:t>
        </w:r>
      </w:hyperlink>
      <w:r w:rsidR="00E110F5" w:rsidRPr="007E650E">
        <w:rPr>
          <w:rFonts w:ascii="Calibri" w:eastAsia="Calibri" w:hAnsi="Calibri" w:cs="Calibri"/>
          <w:bCs/>
          <w:kern w:val="0"/>
          <w:sz w:val="24"/>
          <w:szCs w:val="24"/>
          <w:lang w:bidi="en-US"/>
          <w14:ligatures w14:val="none"/>
        </w:rPr>
        <w:t>)</w:t>
      </w:r>
      <w:r w:rsidRPr="007E650E">
        <w:rPr>
          <w:rFonts w:ascii="Calibri" w:eastAsia="Calibri" w:hAnsi="Calibri" w:cs="Calibri"/>
          <w:bCs/>
          <w:kern w:val="0"/>
          <w:sz w:val="24"/>
          <w:szCs w:val="24"/>
          <w:lang w:bidi="en-US"/>
          <w14:ligatures w14:val="none"/>
        </w:rPr>
        <w:t xml:space="preserve"> as Individualized Career Services that are allowable under the Wagner-Peyser program.</w:t>
      </w:r>
      <w:r w:rsidR="005551BA" w:rsidRPr="007E650E">
        <w:rPr>
          <w:rFonts w:ascii="Calibri" w:eastAsia="Calibri" w:hAnsi="Calibri" w:cs="Calibri"/>
          <w:bCs/>
          <w:kern w:val="0"/>
          <w:sz w:val="24"/>
          <w:szCs w:val="24"/>
          <w:lang w:bidi="en-US"/>
          <w14:ligatures w14:val="none"/>
        </w:rPr>
        <w:t xml:space="preserve"> </w:t>
      </w:r>
      <w:r w:rsidRPr="007E650E">
        <w:rPr>
          <w:rFonts w:ascii="Calibri" w:eastAsia="Calibri" w:hAnsi="Calibri" w:cs="Calibri"/>
          <w:bCs/>
          <w:kern w:val="0"/>
          <w:sz w:val="24"/>
          <w:szCs w:val="24"/>
          <w:lang w:bidi="en-US"/>
          <w14:ligatures w14:val="none"/>
        </w:rPr>
        <w:t>For example, 200 Individual Counseling, 202 Career Guidance/Planning, 215 Short-Term Prevocational Services, 221 Financial Literacy Education, etc.</w:t>
      </w:r>
    </w:p>
    <w:p w14:paraId="40913DD6" w14:textId="77777777" w:rsidR="00BD16EA" w:rsidRPr="007E650E" w:rsidRDefault="00BD16EA" w:rsidP="00BD16EA">
      <w:pPr>
        <w:widowControl w:val="0"/>
        <w:autoSpaceDE w:val="0"/>
        <w:autoSpaceDN w:val="0"/>
        <w:spacing w:after="0" w:line="240" w:lineRule="auto"/>
        <w:ind w:right="676"/>
        <w:rPr>
          <w:rFonts w:ascii="Calibri" w:eastAsia="Calibri" w:hAnsi="Calibri" w:cs="Calibri"/>
          <w:bCs/>
          <w:kern w:val="0"/>
          <w:sz w:val="24"/>
          <w:szCs w:val="24"/>
          <w:lang w:bidi="en-US"/>
          <w14:ligatures w14:val="none"/>
        </w:rPr>
      </w:pPr>
    </w:p>
    <w:p w14:paraId="1EFE1EA0" w14:textId="0855D6F9" w:rsidR="00BD16EA" w:rsidRPr="007E650E" w:rsidRDefault="00BD16EA" w:rsidP="00BD16EA">
      <w:pPr>
        <w:widowControl w:val="0"/>
        <w:autoSpaceDE w:val="0"/>
        <w:autoSpaceDN w:val="0"/>
        <w:spacing w:after="0" w:line="240" w:lineRule="auto"/>
        <w:ind w:right="676"/>
        <w:rPr>
          <w:rFonts w:ascii="Calibri" w:eastAsia="Calibri" w:hAnsi="Calibri" w:cs="Calibri"/>
          <w:b/>
          <w:kern w:val="0"/>
          <w:sz w:val="24"/>
          <w:szCs w:val="24"/>
          <w:lang w:bidi="en-US"/>
          <w14:ligatures w14:val="none"/>
        </w:rPr>
      </w:pPr>
      <w:r w:rsidRPr="007E650E">
        <w:rPr>
          <w:rFonts w:ascii="Calibri" w:eastAsia="Calibri" w:hAnsi="Calibri" w:cs="Calibri"/>
          <w:b/>
          <w:kern w:val="0"/>
          <w:sz w:val="24"/>
          <w:szCs w:val="24"/>
          <w:lang w:bidi="en-US"/>
          <w14:ligatures w14:val="none"/>
        </w:rPr>
        <w:t xml:space="preserve">Follow-up Services </w:t>
      </w:r>
      <w:r w:rsidRPr="007E650E">
        <w:rPr>
          <w:rFonts w:ascii="Calibri" w:eastAsia="Calibri" w:hAnsi="Calibri" w:cs="Calibri"/>
          <w:bCs/>
          <w:kern w:val="0"/>
          <w:sz w:val="24"/>
          <w:szCs w:val="24"/>
          <w:lang w:bidi="en-US"/>
          <w14:ligatures w14:val="none"/>
        </w:rPr>
        <w:t>–</w:t>
      </w:r>
      <w:r w:rsidRPr="007E650E">
        <w:rPr>
          <w:rFonts w:ascii="Calibri" w:eastAsia="Calibri" w:hAnsi="Calibri" w:cs="Calibri"/>
          <w:b/>
          <w:kern w:val="0"/>
          <w:sz w:val="24"/>
          <w:szCs w:val="24"/>
          <w:lang w:bidi="en-US"/>
          <w14:ligatures w14:val="none"/>
        </w:rPr>
        <w:t xml:space="preserve"> </w:t>
      </w:r>
      <w:r w:rsidRPr="007E650E">
        <w:rPr>
          <w:rFonts w:ascii="Calibri" w:eastAsia="Calibri" w:hAnsi="Calibri" w:cs="Calibri"/>
          <w:bCs/>
          <w:kern w:val="0"/>
          <w:sz w:val="24"/>
          <w:szCs w:val="24"/>
          <w:lang w:bidi="en-US"/>
          <w14:ligatures w14:val="none"/>
        </w:rPr>
        <w:t>Services defined in CalJOBS Activity Codes</w:t>
      </w:r>
      <w:r w:rsidR="00E110F5" w:rsidRPr="007E650E">
        <w:rPr>
          <w:rFonts w:ascii="Calibri" w:eastAsia="Calibri" w:hAnsi="Calibri" w:cs="Calibri"/>
          <w:bCs/>
          <w:kern w:val="0"/>
          <w:sz w:val="24"/>
          <w:szCs w:val="24"/>
          <w:lang w:bidi="en-US"/>
          <w14:ligatures w14:val="none"/>
        </w:rPr>
        <w:t xml:space="preserve"> (</w:t>
      </w:r>
      <w:hyperlink r:id="rId44" w:history="1">
        <w:r w:rsidR="00E110F5" w:rsidRPr="007E650E">
          <w:rPr>
            <w:rFonts w:ascii="Calibri" w:eastAsia="Calibri" w:hAnsi="Calibri" w:cs="Calibri"/>
            <w:bCs/>
            <w:color w:val="0000FF"/>
            <w:kern w:val="0"/>
            <w:sz w:val="24"/>
            <w:szCs w:val="24"/>
            <w:u w:val="single"/>
            <w:lang w:bidi="en-US"/>
            <w14:ligatures w14:val="none"/>
          </w:rPr>
          <w:t>WSD24-05</w:t>
        </w:r>
      </w:hyperlink>
      <w:r w:rsidR="00E110F5" w:rsidRPr="007E650E">
        <w:rPr>
          <w:rFonts w:ascii="Calibri" w:eastAsia="Calibri" w:hAnsi="Calibri" w:cs="Calibri"/>
          <w:bCs/>
          <w:kern w:val="0"/>
          <w:sz w:val="24"/>
          <w:szCs w:val="24"/>
          <w:lang w:bidi="en-US"/>
          <w14:ligatures w14:val="none"/>
        </w:rPr>
        <w:t>)</w:t>
      </w:r>
      <w:r w:rsidRPr="007E650E">
        <w:rPr>
          <w:rFonts w:ascii="Calibri" w:eastAsia="Calibri" w:hAnsi="Calibri" w:cs="Calibri"/>
          <w:bCs/>
          <w:kern w:val="0"/>
          <w:sz w:val="24"/>
          <w:szCs w:val="24"/>
          <w:lang w:bidi="en-US"/>
          <w14:ligatures w14:val="none"/>
        </w:rPr>
        <w:t xml:space="preserve"> as Follow-up Services that are allowable under the Wagner-Peyser program.</w:t>
      </w:r>
      <w:r w:rsidR="005551BA" w:rsidRPr="007E650E">
        <w:rPr>
          <w:rFonts w:ascii="Calibri" w:eastAsia="Calibri" w:hAnsi="Calibri" w:cs="Calibri"/>
          <w:bCs/>
          <w:kern w:val="0"/>
          <w:sz w:val="24"/>
          <w:szCs w:val="24"/>
          <w:lang w:bidi="en-US"/>
          <w14:ligatures w14:val="none"/>
        </w:rPr>
        <w:t xml:space="preserve"> </w:t>
      </w:r>
      <w:r w:rsidRPr="007E650E">
        <w:rPr>
          <w:rFonts w:ascii="Calibri" w:eastAsia="Calibri" w:hAnsi="Calibri" w:cs="Calibri"/>
          <w:bCs/>
          <w:kern w:val="0"/>
          <w:sz w:val="24"/>
          <w:szCs w:val="24"/>
          <w:lang w:bidi="en-US"/>
          <w14:ligatures w14:val="none"/>
        </w:rPr>
        <w:t>For example, F01 Referral to Community Resources, F03 Tracking Progress on the Job, F06 Career Development and Further Education Planning, etc.</w:t>
      </w:r>
    </w:p>
    <w:p w14:paraId="15E99879" w14:textId="77777777" w:rsidR="00BD16EA" w:rsidRPr="007E650E" w:rsidRDefault="00BD16EA" w:rsidP="00BD16EA">
      <w:pPr>
        <w:widowControl w:val="0"/>
        <w:autoSpaceDE w:val="0"/>
        <w:autoSpaceDN w:val="0"/>
        <w:spacing w:after="0" w:line="240" w:lineRule="auto"/>
        <w:ind w:left="340" w:right="676"/>
        <w:rPr>
          <w:rFonts w:ascii="Calibri" w:eastAsia="Calibri" w:hAnsi="Calibri" w:cs="Calibri"/>
          <w:b/>
          <w:kern w:val="0"/>
          <w:sz w:val="24"/>
          <w:szCs w:val="24"/>
          <w:lang w:bidi="en-US"/>
          <w14:ligatures w14:val="none"/>
        </w:rPr>
      </w:pPr>
    </w:p>
    <w:p w14:paraId="01D2D93F" w14:textId="4592AA19" w:rsidR="008544AA" w:rsidRPr="007E650E" w:rsidRDefault="00BD16EA" w:rsidP="00636FC0">
      <w:pPr>
        <w:pStyle w:val="BodyText"/>
        <w:rPr>
          <w:b/>
        </w:rPr>
      </w:pPr>
      <w:r w:rsidRPr="007E650E">
        <w:rPr>
          <w:rFonts w:cs="Calibri"/>
          <w:b/>
          <w:kern w:val="0"/>
          <w:lang w:val="en-US" w:bidi="en-US"/>
          <w14:ligatures w14:val="none"/>
        </w:rPr>
        <w:t xml:space="preserve">Job Development Contact </w:t>
      </w:r>
      <w:r w:rsidRPr="007E650E">
        <w:rPr>
          <w:rFonts w:cs="Calibri"/>
          <w:kern w:val="0"/>
          <w:lang w:val="en-US" w:bidi="en-US"/>
          <w14:ligatures w14:val="none"/>
        </w:rPr>
        <w:t>– Contacting (either in person by telephone or through a mail inquiry) an employer for the purpose of securing a job interview for a specific client.</w:t>
      </w:r>
    </w:p>
    <w:p w14:paraId="10E4E68F" w14:textId="77777777" w:rsidR="008544AA" w:rsidRPr="007E650E" w:rsidRDefault="008544AA" w:rsidP="00CF0D6C">
      <w:pPr>
        <w:pStyle w:val="BodyText"/>
        <w:numPr>
          <w:ilvl w:val="4"/>
          <w:numId w:val="16"/>
        </w:numPr>
        <w:tabs>
          <w:tab w:val="left" w:pos="1080"/>
          <w:tab w:val="left" w:pos="1800"/>
        </w:tabs>
        <w:ind w:left="1440" w:firstLine="0"/>
      </w:pPr>
      <w:r w:rsidRPr="007E650E">
        <w:br w:type="page"/>
      </w:r>
    </w:p>
    <w:p w14:paraId="386DB6EC" w14:textId="77777777" w:rsidR="008544AA" w:rsidRPr="007E650E" w:rsidRDefault="008544AA" w:rsidP="00943164">
      <w:pPr>
        <w:pStyle w:val="Heading2"/>
        <w:numPr>
          <w:ilvl w:val="0"/>
          <w:numId w:val="0"/>
        </w:numPr>
        <w:rPr>
          <w:rFonts w:eastAsia="Arial"/>
          <w:lang w:val="en"/>
        </w:rPr>
      </w:pPr>
      <w:bookmarkStart w:id="185" w:name="_Toc117246194"/>
      <w:bookmarkStart w:id="186" w:name="_Toc130496203"/>
      <w:bookmarkStart w:id="187" w:name="_Toc167356452"/>
      <w:bookmarkStart w:id="188" w:name="_Toc195189621"/>
      <w:r w:rsidRPr="007E650E">
        <w:rPr>
          <w:rFonts w:eastAsia="Arial"/>
          <w:lang w:val="en"/>
        </w:rPr>
        <w:lastRenderedPageBreak/>
        <w:t>Appendix E: Internet Resources</w:t>
      </w:r>
      <w:bookmarkEnd w:id="185"/>
      <w:bookmarkEnd w:id="186"/>
      <w:bookmarkEnd w:id="187"/>
      <w:bookmarkEnd w:id="188"/>
    </w:p>
    <w:p w14:paraId="640F4457" w14:textId="77777777" w:rsidR="008544AA" w:rsidRPr="007E650E" w:rsidRDefault="008544AA" w:rsidP="01476CFA">
      <w:pPr>
        <w:pStyle w:val="BodyText"/>
        <w:rPr>
          <w:rFonts w:cs="Calibri"/>
          <w:lang w:val="en-US"/>
        </w:rPr>
      </w:pPr>
      <w:r w:rsidRPr="007E650E">
        <w:rPr>
          <w:rFonts w:cs="Calibri"/>
          <w:lang w:val="en-US"/>
        </w:rPr>
        <w:t>The following websites provide additional information that may help develop project plans, build partnerships, obtain data, and respond to questions in the SFP:</w:t>
      </w:r>
    </w:p>
    <w:p w14:paraId="2CE8B84C" w14:textId="45B71958" w:rsidR="00F470F1" w:rsidRPr="007E650E" w:rsidRDefault="008544AA" w:rsidP="01476CFA">
      <w:pPr>
        <w:spacing w:after="0" w:line="240" w:lineRule="auto"/>
        <w:rPr>
          <w:rFonts w:ascii="Calibri" w:eastAsia="Arial" w:hAnsi="Calibri" w:cs="Calibri"/>
          <w:b/>
          <w:bCs/>
          <w:sz w:val="24"/>
          <w:szCs w:val="24"/>
        </w:rPr>
      </w:pPr>
      <w:r w:rsidRPr="007E650E">
        <w:rPr>
          <w:rFonts w:ascii="Calibri" w:eastAsia="Calibri" w:hAnsi="Calibri" w:cs="Calibri"/>
          <w:b/>
          <w:bCs/>
          <w:sz w:val="24"/>
          <w:szCs w:val="24"/>
        </w:rPr>
        <w:t>America</w:t>
      </w:r>
      <w:r w:rsidR="000D5ACF">
        <w:rPr>
          <w:rFonts w:ascii="Calibri" w:eastAsia="Calibri" w:hAnsi="Calibri" w:cs="Calibri"/>
          <w:b/>
          <w:bCs/>
          <w:sz w:val="24"/>
          <w:szCs w:val="24"/>
        </w:rPr>
        <w:t>'</w:t>
      </w:r>
      <w:r w:rsidRPr="007E650E">
        <w:rPr>
          <w:rFonts w:ascii="Calibri" w:eastAsia="Calibri" w:hAnsi="Calibri" w:cs="Calibri"/>
          <w:b/>
          <w:bCs/>
          <w:sz w:val="24"/>
          <w:szCs w:val="24"/>
        </w:rPr>
        <w:t xml:space="preserve">s Job Center of </w:t>
      </w:r>
      <w:proofErr w:type="spellStart"/>
      <w:r w:rsidRPr="007E650E">
        <w:rPr>
          <w:rFonts w:ascii="Calibri" w:eastAsia="Calibri" w:hAnsi="Calibri" w:cs="Calibri"/>
          <w:b/>
          <w:bCs/>
          <w:sz w:val="24"/>
          <w:szCs w:val="24"/>
        </w:rPr>
        <w:t>California</w:t>
      </w:r>
      <w:r w:rsidRPr="007E650E">
        <w:rPr>
          <w:rFonts w:ascii="Calibri" w:eastAsia="Calibri" w:hAnsi="Calibri" w:cs="Calibri"/>
          <w:b/>
          <w:bCs/>
          <w:sz w:val="24"/>
          <w:szCs w:val="24"/>
          <w:vertAlign w:val="superscript"/>
        </w:rPr>
        <w:t>SM</w:t>
      </w:r>
      <w:proofErr w:type="spellEnd"/>
      <w:r w:rsidRPr="007E650E">
        <w:rPr>
          <w:rFonts w:ascii="Calibri" w:eastAsia="Calibri" w:hAnsi="Calibri" w:cs="Calibri"/>
          <w:b/>
          <w:bCs/>
          <w:sz w:val="24"/>
          <w:szCs w:val="24"/>
        </w:rPr>
        <w:t xml:space="preserve"> </w:t>
      </w:r>
      <w:r w:rsidRPr="007E650E">
        <w:rPr>
          <w:rFonts w:ascii="Calibri" w:eastAsia="Calibri" w:hAnsi="Calibri" w:cs="Calibri"/>
          <w:sz w:val="24"/>
          <w:szCs w:val="24"/>
        </w:rPr>
        <w:t>(</w:t>
      </w:r>
      <w:hyperlink r:id="rId45">
        <w:r w:rsidRPr="007E650E">
          <w:rPr>
            <w:rFonts w:ascii="Calibri" w:eastAsia="Calibri" w:hAnsi="Calibri" w:cs="Calibri"/>
            <w:color w:val="0070C0"/>
            <w:sz w:val="24"/>
            <w:szCs w:val="24"/>
            <w:u w:val="single"/>
          </w:rPr>
          <w:t>AJCC</w:t>
        </w:r>
      </w:hyperlink>
      <w:r w:rsidRPr="007E650E">
        <w:rPr>
          <w:rFonts w:ascii="Calibri" w:eastAsia="Calibri" w:hAnsi="Calibri" w:cs="Calibri"/>
          <w:sz w:val="24"/>
          <w:szCs w:val="24"/>
        </w:rPr>
        <w:t>)</w:t>
      </w:r>
    </w:p>
    <w:p w14:paraId="4BA5D1D7" w14:textId="263A7D61" w:rsidR="008544AA" w:rsidRPr="007E650E" w:rsidRDefault="008544AA" w:rsidP="00F470F1">
      <w:pPr>
        <w:spacing w:after="0" w:line="240" w:lineRule="auto"/>
        <w:rPr>
          <w:rFonts w:ascii="Calibri" w:eastAsia="Arial" w:hAnsi="Calibri" w:cs="Calibri"/>
          <w:b/>
          <w:sz w:val="24"/>
          <w:szCs w:val="24"/>
          <w:lang w:val="en"/>
        </w:rPr>
      </w:pPr>
      <w:r w:rsidRPr="007E650E">
        <w:rPr>
          <w:rFonts w:ascii="Calibri" w:eastAsia="Calibri" w:hAnsi="Calibri" w:cs="Calibri"/>
          <w:sz w:val="24"/>
          <w:szCs w:val="24"/>
          <w:lang w:val="en"/>
        </w:rPr>
        <w:t>Central location for information about Job/Career Centers and related links.</w:t>
      </w:r>
    </w:p>
    <w:p w14:paraId="20EB80A2" w14:textId="77777777" w:rsidR="00F470F1" w:rsidRPr="007E650E" w:rsidRDefault="00F470F1" w:rsidP="00F470F1">
      <w:pPr>
        <w:spacing w:after="0" w:line="240" w:lineRule="auto"/>
        <w:ind w:left="720" w:hanging="360"/>
        <w:rPr>
          <w:rFonts w:ascii="Calibri" w:eastAsia="Arial" w:hAnsi="Calibri" w:cs="Calibri"/>
          <w:b/>
          <w:sz w:val="24"/>
          <w:szCs w:val="24"/>
          <w:lang w:val="en"/>
        </w:rPr>
      </w:pPr>
    </w:p>
    <w:p w14:paraId="3370059D" w14:textId="7062FF5D" w:rsidR="008544AA" w:rsidRPr="007E650E" w:rsidRDefault="008544AA" w:rsidP="00F470F1">
      <w:pPr>
        <w:spacing w:after="0" w:line="240" w:lineRule="auto"/>
        <w:rPr>
          <w:rFonts w:ascii="Calibri" w:eastAsia="Arial" w:hAnsi="Calibri" w:cs="Calibri"/>
          <w:b/>
          <w:sz w:val="24"/>
          <w:szCs w:val="24"/>
          <w:lang w:val="en"/>
        </w:rPr>
      </w:pPr>
      <w:r w:rsidRPr="007E650E">
        <w:rPr>
          <w:rFonts w:ascii="Calibri" w:eastAsia="Calibri" w:hAnsi="Calibri" w:cs="Calibri"/>
          <w:b/>
          <w:sz w:val="24"/>
          <w:szCs w:val="24"/>
          <w:lang w:val="en"/>
        </w:rPr>
        <w:t xml:space="preserve">California Association for Local Economic Development </w:t>
      </w:r>
      <w:r w:rsidRPr="007E650E">
        <w:rPr>
          <w:rFonts w:ascii="Calibri" w:eastAsia="Calibri" w:hAnsi="Calibri" w:cs="Calibri"/>
          <w:bCs/>
          <w:sz w:val="24"/>
          <w:szCs w:val="24"/>
          <w:lang w:val="en"/>
        </w:rPr>
        <w:t>(</w:t>
      </w:r>
      <w:hyperlink r:id="rId46" w:history="1">
        <w:r w:rsidRPr="007E650E">
          <w:rPr>
            <w:rFonts w:ascii="Calibri" w:eastAsia="Calibri" w:hAnsi="Calibri" w:cs="Calibri"/>
            <w:bCs/>
            <w:color w:val="0070C0"/>
            <w:sz w:val="24"/>
            <w:szCs w:val="24"/>
            <w:u w:val="single"/>
            <w:lang w:val="en"/>
          </w:rPr>
          <w:t>CALED</w:t>
        </w:r>
      </w:hyperlink>
      <w:r w:rsidRPr="007E650E">
        <w:rPr>
          <w:rFonts w:ascii="Calibri" w:eastAsia="Calibri" w:hAnsi="Calibri" w:cs="Calibri"/>
          <w:bCs/>
          <w:sz w:val="24"/>
          <w:szCs w:val="24"/>
          <w:lang w:val="en"/>
        </w:rPr>
        <w:t>)</w:t>
      </w:r>
    </w:p>
    <w:p w14:paraId="2F053327" w14:textId="63D829BB"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Economic development organization dedicated to advancing its members</w:t>
      </w:r>
      <w:r w:rsidR="000D5ACF">
        <w:rPr>
          <w:rFonts w:ascii="Calibri" w:eastAsia="Calibri" w:hAnsi="Calibri" w:cs="Calibri"/>
          <w:sz w:val="24"/>
          <w:szCs w:val="24"/>
          <w:lang w:val="en"/>
        </w:rPr>
        <w:t>'</w:t>
      </w:r>
      <w:r w:rsidRPr="007E650E">
        <w:rPr>
          <w:rFonts w:ascii="Calibri" w:eastAsia="Calibri" w:hAnsi="Calibri" w:cs="Calibri"/>
          <w:sz w:val="24"/>
          <w:szCs w:val="24"/>
          <w:lang w:val="en"/>
        </w:rPr>
        <w:t xml:space="preserve"> ability to achieve excellence in delivering economic development services to their communities and business clients within California.</w:t>
      </w:r>
    </w:p>
    <w:p w14:paraId="7B836F7B" w14:textId="77777777" w:rsidR="00F470F1" w:rsidRPr="007E650E" w:rsidRDefault="00F470F1" w:rsidP="00F470F1">
      <w:pPr>
        <w:spacing w:after="0" w:line="240" w:lineRule="auto"/>
        <w:rPr>
          <w:rFonts w:ascii="Calibri" w:eastAsia="Calibri" w:hAnsi="Calibri" w:cs="Calibri"/>
          <w:b/>
          <w:sz w:val="24"/>
          <w:szCs w:val="24"/>
          <w:lang w:val="en"/>
        </w:rPr>
      </w:pPr>
    </w:p>
    <w:p w14:paraId="75882885" w14:textId="12B66D15" w:rsidR="008544AA" w:rsidRPr="007E650E" w:rsidRDefault="008544AA" w:rsidP="00F470F1">
      <w:pPr>
        <w:spacing w:after="0" w:line="240" w:lineRule="auto"/>
        <w:rPr>
          <w:rFonts w:ascii="Calibri" w:eastAsia="Arial" w:hAnsi="Calibri" w:cs="Calibri"/>
          <w:b/>
          <w:sz w:val="24"/>
          <w:szCs w:val="24"/>
          <w:lang w:val="en"/>
        </w:rPr>
      </w:pPr>
      <w:r w:rsidRPr="007E650E">
        <w:rPr>
          <w:rFonts w:ascii="Calibri" w:eastAsia="Calibri" w:hAnsi="Calibri" w:cs="Calibri"/>
          <w:b/>
          <w:sz w:val="24"/>
          <w:szCs w:val="24"/>
          <w:lang w:val="en"/>
        </w:rPr>
        <w:t xml:space="preserve">California Community Colleges Economic and Workforce Development </w:t>
      </w:r>
      <w:r w:rsidRPr="007E650E">
        <w:rPr>
          <w:rFonts w:ascii="Calibri" w:eastAsia="Calibri" w:hAnsi="Calibri" w:cs="Calibri"/>
          <w:bCs/>
          <w:sz w:val="24"/>
          <w:szCs w:val="24"/>
          <w:lang w:val="en"/>
        </w:rPr>
        <w:t>(</w:t>
      </w:r>
      <w:hyperlink r:id="rId47" w:history="1">
        <w:r w:rsidRPr="007E650E">
          <w:rPr>
            <w:rFonts w:ascii="Calibri" w:eastAsia="Calibri" w:hAnsi="Calibri" w:cs="Calibri"/>
            <w:bCs/>
            <w:color w:val="0070C0"/>
            <w:sz w:val="24"/>
            <w:szCs w:val="24"/>
            <w:u w:val="single"/>
            <w:lang w:val="en"/>
          </w:rPr>
          <w:t>CCCEWD</w:t>
        </w:r>
      </w:hyperlink>
      <w:r w:rsidRPr="007E650E">
        <w:rPr>
          <w:rFonts w:ascii="Calibri" w:eastAsia="Calibri" w:hAnsi="Calibri" w:cs="Calibri"/>
          <w:bCs/>
          <w:sz w:val="24"/>
          <w:szCs w:val="24"/>
          <w:lang w:val="en"/>
        </w:rPr>
        <w:t>)</w:t>
      </w:r>
    </w:p>
    <w:p w14:paraId="7DDAC9A5" w14:textId="09DA598B"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The primary system for delivering career technical education and workforce training to Californians.</w:t>
      </w:r>
    </w:p>
    <w:p w14:paraId="69C7BEE9" w14:textId="77777777" w:rsidR="00F470F1" w:rsidRPr="007E650E" w:rsidRDefault="00F470F1" w:rsidP="00F470F1">
      <w:pPr>
        <w:spacing w:after="0" w:line="240" w:lineRule="auto"/>
        <w:rPr>
          <w:rFonts w:ascii="Calibri" w:eastAsia="Calibri" w:hAnsi="Calibri" w:cs="Calibri"/>
          <w:b/>
          <w:sz w:val="24"/>
          <w:szCs w:val="24"/>
          <w:lang w:val="en"/>
        </w:rPr>
      </w:pPr>
    </w:p>
    <w:p w14:paraId="4D76BBC5" w14:textId="7B9DA4C9" w:rsidR="008544AA" w:rsidRPr="007E650E" w:rsidRDefault="008544AA" w:rsidP="00F470F1">
      <w:pPr>
        <w:spacing w:after="0" w:line="240" w:lineRule="auto"/>
        <w:rPr>
          <w:rFonts w:ascii="Calibri" w:eastAsia="Arial" w:hAnsi="Calibri" w:cs="Calibri"/>
          <w:b/>
          <w:sz w:val="24"/>
          <w:szCs w:val="24"/>
          <w:lang w:val="en"/>
        </w:rPr>
      </w:pPr>
      <w:r w:rsidRPr="007E650E">
        <w:rPr>
          <w:rFonts w:ascii="Calibri" w:eastAsia="Calibri" w:hAnsi="Calibri" w:cs="Calibri"/>
          <w:b/>
          <w:sz w:val="24"/>
          <w:szCs w:val="24"/>
          <w:lang w:val="en"/>
        </w:rPr>
        <w:t xml:space="preserve">California Department of Finance-Demographic Research </w:t>
      </w:r>
      <w:r w:rsidRPr="007E650E">
        <w:rPr>
          <w:rFonts w:ascii="Calibri" w:eastAsia="Calibri" w:hAnsi="Calibri" w:cs="Calibri"/>
          <w:bCs/>
          <w:sz w:val="24"/>
          <w:szCs w:val="24"/>
          <w:lang w:val="en"/>
        </w:rPr>
        <w:t>(</w:t>
      </w:r>
      <w:hyperlink r:id="rId48" w:history="1">
        <w:r w:rsidRPr="007E650E">
          <w:rPr>
            <w:rFonts w:ascii="Calibri" w:eastAsia="Calibri" w:hAnsi="Calibri" w:cs="Calibri"/>
            <w:bCs/>
            <w:color w:val="0070C0"/>
            <w:sz w:val="24"/>
            <w:szCs w:val="24"/>
            <w:u w:val="single"/>
            <w:lang w:val="en"/>
          </w:rPr>
          <w:t>DOF</w:t>
        </w:r>
      </w:hyperlink>
      <w:r w:rsidRPr="007E650E">
        <w:rPr>
          <w:rFonts w:ascii="Calibri" w:eastAsia="Calibri" w:hAnsi="Calibri" w:cs="Calibri"/>
          <w:bCs/>
          <w:sz w:val="24"/>
          <w:szCs w:val="24"/>
          <w:lang w:val="en"/>
        </w:rPr>
        <w:t>)</w:t>
      </w:r>
    </w:p>
    <w:p w14:paraId="466F1496" w14:textId="2198FD3C"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 xml:space="preserve">State finance census </w:t>
      </w:r>
      <w:proofErr w:type="gramStart"/>
      <w:r w:rsidRPr="007E650E">
        <w:rPr>
          <w:rFonts w:ascii="Calibri" w:eastAsia="Calibri" w:hAnsi="Calibri" w:cs="Calibri"/>
          <w:sz w:val="24"/>
          <w:szCs w:val="24"/>
          <w:lang w:val="en"/>
        </w:rPr>
        <w:t>data,</w:t>
      </w:r>
      <w:proofErr w:type="gramEnd"/>
      <w:r w:rsidRPr="007E650E">
        <w:rPr>
          <w:rFonts w:ascii="Calibri" w:eastAsia="Calibri" w:hAnsi="Calibri" w:cs="Calibri"/>
          <w:sz w:val="24"/>
          <w:szCs w:val="24"/>
          <w:lang w:val="en"/>
        </w:rPr>
        <w:t xml:space="preserve"> </w:t>
      </w:r>
      <w:proofErr w:type="gramStart"/>
      <w:r w:rsidRPr="007E650E">
        <w:rPr>
          <w:rFonts w:ascii="Calibri" w:eastAsia="Calibri" w:hAnsi="Calibri" w:cs="Calibri"/>
          <w:sz w:val="24"/>
          <w:szCs w:val="24"/>
          <w:lang w:val="en"/>
        </w:rPr>
        <w:t>including</w:t>
      </w:r>
      <w:proofErr w:type="gramEnd"/>
      <w:r w:rsidRPr="007E650E">
        <w:rPr>
          <w:rFonts w:ascii="Calibri" w:eastAsia="Calibri" w:hAnsi="Calibri" w:cs="Calibri"/>
          <w:sz w:val="24"/>
          <w:szCs w:val="24"/>
          <w:lang w:val="en"/>
        </w:rPr>
        <w:t xml:space="preserve"> population by gender, age, and race by </w:t>
      </w:r>
      <w:proofErr w:type="gramStart"/>
      <w:r w:rsidRPr="007E650E">
        <w:rPr>
          <w:rFonts w:ascii="Calibri" w:eastAsia="Calibri" w:hAnsi="Calibri" w:cs="Calibri"/>
          <w:sz w:val="24"/>
          <w:szCs w:val="24"/>
          <w:lang w:val="en"/>
        </w:rPr>
        <w:t>county</w:t>
      </w:r>
      <w:proofErr w:type="gramEnd"/>
      <w:r w:rsidRPr="007E650E">
        <w:rPr>
          <w:rFonts w:ascii="Calibri" w:eastAsia="Calibri" w:hAnsi="Calibri" w:cs="Calibri"/>
          <w:sz w:val="24"/>
          <w:szCs w:val="24"/>
          <w:lang w:val="en"/>
        </w:rPr>
        <w:t>.</w:t>
      </w:r>
    </w:p>
    <w:p w14:paraId="4D5748A8" w14:textId="77777777" w:rsidR="00F470F1" w:rsidRPr="007E650E" w:rsidRDefault="00F470F1" w:rsidP="00F470F1">
      <w:pPr>
        <w:spacing w:after="0" w:line="240" w:lineRule="auto"/>
        <w:rPr>
          <w:rFonts w:ascii="Calibri" w:eastAsia="Calibri" w:hAnsi="Calibri" w:cs="Calibri"/>
          <w:b/>
          <w:sz w:val="24"/>
          <w:szCs w:val="24"/>
          <w:lang w:val="en"/>
        </w:rPr>
      </w:pPr>
    </w:p>
    <w:p w14:paraId="2E7599FB" w14:textId="1DC2983E" w:rsidR="008544AA" w:rsidRPr="007E650E" w:rsidRDefault="008544AA" w:rsidP="00F470F1">
      <w:pPr>
        <w:spacing w:after="0" w:line="240" w:lineRule="auto"/>
        <w:rPr>
          <w:rFonts w:ascii="Calibri" w:eastAsia="Arial" w:hAnsi="Calibri" w:cs="Calibri"/>
          <w:b/>
          <w:sz w:val="24"/>
          <w:szCs w:val="24"/>
          <w:lang w:val="en"/>
        </w:rPr>
      </w:pPr>
      <w:r w:rsidRPr="007E650E">
        <w:rPr>
          <w:rFonts w:ascii="Calibri" w:eastAsia="Calibri" w:hAnsi="Calibri" w:cs="Calibri"/>
          <w:b/>
          <w:sz w:val="24"/>
          <w:szCs w:val="24"/>
          <w:lang w:val="en"/>
        </w:rPr>
        <w:t xml:space="preserve">California Department of Health Care Services </w:t>
      </w:r>
      <w:r w:rsidRPr="007E650E">
        <w:rPr>
          <w:rFonts w:ascii="Calibri" w:eastAsia="Calibri" w:hAnsi="Calibri" w:cs="Calibri"/>
          <w:bCs/>
          <w:sz w:val="24"/>
          <w:szCs w:val="24"/>
          <w:lang w:val="en"/>
        </w:rPr>
        <w:t>(</w:t>
      </w:r>
      <w:hyperlink r:id="rId49" w:history="1">
        <w:r w:rsidRPr="007E650E">
          <w:rPr>
            <w:rFonts w:ascii="Calibri" w:eastAsia="Calibri" w:hAnsi="Calibri" w:cs="Calibri"/>
            <w:bCs/>
            <w:color w:val="0070C0"/>
            <w:sz w:val="24"/>
            <w:szCs w:val="24"/>
            <w:u w:val="single"/>
            <w:lang w:val="en"/>
          </w:rPr>
          <w:t>DHCS</w:t>
        </w:r>
      </w:hyperlink>
      <w:r w:rsidRPr="007E650E">
        <w:rPr>
          <w:rFonts w:ascii="Calibri" w:eastAsia="Calibri" w:hAnsi="Calibri" w:cs="Calibri"/>
          <w:bCs/>
          <w:sz w:val="24"/>
          <w:szCs w:val="24"/>
          <w:lang w:val="en"/>
        </w:rPr>
        <w:t>)</w:t>
      </w:r>
    </w:p>
    <w:p w14:paraId="6C180234" w14:textId="023DA459"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Provides services to preserve and improve the health status of all Californians.</w:t>
      </w:r>
    </w:p>
    <w:p w14:paraId="26701574" w14:textId="77777777" w:rsidR="00F470F1" w:rsidRPr="007E650E" w:rsidRDefault="00F470F1" w:rsidP="00F470F1">
      <w:pPr>
        <w:spacing w:after="0" w:line="240" w:lineRule="auto"/>
        <w:rPr>
          <w:rFonts w:ascii="Calibri" w:eastAsia="Calibri" w:hAnsi="Calibri" w:cs="Calibri"/>
          <w:b/>
          <w:sz w:val="24"/>
          <w:szCs w:val="24"/>
          <w:lang w:val="en"/>
        </w:rPr>
      </w:pPr>
    </w:p>
    <w:p w14:paraId="701981CB" w14:textId="214D1D77"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California Department of Education </w:t>
      </w:r>
      <w:r w:rsidRPr="007E650E">
        <w:rPr>
          <w:rFonts w:ascii="Calibri" w:eastAsia="Calibri" w:hAnsi="Calibri" w:cs="Calibri"/>
          <w:bCs/>
          <w:sz w:val="24"/>
          <w:szCs w:val="24"/>
          <w:lang w:val="en"/>
        </w:rPr>
        <w:t>(</w:t>
      </w:r>
      <w:hyperlink r:id="rId50" w:history="1">
        <w:r w:rsidRPr="007E650E">
          <w:rPr>
            <w:rFonts w:ascii="Calibri" w:eastAsia="Calibri" w:hAnsi="Calibri" w:cs="Calibri"/>
            <w:bCs/>
            <w:color w:val="0070C0"/>
            <w:sz w:val="24"/>
            <w:szCs w:val="24"/>
            <w:u w:val="single"/>
            <w:lang w:val="en"/>
          </w:rPr>
          <w:t>DOE</w:t>
        </w:r>
      </w:hyperlink>
      <w:r w:rsidRPr="007E650E">
        <w:rPr>
          <w:rFonts w:ascii="Calibri" w:eastAsia="Calibri" w:hAnsi="Calibri" w:cs="Calibri"/>
          <w:bCs/>
          <w:sz w:val="24"/>
          <w:szCs w:val="24"/>
          <w:lang w:val="en"/>
        </w:rPr>
        <w:t>)</w:t>
      </w:r>
    </w:p>
    <w:p w14:paraId="01F1717A" w14:textId="7B8156EE" w:rsidR="008544AA" w:rsidRPr="007E650E" w:rsidRDefault="008544AA" w:rsidP="01476CFA">
      <w:pPr>
        <w:spacing w:after="0" w:line="240" w:lineRule="auto"/>
        <w:rPr>
          <w:rFonts w:ascii="Calibri" w:eastAsia="Calibri" w:hAnsi="Calibri" w:cs="Calibri"/>
          <w:sz w:val="24"/>
          <w:szCs w:val="24"/>
        </w:rPr>
      </w:pPr>
      <w:r w:rsidRPr="007E650E">
        <w:rPr>
          <w:rFonts w:ascii="Calibri" w:eastAsia="Calibri" w:hAnsi="Calibri" w:cs="Calibri"/>
          <w:sz w:val="24"/>
          <w:szCs w:val="24"/>
        </w:rPr>
        <w:t>Programs available to provide adults with the knowledge and skills necessary to participate effectively as productive citizens and workers.</w:t>
      </w:r>
    </w:p>
    <w:p w14:paraId="7E88814B" w14:textId="77777777" w:rsidR="00F470F1" w:rsidRPr="007E650E" w:rsidRDefault="00F470F1" w:rsidP="00F470F1">
      <w:pPr>
        <w:spacing w:after="0" w:line="240" w:lineRule="auto"/>
        <w:rPr>
          <w:rFonts w:ascii="Calibri" w:eastAsia="Calibri" w:hAnsi="Calibri" w:cs="Calibri"/>
          <w:b/>
          <w:sz w:val="24"/>
          <w:szCs w:val="24"/>
          <w:lang w:val="en"/>
        </w:rPr>
      </w:pPr>
    </w:p>
    <w:p w14:paraId="269B15E9" w14:textId="17284269" w:rsidR="008544AA" w:rsidRPr="007E650E" w:rsidRDefault="008544AA" w:rsidP="00F470F1">
      <w:pPr>
        <w:spacing w:after="0" w:line="240" w:lineRule="auto"/>
        <w:rPr>
          <w:rFonts w:ascii="Calibri" w:eastAsia="Arial" w:hAnsi="Calibri" w:cs="Calibri"/>
          <w:b/>
          <w:sz w:val="24"/>
          <w:szCs w:val="24"/>
          <w:lang w:val="en"/>
        </w:rPr>
      </w:pPr>
      <w:r w:rsidRPr="007E650E">
        <w:rPr>
          <w:rFonts w:ascii="Calibri" w:eastAsia="Calibri" w:hAnsi="Calibri" w:cs="Calibri"/>
          <w:b/>
          <w:sz w:val="24"/>
          <w:szCs w:val="24"/>
          <w:lang w:val="en"/>
        </w:rPr>
        <w:t xml:space="preserve">California Department of Industrial Relations-Division of Apprenticeship Standards </w:t>
      </w:r>
      <w:r w:rsidRPr="007E650E">
        <w:rPr>
          <w:rFonts w:ascii="Calibri" w:eastAsia="Calibri" w:hAnsi="Calibri" w:cs="Calibri"/>
          <w:bCs/>
          <w:sz w:val="24"/>
          <w:szCs w:val="24"/>
          <w:lang w:val="en"/>
        </w:rPr>
        <w:t>(</w:t>
      </w:r>
      <w:hyperlink r:id="rId51" w:history="1">
        <w:r w:rsidRPr="007E650E">
          <w:rPr>
            <w:rFonts w:ascii="Calibri" w:eastAsia="Calibri" w:hAnsi="Calibri" w:cs="Calibri"/>
            <w:bCs/>
            <w:color w:val="0070C0"/>
            <w:sz w:val="24"/>
            <w:szCs w:val="24"/>
            <w:u w:val="single"/>
            <w:lang w:val="en"/>
          </w:rPr>
          <w:t>DIR-DAS</w:t>
        </w:r>
      </w:hyperlink>
      <w:r w:rsidRPr="007E650E">
        <w:rPr>
          <w:rFonts w:ascii="Calibri" w:eastAsia="Calibri" w:hAnsi="Calibri" w:cs="Calibri"/>
          <w:bCs/>
          <w:sz w:val="24"/>
          <w:szCs w:val="24"/>
          <w:lang w:val="en"/>
        </w:rPr>
        <w:t>)</w:t>
      </w:r>
    </w:p>
    <w:p w14:paraId="09638AEB" w14:textId="73530BE8" w:rsidR="008544AA" w:rsidRPr="007E650E" w:rsidRDefault="008544AA" w:rsidP="01476CFA">
      <w:pPr>
        <w:spacing w:after="0" w:line="240" w:lineRule="auto"/>
        <w:rPr>
          <w:rFonts w:ascii="Calibri" w:eastAsia="Calibri" w:hAnsi="Calibri" w:cs="Calibri"/>
          <w:sz w:val="24"/>
          <w:szCs w:val="24"/>
        </w:rPr>
      </w:pPr>
      <w:r w:rsidRPr="007E650E">
        <w:rPr>
          <w:rFonts w:ascii="Calibri" w:eastAsia="Calibri" w:hAnsi="Calibri" w:cs="Calibri"/>
          <w:sz w:val="24"/>
          <w:szCs w:val="24"/>
        </w:rPr>
        <w:t>Provides opportunities for workers to gain employable lifetime skills and provides employers with a highly skilled and experienced workforce while strengthening California's economy. Contains information on the quality elements of apprenticeship and pre-apprenticeship programs.</w:t>
      </w:r>
    </w:p>
    <w:p w14:paraId="2D9D80C9" w14:textId="77777777" w:rsidR="00F470F1" w:rsidRPr="007E650E" w:rsidRDefault="00F470F1" w:rsidP="00F470F1">
      <w:pPr>
        <w:spacing w:after="0" w:line="240" w:lineRule="auto"/>
        <w:rPr>
          <w:rFonts w:ascii="Calibri" w:eastAsia="Calibri" w:hAnsi="Calibri" w:cs="Calibri"/>
          <w:b/>
          <w:sz w:val="24"/>
          <w:szCs w:val="24"/>
          <w:lang w:val="en"/>
        </w:rPr>
      </w:pPr>
    </w:p>
    <w:p w14:paraId="4AD5135E" w14:textId="473DEC42"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California Department of Rehabilitation </w:t>
      </w:r>
      <w:r w:rsidRPr="007E650E">
        <w:rPr>
          <w:rFonts w:ascii="Calibri" w:eastAsia="Calibri" w:hAnsi="Calibri" w:cs="Calibri"/>
          <w:bCs/>
          <w:sz w:val="24"/>
          <w:szCs w:val="24"/>
          <w:lang w:val="en"/>
        </w:rPr>
        <w:t>(</w:t>
      </w:r>
      <w:hyperlink r:id="rId52" w:history="1">
        <w:r w:rsidRPr="007E650E">
          <w:rPr>
            <w:rFonts w:ascii="Calibri" w:eastAsia="Calibri" w:hAnsi="Calibri" w:cs="Calibri"/>
            <w:bCs/>
            <w:color w:val="0070C0"/>
            <w:sz w:val="24"/>
            <w:szCs w:val="24"/>
            <w:u w:val="single"/>
            <w:lang w:val="en"/>
          </w:rPr>
          <w:t>DOR</w:t>
        </w:r>
      </w:hyperlink>
      <w:r w:rsidRPr="007E650E">
        <w:rPr>
          <w:rFonts w:ascii="Calibri" w:eastAsia="Calibri" w:hAnsi="Calibri" w:cs="Calibri"/>
          <w:bCs/>
          <w:sz w:val="24"/>
          <w:szCs w:val="24"/>
          <w:lang w:val="en"/>
        </w:rPr>
        <w:t>)</w:t>
      </w:r>
    </w:p>
    <w:p w14:paraId="2E6CD4BE" w14:textId="71A83E60"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Services and advocacy for employment, independent living, and equality for individuals with disabilities.</w:t>
      </w:r>
    </w:p>
    <w:p w14:paraId="05E60B70" w14:textId="77777777" w:rsidR="00F470F1" w:rsidRPr="007E650E" w:rsidRDefault="00F470F1" w:rsidP="00F470F1">
      <w:pPr>
        <w:spacing w:after="0" w:line="240" w:lineRule="auto"/>
        <w:rPr>
          <w:rFonts w:ascii="Calibri" w:eastAsia="Calibri" w:hAnsi="Calibri" w:cs="Calibri"/>
          <w:b/>
          <w:sz w:val="24"/>
          <w:szCs w:val="24"/>
          <w:lang w:val="en"/>
        </w:rPr>
      </w:pPr>
    </w:p>
    <w:p w14:paraId="202A457B" w14:textId="59F0CC9A"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California Department of Social Services </w:t>
      </w:r>
      <w:r w:rsidRPr="007E650E">
        <w:rPr>
          <w:rFonts w:ascii="Calibri" w:eastAsia="Calibri" w:hAnsi="Calibri" w:cs="Calibri"/>
          <w:bCs/>
          <w:sz w:val="24"/>
          <w:szCs w:val="24"/>
          <w:lang w:val="en"/>
        </w:rPr>
        <w:t>(</w:t>
      </w:r>
      <w:hyperlink r:id="rId53" w:history="1">
        <w:r w:rsidRPr="007E650E">
          <w:rPr>
            <w:rFonts w:ascii="Calibri" w:eastAsia="Calibri" w:hAnsi="Calibri" w:cs="Calibri"/>
            <w:bCs/>
            <w:color w:val="0070C0"/>
            <w:sz w:val="24"/>
            <w:szCs w:val="24"/>
            <w:u w:val="single"/>
            <w:lang w:val="en"/>
          </w:rPr>
          <w:t>DSS</w:t>
        </w:r>
      </w:hyperlink>
      <w:r w:rsidRPr="007E650E">
        <w:rPr>
          <w:rFonts w:ascii="Calibri" w:eastAsia="Calibri" w:hAnsi="Calibri" w:cs="Calibri"/>
          <w:bCs/>
          <w:sz w:val="24"/>
          <w:szCs w:val="24"/>
          <w:lang w:val="en"/>
        </w:rPr>
        <w:t>)</w:t>
      </w:r>
    </w:p>
    <w:p w14:paraId="0946F2C3" w14:textId="7C97E51F"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Oversight and administration of programs serving California's most vulnerable residents.</w:t>
      </w:r>
    </w:p>
    <w:p w14:paraId="1109D2E5" w14:textId="77777777" w:rsidR="00F470F1" w:rsidRPr="007E650E" w:rsidRDefault="00F470F1" w:rsidP="00F470F1">
      <w:pPr>
        <w:spacing w:after="0" w:line="240" w:lineRule="auto"/>
        <w:rPr>
          <w:rFonts w:ascii="Calibri" w:eastAsia="Calibri" w:hAnsi="Calibri" w:cs="Calibri"/>
          <w:b/>
          <w:sz w:val="24"/>
          <w:szCs w:val="24"/>
          <w:lang w:val="en"/>
        </w:rPr>
      </w:pPr>
    </w:p>
    <w:p w14:paraId="01DBE6E1" w14:textId="204EFB42"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California Employment Development Department </w:t>
      </w:r>
      <w:r w:rsidRPr="007E650E">
        <w:rPr>
          <w:rFonts w:ascii="Calibri" w:eastAsia="Calibri" w:hAnsi="Calibri" w:cs="Calibri"/>
          <w:bCs/>
          <w:sz w:val="24"/>
          <w:szCs w:val="24"/>
          <w:lang w:val="en"/>
        </w:rPr>
        <w:t>(</w:t>
      </w:r>
      <w:hyperlink r:id="rId54" w:history="1">
        <w:r w:rsidRPr="007E650E">
          <w:rPr>
            <w:rFonts w:ascii="Calibri" w:eastAsia="Calibri" w:hAnsi="Calibri" w:cs="Calibri"/>
            <w:bCs/>
            <w:color w:val="0070C0"/>
            <w:sz w:val="24"/>
            <w:szCs w:val="24"/>
            <w:u w:val="single"/>
            <w:lang w:val="en"/>
          </w:rPr>
          <w:t>EDD</w:t>
        </w:r>
      </w:hyperlink>
      <w:r w:rsidRPr="007E650E">
        <w:rPr>
          <w:rFonts w:ascii="Calibri" w:eastAsia="Calibri" w:hAnsi="Calibri" w:cs="Calibri"/>
          <w:bCs/>
          <w:sz w:val="24"/>
          <w:szCs w:val="24"/>
          <w:lang w:val="en"/>
        </w:rPr>
        <w:t>)</w:t>
      </w:r>
    </w:p>
    <w:p w14:paraId="46E2094F" w14:textId="23193CE8" w:rsidR="008544AA" w:rsidRPr="007E650E" w:rsidRDefault="008544AA" w:rsidP="01476CFA">
      <w:pPr>
        <w:spacing w:after="0" w:line="240" w:lineRule="auto"/>
        <w:rPr>
          <w:rFonts w:ascii="Calibri" w:eastAsia="Calibri" w:hAnsi="Calibri" w:cs="Calibri"/>
          <w:sz w:val="24"/>
          <w:szCs w:val="24"/>
        </w:rPr>
      </w:pPr>
      <w:r w:rsidRPr="007E650E">
        <w:rPr>
          <w:rFonts w:ascii="Calibri" w:eastAsia="Calibri" w:hAnsi="Calibri" w:cs="Calibri"/>
          <w:sz w:val="24"/>
          <w:szCs w:val="24"/>
        </w:rPr>
        <w:t>The EDD is the administrative entity for the WIOA ESP SFP. This site contains links to a wide range of employment and training resources, including labor market information.</w:t>
      </w:r>
    </w:p>
    <w:p w14:paraId="3E7FC605" w14:textId="77777777" w:rsidR="00F470F1" w:rsidRPr="007E650E" w:rsidRDefault="00F470F1" w:rsidP="00F470F1">
      <w:pPr>
        <w:spacing w:after="0" w:line="240" w:lineRule="auto"/>
        <w:rPr>
          <w:rFonts w:ascii="Calibri" w:eastAsia="Arial" w:hAnsi="Calibri" w:cs="Calibri"/>
          <w:b/>
          <w:sz w:val="24"/>
          <w:szCs w:val="24"/>
          <w:lang w:val="en"/>
        </w:rPr>
      </w:pPr>
    </w:p>
    <w:p w14:paraId="688C0712" w14:textId="1C9EEBA8"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Arial" w:hAnsi="Calibri" w:cs="Calibri"/>
          <w:b/>
          <w:sz w:val="24"/>
          <w:szCs w:val="24"/>
          <w:lang w:val="en"/>
        </w:rPr>
        <w:t>California</w:t>
      </w:r>
      <w:r w:rsidR="000D5ACF">
        <w:rPr>
          <w:rFonts w:ascii="Calibri" w:eastAsia="Arial" w:hAnsi="Calibri" w:cs="Calibri"/>
          <w:b/>
          <w:sz w:val="24"/>
          <w:szCs w:val="24"/>
          <w:lang w:val="en"/>
        </w:rPr>
        <w:t>'</w:t>
      </w:r>
      <w:r w:rsidRPr="007E650E">
        <w:rPr>
          <w:rFonts w:ascii="Calibri" w:eastAsia="Arial" w:hAnsi="Calibri" w:cs="Calibri"/>
          <w:b/>
          <w:sz w:val="24"/>
          <w:szCs w:val="24"/>
          <w:lang w:val="en"/>
        </w:rPr>
        <w:t xml:space="preserve">s 2020-2023 Unified Strategic Workforce Development Plan </w:t>
      </w:r>
      <w:r w:rsidRPr="007E650E">
        <w:rPr>
          <w:rFonts w:ascii="Calibri" w:eastAsia="Arial" w:hAnsi="Calibri" w:cs="Calibri"/>
          <w:bCs/>
          <w:sz w:val="24"/>
          <w:szCs w:val="24"/>
          <w:lang w:val="en"/>
        </w:rPr>
        <w:t>(</w:t>
      </w:r>
      <w:hyperlink r:id="rId55" w:history="1">
        <w:r w:rsidRPr="007E650E">
          <w:rPr>
            <w:rFonts w:ascii="Calibri" w:eastAsia="Arial" w:hAnsi="Calibri" w:cs="Calibri"/>
            <w:bCs/>
            <w:color w:val="0070C0"/>
            <w:sz w:val="24"/>
            <w:szCs w:val="24"/>
            <w:u w:val="single"/>
            <w:lang w:val="en"/>
          </w:rPr>
          <w:t>State Plan</w:t>
        </w:r>
      </w:hyperlink>
      <w:r w:rsidRPr="007E650E">
        <w:rPr>
          <w:rFonts w:ascii="Calibri" w:eastAsia="Arial" w:hAnsi="Calibri" w:cs="Calibri"/>
          <w:bCs/>
          <w:sz w:val="24"/>
          <w:szCs w:val="24"/>
          <w:lang w:val="en"/>
        </w:rPr>
        <w:t>)</w:t>
      </w:r>
    </w:p>
    <w:p w14:paraId="705202A3" w14:textId="5E2FAC9C" w:rsidR="008544AA" w:rsidRPr="007E650E" w:rsidRDefault="008544AA" w:rsidP="01476CFA">
      <w:pPr>
        <w:spacing w:after="0" w:line="240" w:lineRule="auto"/>
        <w:rPr>
          <w:rFonts w:ascii="Calibri" w:eastAsia="Arial" w:hAnsi="Calibri" w:cs="Calibri"/>
          <w:sz w:val="24"/>
          <w:szCs w:val="24"/>
        </w:rPr>
      </w:pPr>
      <w:r w:rsidRPr="007E650E">
        <w:rPr>
          <w:rFonts w:ascii="Calibri" w:eastAsia="Arial" w:hAnsi="Calibri" w:cs="Calibri"/>
          <w:sz w:val="24"/>
          <w:szCs w:val="24"/>
        </w:rPr>
        <w:t>The State Plan represents an agreement among partners identified in the WIOA and serves as the framework for the development of public policy, fiscal investment, and operation of the state workforce and education system.</w:t>
      </w:r>
    </w:p>
    <w:p w14:paraId="1A145699" w14:textId="77777777" w:rsidR="00F470F1" w:rsidRPr="007E650E" w:rsidRDefault="00F470F1" w:rsidP="00F470F1">
      <w:pPr>
        <w:spacing w:after="0" w:line="240" w:lineRule="auto"/>
        <w:rPr>
          <w:rFonts w:ascii="Calibri" w:eastAsia="Calibri" w:hAnsi="Calibri" w:cs="Calibri"/>
          <w:b/>
          <w:color w:val="333333"/>
          <w:sz w:val="24"/>
          <w:szCs w:val="24"/>
          <w:lang w:val="en"/>
        </w:rPr>
      </w:pPr>
    </w:p>
    <w:p w14:paraId="153C26BF" w14:textId="4058652B" w:rsidR="008544AA" w:rsidRPr="007E650E" w:rsidRDefault="008544AA" w:rsidP="01476CFA">
      <w:pPr>
        <w:spacing w:after="0" w:line="240" w:lineRule="auto"/>
        <w:rPr>
          <w:rFonts w:ascii="Calibri" w:eastAsia="Calibri" w:hAnsi="Calibri" w:cs="Calibri"/>
          <w:sz w:val="24"/>
          <w:szCs w:val="24"/>
        </w:rPr>
      </w:pPr>
      <w:proofErr w:type="spellStart"/>
      <w:r w:rsidRPr="007E650E">
        <w:rPr>
          <w:rFonts w:ascii="Calibri" w:eastAsia="Calibri" w:hAnsi="Calibri" w:cs="Calibri"/>
          <w:b/>
          <w:bCs/>
          <w:color w:val="333333"/>
          <w:sz w:val="24"/>
          <w:szCs w:val="24"/>
        </w:rPr>
        <w:t>CalJOBS</w:t>
      </w:r>
      <w:r w:rsidRPr="007E650E">
        <w:rPr>
          <w:rFonts w:ascii="Calibri" w:eastAsia="Calibri" w:hAnsi="Calibri" w:cs="Calibri"/>
          <w:b/>
          <w:bCs/>
          <w:color w:val="333333"/>
          <w:sz w:val="24"/>
          <w:szCs w:val="24"/>
          <w:vertAlign w:val="superscript"/>
        </w:rPr>
        <w:t>SM</w:t>
      </w:r>
      <w:proofErr w:type="spellEnd"/>
      <w:r w:rsidRPr="007E650E">
        <w:rPr>
          <w:rFonts w:ascii="Calibri" w:eastAsia="Calibri" w:hAnsi="Calibri" w:cs="Calibri"/>
          <w:b/>
          <w:bCs/>
          <w:color w:val="333333"/>
          <w:sz w:val="24"/>
          <w:szCs w:val="24"/>
          <w:vertAlign w:val="superscript"/>
        </w:rPr>
        <w:t xml:space="preserve"> </w:t>
      </w:r>
      <w:r w:rsidRPr="007E650E">
        <w:rPr>
          <w:rFonts w:ascii="Calibri" w:eastAsia="Calibri" w:hAnsi="Calibri" w:cs="Calibri"/>
          <w:sz w:val="24"/>
          <w:szCs w:val="24"/>
          <w:u w:val="single"/>
        </w:rPr>
        <w:t>(</w:t>
      </w:r>
      <w:hyperlink r:id="rId56">
        <w:r w:rsidRPr="007E650E">
          <w:rPr>
            <w:rFonts w:ascii="Calibri" w:eastAsia="Calibri" w:hAnsi="Calibri" w:cs="Calibri"/>
            <w:color w:val="0070C0"/>
            <w:sz w:val="24"/>
            <w:szCs w:val="24"/>
            <w:u w:val="single"/>
          </w:rPr>
          <w:t>CalJOBS</w:t>
        </w:r>
      </w:hyperlink>
      <w:r w:rsidRPr="007E650E">
        <w:rPr>
          <w:rFonts w:ascii="Calibri" w:eastAsia="Calibri" w:hAnsi="Calibri" w:cs="Calibri"/>
          <w:sz w:val="24"/>
          <w:szCs w:val="24"/>
        </w:rPr>
        <w:t xml:space="preserve">) </w:t>
      </w:r>
    </w:p>
    <w:p w14:paraId="0A8A859D" w14:textId="15E88E02" w:rsidR="008544AA" w:rsidRPr="007E650E" w:rsidRDefault="008544AA" w:rsidP="79739689">
      <w:pPr>
        <w:spacing w:after="0" w:line="240" w:lineRule="auto"/>
        <w:rPr>
          <w:rFonts w:ascii="Calibri" w:eastAsia="Calibri" w:hAnsi="Calibri" w:cs="Calibri"/>
          <w:b/>
          <w:bCs/>
          <w:sz w:val="24"/>
          <w:szCs w:val="24"/>
        </w:rPr>
      </w:pPr>
      <w:r w:rsidRPr="007E650E">
        <w:rPr>
          <w:rFonts w:ascii="Calibri" w:eastAsia="Calibri" w:hAnsi="Calibri" w:cs="Calibri"/>
          <w:color w:val="333333"/>
          <w:sz w:val="24"/>
          <w:szCs w:val="24"/>
        </w:rPr>
        <w:t>The CalJOBS system is California</w:t>
      </w:r>
      <w:r w:rsidR="000D5ACF">
        <w:rPr>
          <w:rFonts w:ascii="Calibri" w:eastAsia="Calibri" w:hAnsi="Calibri" w:cs="Calibri"/>
          <w:color w:val="333333"/>
          <w:sz w:val="24"/>
          <w:szCs w:val="24"/>
        </w:rPr>
        <w:t>'</w:t>
      </w:r>
      <w:r w:rsidRPr="007E650E">
        <w:rPr>
          <w:rFonts w:ascii="Calibri" w:eastAsia="Calibri" w:hAnsi="Calibri" w:cs="Calibri"/>
          <w:color w:val="333333"/>
          <w:sz w:val="24"/>
          <w:szCs w:val="24"/>
        </w:rPr>
        <w:t>s online resource to help job seekers and employers navigate the state</w:t>
      </w:r>
      <w:r w:rsidR="000D5ACF">
        <w:rPr>
          <w:rFonts w:ascii="Calibri" w:eastAsia="Calibri" w:hAnsi="Calibri" w:cs="Calibri"/>
          <w:color w:val="333333"/>
          <w:sz w:val="24"/>
          <w:szCs w:val="24"/>
        </w:rPr>
        <w:t>'</w:t>
      </w:r>
      <w:r w:rsidRPr="007E650E">
        <w:rPr>
          <w:rFonts w:ascii="Calibri" w:eastAsia="Calibri" w:hAnsi="Calibri" w:cs="Calibri"/>
          <w:color w:val="333333"/>
          <w:sz w:val="24"/>
          <w:szCs w:val="24"/>
        </w:rPr>
        <w:t>s workforce services. The enhanced system allows users to easily search for jobs, build résumés, access career resources, find qualified candidates for employment, and gather information on education and training programs.</w:t>
      </w:r>
    </w:p>
    <w:p w14:paraId="5EBD9340" w14:textId="77777777" w:rsidR="00F470F1" w:rsidRPr="007E650E" w:rsidRDefault="00F470F1" w:rsidP="00F470F1">
      <w:pPr>
        <w:spacing w:after="0" w:line="240" w:lineRule="auto"/>
        <w:rPr>
          <w:rFonts w:ascii="Calibri" w:eastAsia="Calibri" w:hAnsi="Calibri" w:cs="Calibri"/>
          <w:b/>
          <w:sz w:val="24"/>
          <w:szCs w:val="24"/>
          <w:lang w:val="en"/>
        </w:rPr>
      </w:pPr>
    </w:p>
    <w:p w14:paraId="7F349AA5" w14:textId="774CF771" w:rsidR="008544AA" w:rsidRPr="007E650E" w:rsidRDefault="008544AA" w:rsidP="00F470F1">
      <w:pPr>
        <w:spacing w:after="0" w:line="240" w:lineRule="auto"/>
        <w:rPr>
          <w:rFonts w:ascii="Calibri" w:eastAsia="Arial" w:hAnsi="Calibri" w:cs="Calibri"/>
          <w:b/>
          <w:sz w:val="24"/>
          <w:szCs w:val="24"/>
          <w:lang w:val="en"/>
        </w:rPr>
      </w:pPr>
      <w:r w:rsidRPr="007E650E">
        <w:rPr>
          <w:rFonts w:ascii="Calibri" w:eastAsia="Calibri" w:hAnsi="Calibri" w:cs="Calibri"/>
          <w:b/>
          <w:sz w:val="24"/>
          <w:szCs w:val="24"/>
          <w:lang w:val="en"/>
        </w:rPr>
        <w:t xml:space="preserve">California Labor and Workforce Development Agency </w:t>
      </w:r>
      <w:r w:rsidRPr="007E650E">
        <w:rPr>
          <w:rFonts w:ascii="Calibri" w:eastAsia="Calibri" w:hAnsi="Calibri" w:cs="Calibri"/>
          <w:bCs/>
          <w:sz w:val="24"/>
          <w:szCs w:val="24"/>
          <w:lang w:val="en"/>
        </w:rPr>
        <w:t>(</w:t>
      </w:r>
      <w:hyperlink r:id="rId57" w:history="1">
        <w:r w:rsidRPr="007E650E">
          <w:rPr>
            <w:rFonts w:ascii="Calibri" w:eastAsia="Calibri" w:hAnsi="Calibri" w:cs="Calibri"/>
            <w:bCs/>
            <w:color w:val="0070C0"/>
            <w:sz w:val="24"/>
            <w:szCs w:val="24"/>
            <w:u w:val="single"/>
            <w:lang w:val="en"/>
          </w:rPr>
          <w:t>LWDA</w:t>
        </w:r>
      </w:hyperlink>
      <w:r w:rsidRPr="007E650E">
        <w:rPr>
          <w:rFonts w:ascii="Calibri" w:eastAsia="Calibri" w:hAnsi="Calibri" w:cs="Calibri"/>
          <w:bCs/>
          <w:sz w:val="24"/>
          <w:szCs w:val="24"/>
          <w:lang w:val="en"/>
        </w:rPr>
        <w:t>)</w:t>
      </w:r>
    </w:p>
    <w:p w14:paraId="2A625BA5" w14:textId="241B75ED"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The Labor Agency oversees seven major departments, boards, and panels that serve California businesses and workers, including the EDD.</w:t>
      </w:r>
    </w:p>
    <w:p w14:paraId="632B1B5E" w14:textId="77777777" w:rsidR="00F470F1" w:rsidRPr="007E650E" w:rsidRDefault="00F470F1" w:rsidP="00F470F1">
      <w:pPr>
        <w:spacing w:after="0" w:line="240" w:lineRule="auto"/>
        <w:rPr>
          <w:rFonts w:ascii="Calibri" w:eastAsia="Calibri" w:hAnsi="Calibri" w:cs="Calibri"/>
          <w:b/>
          <w:sz w:val="24"/>
          <w:szCs w:val="24"/>
          <w:lang w:val="en"/>
        </w:rPr>
      </w:pPr>
    </w:p>
    <w:p w14:paraId="1A62961F" w14:textId="2CBCD459"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California Workforce Association </w:t>
      </w:r>
      <w:r w:rsidRPr="007E650E">
        <w:rPr>
          <w:rFonts w:ascii="Calibri" w:eastAsia="Calibri" w:hAnsi="Calibri" w:cs="Calibri"/>
          <w:bCs/>
          <w:sz w:val="24"/>
          <w:szCs w:val="24"/>
          <w:lang w:val="en"/>
        </w:rPr>
        <w:t>(</w:t>
      </w:r>
      <w:hyperlink r:id="rId58" w:history="1">
        <w:r w:rsidRPr="007E650E">
          <w:rPr>
            <w:rFonts w:ascii="Calibri" w:eastAsia="Calibri" w:hAnsi="Calibri" w:cs="Calibri"/>
            <w:bCs/>
            <w:color w:val="0070C0"/>
            <w:sz w:val="24"/>
            <w:szCs w:val="24"/>
            <w:u w:val="single"/>
            <w:lang w:val="en"/>
          </w:rPr>
          <w:t>CWA</w:t>
        </w:r>
      </w:hyperlink>
      <w:r w:rsidRPr="007E650E">
        <w:rPr>
          <w:rFonts w:ascii="Calibri" w:eastAsia="Calibri" w:hAnsi="Calibri" w:cs="Calibri"/>
          <w:bCs/>
          <w:sz w:val="24"/>
          <w:szCs w:val="24"/>
          <w:lang w:val="en"/>
        </w:rPr>
        <w:t>)</w:t>
      </w:r>
    </w:p>
    <w:p w14:paraId="6E301C61" w14:textId="5C937710" w:rsidR="008544AA" w:rsidRPr="007E650E" w:rsidRDefault="008544AA" w:rsidP="01476CFA">
      <w:pPr>
        <w:spacing w:after="0" w:line="240" w:lineRule="auto"/>
        <w:rPr>
          <w:rFonts w:ascii="Calibri" w:eastAsia="Calibri" w:hAnsi="Calibri" w:cs="Calibri"/>
          <w:sz w:val="24"/>
          <w:szCs w:val="24"/>
        </w:rPr>
      </w:pPr>
      <w:r w:rsidRPr="007E650E">
        <w:rPr>
          <w:rFonts w:ascii="Calibri" w:eastAsia="Calibri" w:hAnsi="Calibri" w:cs="Calibri"/>
          <w:sz w:val="24"/>
          <w:szCs w:val="24"/>
        </w:rPr>
        <w:t>CWA is a non-profit membership organization that develops public policy strategies and builds local capacity to address critical workforce issues while collaborating with workforce development partners in California</w:t>
      </w:r>
      <w:r w:rsidR="00943164" w:rsidRPr="007E650E">
        <w:rPr>
          <w:rFonts w:ascii="Calibri" w:eastAsia="Calibri" w:hAnsi="Calibri" w:cs="Calibri"/>
          <w:sz w:val="24"/>
          <w:szCs w:val="24"/>
        </w:rPr>
        <w:t>.</w:t>
      </w:r>
    </w:p>
    <w:p w14:paraId="377054D5" w14:textId="77777777" w:rsidR="00F470F1" w:rsidRPr="007E650E" w:rsidRDefault="00F470F1" w:rsidP="00F470F1">
      <w:pPr>
        <w:spacing w:after="0" w:line="240" w:lineRule="auto"/>
        <w:rPr>
          <w:rFonts w:ascii="Calibri" w:eastAsia="Calibri" w:hAnsi="Calibri" w:cs="Calibri"/>
          <w:b/>
          <w:sz w:val="24"/>
          <w:szCs w:val="24"/>
          <w:lang w:val="en"/>
        </w:rPr>
      </w:pPr>
    </w:p>
    <w:p w14:paraId="46BDB73D" w14:textId="6650739E"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California Workforce Development Board </w:t>
      </w:r>
      <w:r w:rsidRPr="007E650E">
        <w:rPr>
          <w:rFonts w:ascii="Calibri" w:eastAsia="Calibri" w:hAnsi="Calibri" w:cs="Calibri"/>
          <w:bCs/>
          <w:sz w:val="24"/>
          <w:szCs w:val="24"/>
          <w:lang w:val="en"/>
        </w:rPr>
        <w:t>(</w:t>
      </w:r>
      <w:hyperlink r:id="rId59" w:history="1">
        <w:r w:rsidRPr="007E650E">
          <w:rPr>
            <w:rFonts w:ascii="Calibri" w:eastAsia="Calibri" w:hAnsi="Calibri" w:cs="Calibri"/>
            <w:bCs/>
            <w:color w:val="0070C0"/>
            <w:sz w:val="24"/>
            <w:szCs w:val="24"/>
            <w:u w:val="single"/>
            <w:lang w:val="en"/>
          </w:rPr>
          <w:t>CWDB</w:t>
        </w:r>
      </w:hyperlink>
      <w:r w:rsidRPr="007E650E">
        <w:rPr>
          <w:rFonts w:ascii="Calibri" w:eastAsia="Calibri" w:hAnsi="Calibri" w:cs="Calibri"/>
          <w:bCs/>
          <w:sz w:val="24"/>
          <w:szCs w:val="24"/>
          <w:lang w:val="en"/>
        </w:rPr>
        <w:t>)</w:t>
      </w:r>
    </w:p>
    <w:p w14:paraId="5AA83CD7" w14:textId="1803EBF8"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 xml:space="preserve">The CWDB establishes policy for and provides guidance </w:t>
      </w:r>
      <w:proofErr w:type="gramStart"/>
      <w:r w:rsidRPr="007E650E">
        <w:rPr>
          <w:rFonts w:ascii="Calibri" w:eastAsia="Calibri" w:hAnsi="Calibri" w:cs="Calibri"/>
          <w:sz w:val="24"/>
          <w:szCs w:val="24"/>
          <w:lang w:val="en"/>
        </w:rPr>
        <w:t>to,</w:t>
      </w:r>
      <w:proofErr w:type="gramEnd"/>
      <w:r w:rsidRPr="007E650E">
        <w:rPr>
          <w:rFonts w:ascii="Calibri" w:eastAsia="Calibri" w:hAnsi="Calibri" w:cs="Calibri"/>
          <w:sz w:val="24"/>
          <w:szCs w:val="24"/>
          <w:lang w:val="en"/>
        </w:rPr>
        <w:t xml:space="preserve"> Local Workforce Development Boards (Local Board), which provide services under </w:t>
      </w:r>
      <w:proofErr w:type="gramStart"/>
      <w:r w:rsidRPr="007E650E">
        <w:rPr>
          <w:rFonts w:ascii="Calibri" w:eastAsia="Calibri" w:hAnsi="Calibri" w:cs="Calibri"/>
          <w:sz w:val="24"/>
          <w:szCs w:val="24"/>
          <w:lang w:val="en"/>
        </w:rPr>
        <w:t>the WIOA</w:t>
      </w:r>
      <w:proofErr w:type="gramEnd"/>
      <w:r w:rsidRPr="007E650E">
        <w:rPr>
          <w:rFonts w:ascii="Calibri" w:eastAsia="Calibri" w:hAnsi="Calibri" w:cs="Calibri"/>
          <w:sz w:val="24"/>
          <w:szCs w:val="24"/>
          <w:lang w:val="en"/>
        </w:rPr>
        <w:t>.</w:t>
      </w:r>
    </w:p>
    <w:p w14:paraId="3A801BCB" w14:textId="77777777" w:rsidR="00F470F1" w:rsidRPr="007E650E" w:rsidRDefault="00F470F1" w:rsidP="00F470F1">
      <w:pPr>
        <w:spacing w:after="0" w:line="240" w:lineRule="auto"/>
        <w:rPr>
          <w:rFonts w:ascii="Calibri" w:eastAsia="Calibri" w:hAnsi="Calibri" w:cs="Calibri"/>
          <w:b/>
          <w:sz w:val="24"/>
          <w:szCs w:val="24"/>
          <w:lang w:val="en"/>
        </w:rPr>
      </w:pPr>
    </w:p>
    <w:p w14:paraId="0332FDB8" w14:textId="45D293E2"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Disability Benefits 101</w:t>
      </w:r>
      <w:r w:rsidRPr="007E650E">
        <w:rPr>
          <w:rFonts w:ascii="Calibri" w:eastAsia="Calibri" w:hAnsi="Calibri" w:cs="Calibri"/>
          <w:sz w:val="24"/>
          <w:szCs w:val="24"/>
          <w:lang w:val="en"/>
        </w:rPr>
        <w:t xml:space="preserve"> </w:t>
      </w:r>
      <w:r w:rsidRPr="007E650E">
        <w:rPr>
          <w:rFonts w:ascii="Calibri" w:eastAsia="Calibri" w:hAnsi="Calibri" w:cs="Calibri"/>
          <w:bCs/>
          <w:sz w:val="24"/>
          <w:szCs w:val="24"/>
          <w:lang w:val="en"/>
        </w:rPr>
        <w:t>(</w:t>
      </w:r>
      <w:hyperlink r:id="rId60" w:history="1">
        <w:r w:rsidRPr="007E650E">
          <w:rPr>
            <w:rFonts w:ascii="Calibri" w:eastAsia="Calibri" w:hAnsi="Calibri" w:cs="Calibri"/>
            <w:bCs/>
            <w:color w:val="0070C0"/>
            <w:sz w:val="24"/>
            <w:szCs w:val="24"/>
            <w:u w:val="single"/>
            <w:lang w:val="en"/>
          </w:rPr>
          <w:t>DB 101</w:t>
        </w:r>
      </w:hyperlink>
      <w:r w:rsidRPr="007E650E">
        <w:rPr>
          <w:rFonts w:ascii="Calibri" w:eastAsia="Calibri" w:hAnsi="Calibri" w:cs="Calibri"/>
          <w:bCs/>
          <w:sz w:val="24"/>
          <w:szCs w:val="24"/>
          <w:lang w:val="en"/>
        </w:rPr>
        <w:t>)</w:t>
      </w:r>
    </w:p>
    <w:p w14:paraId="5CCDDB86" w14:textId="3FCB3AF5"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Gives tools and information on health coverage, benefits, and employment.</w:t>
      </w:r>
    </w:p>
    <w:p w14:paraId="4447BE5A" w14:textId="77777777" w:rsidR="00F470F1" w:rsidRPr="007E650E" w:rsidRDefault="00F470F1" w:rsidP="00F470F1">
      <w:pPr>
        <w:spacing w:after="0" w:line="240" w:lineRule="auto"/>
        <w:rPr>
          <w:rFonts w:ascii="Calibri" w:eastAsia="Calibri" w:hAnsi="Calibri" w:cs="Calibri"/>
          <w:b/>
          <w:sz w:val="24"/>
          <w:szCs w:val="24"/>
          <w:lang w:val="en"/>
        </w:rPr>
      </w:pPr>
    </w:p>
    <w:p w14:paraId="606B8E4D" w14:textId="70ECB77A"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Final Rule </w:t>
      </w:r>
      <w:r w:rsidRPr="007E650E">
        <w:rPr>
          <w:rFonts w:ascii="Calibri" w:eastAsia="Calibri" w:hAnsi="Calibri" w:cs="Calibri"/>
          <w:bCs/>
          <w:sz w:val="24"/>
          <w:szCs w:val="24"/>
          <w:lang w:val="en"/>
        </w:rPr>
        <w:t>(</w:t>
      </w:r>
      <w:hyperlink r:id="rId61" w:history="1">
        <w:r w:rsidRPr="007E650E">
          <w:rPr>
            <w:rFonts w:ascii="Calibri" w:eastAsia="Calibri" w:hAnsi="Calibri" w:cs="Calibri"/>
            <w:bCs/>
            <w:color w:val="0070C0"/>
            <w:sz w:val="24"/>
            <w:szCs w:val="24"/>
            <w:u w:val="single"/>
            <w:lang w:val="en"/>
          </w:rPr>
          <w:t>Uniform Guidance</w:t>
        </w:r>
      </w:hyperlink>
      <w:r w:rsidRPr="007E650E">
        <w:rPr>
          <w:rFonts w:ascii="Calibri" w:eastAsia="Calibri" w:hAnsi="Calibri" w:cs="Calibri"/>
          <w:bCs/>
          <w:sz w:val="24"/>
          <w:szCs w:val="24"/>
          <w:lang w:val="en"/>
        </w:rPr>
        <w:t>)</w:t>
      </w:r>
    </w:p>
    <w:p w14:paraId="22BCF2CF" w14:textId="21AD5E5A"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 xml:space="preserve">Uniform Guidance applies to all </w:t>
      </w:r>
      <w:r w:rsidR="00A544A1" w:rsidRPr="007E650E">
        <w:rPr>
          <w:rFonts w:ascii="Calibri" w:eastAsia="Calibri" w:hAnsi="Calibri" w:cs="Calibri"/>
          <w:sz w:val="24"/>
          <w:szCs w:val="24"/>
          <w:lang w:val="en"/>
        </w:rPr>
        <w:t>f</w:t>
      </w:r>
      <w:r w:rsidRPr="007E650E">
        <w:rPr>
          <w:rFonts w:ascii="Calibri" w:eastAsia="Calibri" w:hAnsi="Calibri" w:cs="Calibri"/>
          <w:sz w:val="24"/>
          <w:szCs w:val="24"/>
          <w:lang w:val="en"/>
        </w:rPr>
        <w:t>ederal awards, including funds awarded under this SFP.</w:t>
      </w:r>
    </w:p>
    <w:p w14:paraId="24D1357F" w14:textId="77777777" w:rsidR="00F470F1" w:rsidRPr="007E650E" w:rsidRDefault="00F470F1" w:rsidP="00F470F1">
      <w:pPr>
        <w:spacing w:after="0" w:line="240" w:lineRule="auto"/>
        <w:rPr>
          <w:rFonts w:ascii="Calibri" w:eastAsia="Calibri" w:hAnsi="Calibri" w:cs="Calibri"/>
          <w:b/>
          <w:sz w:val="24"/>
          <w:szCs w:val="24"/>
          <w:lang w:val="en"/>
        </w:rPr>
      </w:pPr>
    </w:p>
    <w:p w14:paraId="45BBC49E" w14:textId="0D197604"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EDD Labor Market Information </w:t>
      </w:r>
      <w:r w:rsidRPr="007E650E">
        <w:rPr>
          <w:rFonts w:ascii="Calibri" w:eastAsia="Arial" w:hAnsi="Calibri" w:cs="Calibri"/>
          <w:b/>
          <w:sz w:val="24"/>
          <w:szCs w:val="24"/>
          <w:lang w:val="en"/>
        </w:rPr>
        <w:t>Division</w:t>
      </w:r>
      <w:r w:rsidRPr="007E650E">
        <w:rPr>
          <w:rFonts w:ascii="Calibri" w:eastAsia="Calibri" w:hAnsi="Calibri" w:cs="Calibri"/>
          <w:bCs/>
          <w:sz w:val="24"/>
          <w:szCs w:val="24"/>
          <w:lang w:val="en"/>
        </w:rPr>
        <w:t xml:space="preserve"> (</w:t>
      </w:r>
      <w:hyperlink r:id="rId62" w:history="1">
        <w:r w:rsidRPr="007E650E">
          <w:rPr>
            <w:rFonts w:ascii="Calibri" w:eastAsia="Calibri" w:hAnsi="Calibri" w:cs="Calibri"/>
            <w:bCs/>
            <w:color w:val="0070C0"/>
            <w:sz w:val="24"/>
            <w:szCs w:val="24"/>
            <w:u w:val="single"/>
            <w:lang w:val="en"/>
          </w:rPr>
          <w:t>LMID</w:t>
        </w:r>
      </w:hyperlink>
      <w:r w:rsidRPr="007E650E">
        <w:rPr>
          <w:rFonts w:ascii="Calibri" w:eastAsia="Calibri" w:hAnsi="Calibri" w:cs="Calibri"/>
          <w:bCs/>
          <w:sz w:val="24"/>
          <w:szCs w:val="24"/>
          <w:lang w:val="en"/>
        </w:rPr>
        <w:t>)</w:t>
      </w:r>
    </w:p>
    <w:p w14:paraId="7FED602C" w14:textId="35A837C5"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Find labor market information to research and write the proposal.</w:t>
      </w:r>
    </w:p>
    <w:p w14:paraId="3BB825AC" w14:textId="77777777" w:rsidR="00F470F1" w:rsidRPr="007E650E" w:rsidRDefault="00F470F1" w:rsidP="00F470F1">
      <w:pPr>
        <w:spacing w:after="0" w:line="240" w:lineRule="auto"/>
        <w:rPr>
          <w:rFonts w:ascii="Calibri" w:eastAsia="Calibri" w:hAnsi="Calibri" w:cs="Calibri"/>
          <w:b/>
          <w:sz w:val="24"/>
          <w:szCs w:val="24"/>
          <w:lang w:val="en"/>
        </w:rPr>
      </w:pPr>
    </w:p>
    <w:p w14:paraId="508F7CD5" w14:textId="57FA6316"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Local Workforce Development Areas </w:t>
      </w:r>
      <w:r w:rsidRPr="007E650E">
        <w:rPr>
          <w:rFonts w:ascii="Calibri" w:eastAsia="Calibri" w:hAnsi="Calibri" w:cs="Calibri"/>
          <w:bCs/>
          <w:sz w:val="24"/>
          <w:szCs w:val="24"/>
          <w:lang w:val="en"/>
        </w:rPr>
        <w:t>(</w:t>
      </w:r>
      <w:hyperlink r:id="rId63" w:history="1">
        <w:r w:rsidRPr="007E650E">
          <w:rPr>
            <w:rFonts w:ascii="Calibri" w:eastAsia="Calibri" w:hAnsi="Calibri" w:cs="Calibri"/>
            <w:bCs/>
            <w:color w:val="0070C0"/>
            <w:sz w:val="24"/>
            <w:szCs w:val="24"/>
            <w:u w:val="single"/>
            <w:lang w:val="en"/>
          </w:rPr>
          <w:t>Local Area</w:t>
        </w:r>
      </w:hyperlink>
      <w:r w:rsidRPr="007E650E">
        <w:rPr>
          <w:rFonts w:ascii="Calibri" w:eastAsia="Calibri" w:hAnsi="Calibri" w:cs="Calibri"/>
          <w:bCs/>
          <w:sz w:val="24"/>
          <w:szCs w:val="24"/>
          <w:lang w:val="en"/>
        </w:rPr>
        <w:t>)</w:t>
      </w:r>
    </w:p>
    <w:p w14:paraId="5315DFA7" w14:textId="4D911ECE"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A listing of Local Areas with addresses and contact information.</w:t>
      </w:r>
    </w:p>
    <w:p w14:paraId="62BF56BD" w14:textId="77777777" w:rsidR="00F470F1" w:rsidRPr="007E650E" w:rsidRDefault="00F470F1" w:rsidP="00F470F1">
      <w:pPr>
        <w:spacing w:after="0" w:line="240" w:lineRule="auto"/>
        <w:rPr>
          <w:rFonts w:ascii="Calibri" w:eastAsia="Calibri" w:hAnsi="Calibri" w:cs="Calibri"/>
          <w:b/>
          <w:sz w:val="24"/>
          <w:szCs w:val="24"/>
          <w:lang w:val="en"/>
        </w:rPr>
      </w:pPr>
    </w:p>
    <w:p w14:paraId="0931EB01" w14:textId="31AA0645"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Office of Management and Budget </w:t>
      </w:r>
      <w:r w:rsidRPr="007E650E">
        <w:rPr>
          <w:rFonts w:ascii="Calibri" w:eastAsia="Calibri" w:hAnsi="Calibri" w:cs="Calibri"/>
          <w:bCs/>
          <w:sz w:val="24"/>
          <w:szCs w:val="24"/>
          <w:lang w:val="en"/>
        </w:rPr>
        <w:t>(</w:t>
      </w:r>
      <w:hyperlink r:id="rId64" w:anchor="page" w:history="1">
        <w:r w:rsidRPr="007E650E">
          <w:rPr>
            <w:rFonts w:ascii="Calibri" w:eastAsia="Calibri" w:hAnsi="Calibri" w:cs="Calibri"/>
            <w:bCs/>
            <w:color w:val="0070C0"/>
            <w:sz w:val="24"/>
            <w:szCs w:val="24"/>
            <w:u w:val="single"/>
            <w:lang w:val="en"/>
          </w:rPr>
          <w:t>OMB</w:t>
        </w:r>
      </w:hyperlink>
      <w:r w:rsidRPr="007E650E">
        <w:rPr>
          <w:rFonts w:ascii="Calibri" w:eastAsia="Calibri" w:hAnsi="Calibri" w:cs="Calibri"/>
          <w:bCs/>
          <w:sz w:val="24"/>
          <w:szCs w:val="24"/>
          <w:lang w:val="en"/>
        </w:rPr>
        <w:t>)</w:t>
      </w:r>
    </w:p>
    <w:p w14:paraId="3E768503" w14:textId="281C3A96" w:rsidR="008544AA" w:rsidRPr="007E650E" w:rsidRDefault="008544AA" w:rsidP="01476CFA">
      <w:pPr>
        <w:spacing w:after="0" w:line="240" w:lineRule="auto"/>
        <w:rPr>
          <w:rFonts w:ascii="Calibri" w:eastAsia="Calibri" w:hAnsi="Calibri" w:cs="Calibri"/>
          <w:sz w:val="24"/>
          <w:szCs w:val="24"/>
        </w:rPr>
      </w:pPr>
      <w:r w:rsidRPr="007E650E">
        <w:rPr>
          <w:rFonts w:ascii="Calibri" w:eastAsia="Calibri" w:hAnsi="Calibri" w:cs="Calibri"/>
          <w:sz w:val="24"/>
          <w:szCs w:val="24"/>
          <w:lang w:val="en"/>
        </w:rPr>
        <w:t xml:space="preserve">The OMB oversees and coordinates </w:t>
      </w:r>
      <w:proofErr w:type="spellStart"/>
      <w:r w:rsidRPr="007E650E">
        <w:rPr>
          <w:rFonts w:ascii="Calibri" w:eastAsia="Calibri" w:hAnsi="Calibri" w:cs="Calibri"/>
          <w:sz w:val="24"/>
          <w:szCs w:val="24"/>
          <w:lang w:val="en"/>
        </w:rPr>
        <w:t>ederal</w:t>
      </w:r>
      <w:proofErr w:type="spellEnd"/>
      <w:r w:rsidRPr="007E650E">
        <w:rPr>
          <w:rFonts w:ascii="Calibri" w:eastAsia="Calibri" w:hAnsi="Calibri" w:cs="Calibri"/>
          <w:sz w:val="24"/>
          <w:szCs w:val="24"/>
          <w:lang w:val="en"/>
        </w:rPr>
        <w:t xml:space="preserve"> administration procurement, financial management, information, and regulatory policies.</w:t>
      </w:r>
    </w:p>
    <w:p w14:paraId="2C7266AA" w14:textId="77777777" w:rsidR="00F470F1" w:rsidRPr="007E650E" w:rsidRDefault="00F470F1" w:rsidP="00F470F1">
      <w:pPr>
        <w:spacing w:after="0" w:line="240" w:lineRule="auto"/>
        <w:rPr>
          <w:rFonts w:ascii="Calibri" w:eastAsia="Calibri" w:hAnsi="Calibri" w:cs="Calibri"/>
          <w:b/>
          <w:sz w:val="24"/>
          <w:szCs w:val="24"/>
          <w:lang w:val="en"/>
        </w:rPr>
      </w:pPr>
    </w:p>
    <w:p w14:paraId="63D9916A" w14:textId="04CFA17A"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Resources for Grant Subrecipients </w:t>
      </w:r>
      <w:r w:rsidRPr="007E650E">
        <w:rPr>
          <w:rFonts w:ascii="Calibri" w:eastAsia="Calibri" w:hAnsi="Calibri" w:cs="Calibri"/>
          <w:bCs/>
          <w:sz w:val="24"/>
          <w:szCs w:val="24"/>
          <w:lang w:val="en"/>
        </w:rPr>
        <w:t>(</w:t>
      </w:r>
      <w:hyperlink r:id="rId65" w:history="1">
        <w:r w:rsidRPr="007E650E">
          <w:rPr>
            <w:rFonts w:ascii="Calibri" w:eastAsia="Calibri" w:hAnsi="Calibri" w:cs="Calibri"/>
            <w:bCs/>
            <w:color w:val="0070C0"/>
            <w:sz w:val="24"/>
            <w:szCs w:val="24"/>
            <w:u w:val="single"/>
            <w:lang w:val="en"/>
          </w:rPr>
          <w:t>EDD Resources</w:t>
        </w:r>
      </w:hyperlink>
      <w:r w:rsidRPr="007E650E">
        <w:rPr>
          <w:rFonts w:ascii="Calibri" w:eastAsia="Calibri" w:hAnsi="Calibri" w:cs="Calibri"/>
          <w:bCs/>
          <w:sz w:val="24"/>
          <w:szCs w:val="24"/>
          <w:lang w:val="en"/>
        </w:rPr>
        <w:t>)</w:t>
      </w:r>
    </w:p>
    <w:p w14:paraId="1B660AAD" w14:textId="2A05B73A" w:rsidR="00F470F1" w:rsidRPr="007E650E" w:rsidRDefault="008544AA" w:rsidP="00F470F1">
      <w:pPr>
        <w:spacing w:after="0" w:line="240" w:lineRule="auto"/>
        <w:rPr>
          <w:rFonts w:ascii="Calibri" w:eastAsia="Calibri" w:hAnsi="Calibri" w:cs="Calibri"/>
          <w:sz w:val="24"/>
          <w:szCs w:val="24"/>
        </w:rPr>
      </w:pPr>
      <w:r w:rsidRPr="007E650E">
        <w:rPr>
          <w:rFonts w:ascii="Calibri" w:eastAsia="Calibri" w:hAnsi="Calibri" w:cs="Calibri"/>
          <w:sz w:val="24"/>
          <w:szCs w:val="24"/>
        </w:rPr>
        <w:t xml:space="preserve">An EDD website featuring </w:t>
      </w:r>
      <w:r w:rsidR="000D5ACF">
        <w:rPr>
          <w:rFonts w:ascii="Calibri" w:eastAsia="Calibri" w:hAnsi="Calibri" w:cs="Calibri"/>
          <w:sz w:val="24"/>
          <w:szCs w:val="24"/>
        </w:rPr>
        <w:t>"</w:t>
      </w:r>
      <w:r w:rsidRPr="007E650E">
        <w:rPr>
          <w:rFonts w:ascii="Calibri" w:eastAsia="Calibri" w:hAnsi="Calibri" w:cs="Calibri"/>
          <w:sz w:val="24"/>
          <w:szCs w:val="24"/>
        </w:rPr>
        <w:t>Frequently Asked Questions,</w:t>
      </w:r>
      <w:r w:rsidR="000D5ACF">
        <w:rPr>
          <w:rFonts w:ascii="Calibri" w:eastAsia="Calibri" w:hAnsi="Calibri" w:cs="Calibri"/>
          <w:sz w:val="24"/>
          <w:szCs w:val="24"/>
        </w:rPr>
        <w:t>"</w:t>
      </w:r>
      <w:r w:rsidRPr="007E650E">
        <w:rPr>
          <w:rFonts w:ascii="Calibri" w:eastAsia="Calibri" w:hAnsi="Calibri" w:cs="Calibri"/>
          <w:sz w:val="24"/>
          <w:szCs w:val="24"/>
        </w:rPr>
        <w:t xml:space="preserve"> project management resources, guidance, webinar materials and other important information for applicants and subrecipients.</w:t>
      </w:r>
    </w:p>
    <w:p w14:paraId="7930EF62" w14:textId="29BEE50E" w:rsidR="008544AA" w:rsidRPr="007E650E" w:rsidRDefault="008544AA" w:rsidP="00F470F1">
      <w:pPr>
        <w:spacing w:after="0" w:line="240" w:lineRule="auto"/>
        <w:rPr>
          <w:rFonts w:ascii="Calibri" w:eastAsia="Arial" w:hAnsi="Calibri" w:cs="Calibri"/>
          <w:sz w:val="24"/>
          <w:szCs w:val="24"/>
          <w:lang w:val="en"/>
        </w:rPr>
      </w:pPr>
      <w:r w:rsidRPr="007E650E">
        <w:rPr>
          <w:rFonts w:ascii="Calibri" w:eastAsia="Calibri" w:hAnsi="Calibri" w:cs="Calibri"/>
          <w:b/>
          <w:sz w:val="24"/>
          <w:szCs w:val="24"/>
          <w:lang w:val="en"/>
        </w:rPr>
        <w:lastRenderedPageBreak/>
        <w:t xml:space="preserve">United States Census Bureau </w:t>
      </w:r>
      <w:r w:rsidRPr="007E650E">
        <w:rPr>
          <w:rFonts w:ascii="Calibri" w:eastAsia="Calibri" w:hAnsi="Calibri" w:cs="Calibri"/>
          <w:bCs/>
          <w:sz w:val="24"/>
          <w:szCs w:val="24"/>
          <w:lang w:val="en"/>
        </w:rPr>
        <w:t>(</w:t>
      </w:r>
      <w:hyperlink r:id="rId66" w:history="1">
        <w:r w:rsidRPr="007E650E">
          <w:rPr>
            <w:rFonts w:ascii="Calibri" w:eastAsia="Calibri" w:hAnsi="Calibri" w:cs="Calibri"/>
            <w:bCs/>
            <w:color w:val="0070C0"/>
            <w:sz w:val="24"/>
            <w:szCs w:val="24"/>
            <w:u w:val="single"/>
            <w:lang w:val="en"/>
          </w:rPr>
          <w:t>Census Bureau</w:t>
        </w:r>
      </w:hyperlink>
      <w:r w:rsidRPr="007E650E">
        <w:rPr>
          <w:rFonts w:ascii="Calibri" w:eastAsia="Calibri" w:hAnsi="Calibri" w:cs="Calibri"/>
          <w:bCs/>
          <w:sz w:val="24"/>
          <w:szCs w:val="24"/>
          <w:lang w:val="en"/>
        </w:rPr>
        <w:t>)</w:t>
      </w:r>
    </w:p>
    <w:p w14:paraId="28DF2CEA" w14:textId="1BC0CF56"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Serves as the leading source of quality data about people, business, and economy.</w:t>
      </w:r>
    </w:p>
    <w:p w14:paraId="75B1D29B" w14:textId="77777777" w:rsidR="00F470F1" w:rsidRPr="007E650E" w:rsidRDefault="00F470F1" w:rsidP="00F470F1">
      <w:pPr>
        <w:spacing w:after="0" w:line="240" w:lineRule="auto"/>
        <w:rPr>
          <w:rFonts w:ascii="Calibri" w:eastAsia="Calibri" w:hAnsi="Calibri" w:cs="Calibri"/>
          <w:b/>
          <w:sz w:val="24"/>
          <w:szCs w:val="24"/>
          <w:lang w:val="en"/>
        </w:rPr>
      </w:pPr>
    </w:p>
    <w:p w14:paraId="14CAC475" w14:textId="3A449FC3"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U.S. Small Business Administration</w:t>
      </w:r>
      <w:r w:rsidRPr="007E650E">
        <w:rPr>
          <w:rFonts w:ascii="Calibri" w:eastAsia="Calibri" w:hAnsi="Calibri" w:cs="Calibri"/>
          <w:bCs/>
          <w:sz w:val="24"/>
          <w:szCs w:val="24"/>
          <w:lang w:val="en"/>
        </w:rPr>
        <w:t xml:space="preserve"> (</w:t>
      </w:r>
      <w:hyperlink r:id="rId67" w:history="1">
        <w:r w:rsidRPr="007E650E">
          <w:rPr>
            <w:rFonts w:ascii="Calibri" w:eastAsia="Calibri" w:hAnsi="Calibri" w:cs="Calibri"/>
            <w:bCs/>
            <w:color w:val="0070C0"/>
            <w:sz w:val="24"/>
            <w:szCs w:val="24"/>
            <w:u w:val="single"/>
            <w:lang w:val="en"/>
          </w:rPr>
          <w:t>SBA</w:t>
        </w:r>
      </w:hyperlink>
      <w:r w:rsidRPr="007E650E">
        <w:rPr>
          <w:rFonts w:ascii="Calibri" w:eastAsia="Calibri" w:hAnsi="Calibri" w:cs="Calibri"/>
          <w:bCs/>
          <w:sz w:val="24"/>
          <w:szCs w:val="24"/>
          <w:lang w:val="en"/>
        </w:rPr>
        <w:t>)</w:t>
      </w:r>
    </w:p>
    <w:p w14:paraId="36392670" w14:textId="706EE280"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Guidance and resource information to owners and operators of small businesses.</w:t>
      </w:r>
    </w:p>
    <w:p w14:paraId="4B6BBD14" w14:textId="77777777" w:rsidR="00F470F1" w:rsidRPr="007E650E" w:rsidRDefault="00F470F1" w:rsidP="00F470F1">
      <w:pPr>
        <w:spacing w:after="0" w:line="240" w:lineRule="auto"/>
        <w:rPr>
          <w:rFonts w:ascii="Calibri" w:eastAsia="Calibri" w:hAnsi="Calibri" w:cs="Calibri"/>
          <w:b/>
          <w:sz w:val="24"/>
          <w:szCs w:val="24"/>
          <w:lang w:val="en"/>
        </w:rPr>
      </w:pPr>
    </w:p>
    <w:p w14:paraId="498478C5" w14:textId="5A60B77B"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U.S. Chamber of Commerce – Institute for Competitive Workforce </w:t>
      </w:r>
      <w:r w:rsidRPr="007E650E">
        <w:rPr>
          <w:rFonts w:ascii="Calibri" w:eastAsia="Calibri" w:hAnsi="Calibri" w:cs="Calibri"/>
          <w:bCs/>
          <w:sz w:val="24"/>
          <w:szCs w:val="24"/>
          <w:lang w:val="en"/>
        </w:rPr>
        <w:t>(</w:t>
      </w:r>
      <w:hyperlink r:id="rId68" w:history="1">
        <w:r w:rsidRPr="007E650E">
          <w:rPr>
            <w:rFonts w:ascii="Calibri" w:eastAsia="Calibri" w:hAnsi="Calibri" w:cs="Calibri"/>
            <w:bCs/>
            <w:color w:val="0070C0"/>
            <w:sz w:val="24"/>
            <w:szCs w:val="24"/>
            <w:u w:val="single"/>
            <w:lang w:val="en"/>
          </w:rPr>
          <w:t>ICW</w:t>
        </w:r>
      </w:hyperlink>
      <w:r w:rsidRPr="007E650E">
        <w:rPr>
          <w:rFonts w:ascii="Calibri" w:eastAsia="Calibri" w:hAnsi="Calibri" w:cs="Calibri"/>
          <w:bCs/>
          <w:sz w:val="24"/>
          <w:szCs w:val="24"/>
          <w:lang w:val="en"/>
        </w:rPr>
        <w:t>)</w:t>
      </w:r>
    </w:p>
    <w:p w14:paraId="4FDF11D8" w14:textId="0DA2E963" w:rsidR="008544AA" w:rsidRPr="007E650E" w:rsidRDefault="008544AA" w:rsidP="01476CFA">
      <w:pPr>
        <w:spacing w:after="0" w:line="240" w:lineRule="auto"/>
        <w:rPr>
          <w:rFonts w:ascii="Calibri" w:eastAsia="Calibri" w:hAnsi="Calibri" w:cs="Calibri"/>
          <w:sz w:val="24"/>
          <w:szCs w:val="24"/>
        </w:rPr>
      </w:pPr>
      <w:r w:rsidRPr="007E650E">
        <w:rPr>
          <w:rFonts w:ascii="Calibri" w:eastAsia="Calibri" w:hAnsi="Calibri" w:cs="Calibri"/>
          <w:sz w:val="24"/>
          <w:szCs w:val="24"/>
        </w:rPr>
        <w:t>Develops workforce strategies for businesses, chambers of commerce, and communities to hire, train, retain, and advance skilled workers in the 21st century.</w:t>
      </w:r>
    </w:p>
    <w:p w14:paraId="1690DBFE" w14:textId="77777777" w:rsidR="00F470F1" w:rsidRPr="007E650E" w:rsidRDefault="00F470F1" w:rsidP="00F470F1">
      <w:pPr>
        <w:spacing w:after="0" w:line="240" w:lineRule="auto"/>
        <w:rPr>
          <w:rFonts w:ascii="Calibri" w:eastAsia="Calibri" w:hAnsi="Calibri" w:cs="Calibri"/>
          <w:b/>
          <w:sz w:val="24"/>
          <w:szCs w:val="24"/>
          <w:lang w:val="en"/>
        </w:rPr>
      </w:pPr>
    </w:p>
    <w:p w14:paraId="3BBC5C9E" w14:textId="537A5161"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U.S. Department of Labor Employment and Training Administration </w:t>
      </w:r>
      <w:r w:rsidRPr="007E650E">
        <w:rPr>
          <w:rFonts w:ascii="Calibri" w:eastAsia="Calibri" w:hAnsi="Calibri" w:cs="Calibri"/>
          <w:bCs/>
          <w:sz w:val="24"/>
          <w:szCs w:val="24"/>
          <w:lang w:val="en"/>
        </w:rPr>
        <w:t>(</w:t>
      </w:r>
      <w:hyperlink r:id="rId69" w:history="1">
        <w:r w:rsidRPr="007E650E">
          <w:rPr>
            <w:rFonts w:ascii="Calibri" w:eastAsia="Calibri" w:hAnsi="Calibri" w:cs="Calibri"/>
            <w:bCs/>
            <w:color w:val="0070C0"/>
            <w:sz w:val="24"/>
            <w:szCs w:val="24"/>
            <w:u w:val="single"/>
            <w:lang w:val="en"/>
          </w:rPr>
          <w:t>DOLETA</w:t>
        </w:r>
      </w:hyperlink>
      <w:r w:rsidRPr="007E650E">
        <w:rPr>
          <w:rFonts w:ascii="Calibri" w:eastAsia="Calibri" w:hAnsi="Calibri" w:cs="Calibri"/>
          <w:bCs/>
          <w:sz w:val="24"/>
          <w:szCs w:val="24"/>
          <w:lang w:val="en"/>
        </w:rPr>
        <w:t>)</w:t>
      </w:r>
    </w:p>
    <w:p w14:paraId="7C946F95" w14:textId="17FAFA74"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The U.S. DOLETA is the federal agent for the WIOA program.</w:t>
      </w:r>
    </w:p>
    <w:p w14:paraId="33553ADC" w14:textId="77777777" w:rsidR="00F470F1" w:rsidRPr="007E650E" w:rsidRDefault="00F470F1" w:rsidP="00F470F1">
      <w:pPr>
        <w:spacing w:after="0" w:line="240" w:lineRule="auto"/>
        <w:rPr>
          <w:rFonts w:ascii="Calibri" w:eastAsia="Calibri" w:hAnsi="Calibri" w:cs="Calibri"/>
          <w:b/>
          <w:sz w:val="24"/>
          <w:szCs w:val="24"/>
          <w:lang w:val="en"/>
        </w:rPr>
      </w:pPr>
    </w:p>
    <w:p w14:paraId="6589969F" w14:textId="40C3D1D2"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Workforce Development Solicitation for Proposals </w:t>
      </w:r>
      <w:r w:rsidRPr="007E650E">
        <w:rPr>
          <w:rFonts w:ascii="Calibri" w:eastAsia="Calibri" w:hAnsi="Calibri" w:cs="Calibri"/>
          <w:bCs/>
          <w:sz w:val="24"/>
          <w:szCs w:val="24"/>
          <w:lang w:val="en"/>
        </w:rPr>
        <w:t>(</w:t>
      </w:r>
      <w:hyperlink r:id="rId70" w:history="1">
        <w:r w:rsidRPr="007E650E">
          <w:rPr>
            <w:rFonts w:ascii="Calibri" w:eastAsia="Calibri" w:hAnsi="Calibri" w:cs="Calibri"/>
            <w:bCs/>
            <w:color w:val="0070C0"/>
            <w:sz w:val="24"/>
            <w:szCs w:val="24"/>
            <w:u w:val="single"/>
            <w:lang w:val="en"/>
          </w:rPr>
          <w:t>SFP</w:t>
        </w:r>
      </w:hyperlink>
      <w:r w:rsidRPr="007E650E">
        <w:rPr>
          <w:rFonts w:ascii="Calibri" w:eastAsia="Calibri" w:hAnsi="Calibri" w:cs="Calibri"/>
          <w:bCs/>
          <w:sz w:val="24"/>
          <w:szCs w:val="24"/>
          <w:lang w:val="en"/>
        </w:rPr>
        <w:t>)</w:t>
      </w:r>
    </w:p>
    <w:p w14:paraId="218771FF" w14:textId="60DAB28F"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WIOA-funded SFPs and related information can be accessed from the EDD</w:t>
      </w:r>
      <w:r w:rsidR="000D5ACF">
        <w:rPr>
          <w:rFonts w:ascii="Calibri" w:eastAsia="Calibri" w:hAnsi="Calibri" w:cs="Calibri"/>
          <w:sz w:val="24"/>
          <w:szCs w:val="24"/>
          <w:lang w:val="en"/>
        </w:rPr>
        <w:t>'</w:t>
      </w:r>
      <w:r w:rsidRPr="007E650E">
        <w:rPr>
          <w:rFonts w:ascii="Calibri" w:eastAsia="Calibri" w:hAnsi="Calibri" w:cs="Calibri"/>
          <w:sz w:val="24"/>
          <w:szCs w:val="24"/>
          <w:lang w:val="en"/>
        </w:rPr>
        <w:t>s SFP page.</w:t>
      </w:r>
    </w:p>
    <w:p w14:paraId="28B525B4" w14:textId="77777777" w:rsidR="00F470F1" w:rsidRPr="007E650E" w:rsidRDefault="00F470F1" w:rsidP="00F470F1">
      <w:pPr>
        <w:spacing w:after="0" w:line="240" w:lineRule="auto"/>
        <w:rPr>
          <w:rFonts w:ascii="Calibri" w:eastAsia="Calibri" w:hAnsi="Calibri" w:cs="Calibri"/>
          <w:b/>
          <w:sz w:val="24"/>
          <w:szCs w:val="24"/>
          <w:lang w:val="en"/>
        </w:rPr>
      </w:pPr>
    </w:p>
    <w:p w14:paraId="642D0B0B" w14:textId="6A12ECB4" w:rsidR="008544AA" w:rsidRPr="007E650E" w:rsidRDefault="008544AA" w:rsidP="01476CFA">
      <w:pPr>
        <w:spacing w:after="0" w:line="240" w:lineRule="auto"/>
        <w:rPr>
          <w:rFonts w:ascii="Calibri" w:eastAsia="Arial" w:hAnsi="Calibri" w:cs="Calibri"/>
          <w:sz w:val="24"/>
          <w:szCs w:val="24"/>
        </w:rPr>
      </w:pPr>
      <w:proofErr w:type="spellStart"/>
      <w:r w:rsidRPr="007E650E">
        <w:rPr>
          <w:rFonts w:ascii="Calibri" w:eastAsia="Calibri" w:hAnsi="Calibri" w:cs="Calibri"/>
          <w:b/>
          <w:bCs/>
          <w:sz w:val="24"/>
          <w:szCs w:val="24"/>
          <w:lang w:val="en"/>
        </w:rPr>
        <w:t>WorkforceGPS</w:t>
      </w:r>
      <w:proofErr w:type="spellEnd"/>
      <w:r w:rsidRPr="007E650E">
        <w:rPr>
          <w:rFonts w:ascii="Calibri" w:eastAsia="Calibri" w:hAnsi="Calibri" w:cs="Calibri"/>
          <w:color w:val="0000FF"/>
          <w:sz w:val="24"/>
          <w:szCs w:val="24"/>
          <w:lang w:val="en"/>
        </w:rPr>
        <w:t xml:space="preserve"> </w:t>
      </w:r>
      <w:r w:rsidRPr="007E650E">
        <w:rPr>
          <w:rFonts w:ascii="Calibri" w:eastAsia="Calibri" w:hAnsi="Calibri" w:cs="Calibri"/>
          <w:sz w:val="24"/>
          <w:szCs w:val="24"/>
          <w:lang w:val="en"/>
        </w:rPr>
        <w:t>(</w:t>
      </w:r>
      <w:proofErr w:type="spellStart"/>
      <w:r w:rsidRPr="007E650E">
        <w:rPr>
          <w:color w:val="0070C0"/>
          <w:u w:val="single"/>
        </w:rPr>
        <w:fldChar w:fldCharType="begin"/>
      </w:r>
      <w:r w:rsidRPr="007E650E">
        <w:rPr>
          <w:color w:val="0070C0"/>
          <w:u w:val="single"/>
        </w:rPr>
        <w:instrText>HYPERLINK "https://www.workforcegps.org/" \h</w:instrText>
      </w:r>
      <w:r w:rsidRPr="007E650E">
        <w:rPr>
          <w:color w:val="0070C0"/>
          <w:u w:val="single"/>
        </w:rPr>
      </w:r>
      <w:r w:rsidRPr="007E650E">
        <w:rPr>
          <w:color w:val="0070C0"/>
          <w:u w:val="single"/>
        </w:rPr>
        <w:fldChar w:fldCharType="separate"/>
      </w:r>
      <w:r w:rsidRPr="007E650E">
        <w:rPr>
          <w:rFonts w:ascii="Calibri" w:eastAsia="Calibri" w:hAnsi="Calibri" w:cs="Calibri"/>
          <w:color w:val="0070C0"/>
          <w:sz w:val="24"/>
          <w:szCs w:val="24"/>
          <w:u w:val="single"/>
          <w:lang w:val="en"/>
        </w:rPr>
        <w:t>WorkforceGPS</w:t>
      </w:r>
      <w:proofErr w:type="spellEnd"/>
      <w:r w:rsidRPr="007E650E">
        <w:rPr>
          <w:color w:val="0070C0"/>
          <w:u w:val="single"/>
        </w:rPr>
        <w:fldChar w:fldCharType="end"/>
      </w:r>
      <w:r w:rsidRPr="007E650E">
        <w:rPr>
          <w:rFonts w:ascii="Calibri" w:eastAsia="Calibri" w:hAnsi="Calibri" w:cs="Calibri"/>
          <w:sz w:val="24"/>
          <w:szCs w:val="24"/>
          <w:lang w:val="en"/>
        </w:rPr>
        <w:t>)</w:t>
      </w:r>
    </w:p>
    <w:p w14:paraId="34600290" w14:textId="5FD13867" w:rsidR="008544AA" w:rsidRPr="007E650E" w:rsidRDefault="008544AA" w:rsidP="00F470F1">
      <w:pPr>
        <w:spacing w:after="0" w:line="240" w:lineRule="auto"/>
        <w:rPr>
          <w:rFonts w:ascii="Calibri" w:eastAsia="Calibri" w:hAnsi="Calibri" w:cs="Calibri"/>
          <w:b/>
          <w:sz w:val="24"/>
          <w:szCs w:val="24"/>
          <w:lang w:val="en"/>
        </w:rPr>
      </w:pPr>
      <w:r w:rsidRPr="007E650E">
        <w:rPr>
          <w:rFonts w:ascii="Calibri" w:eastAsia="Calibri" w:hAnsi="Calibri" w:cs="Calibri"/>
          <w:sz w:val="24"/>
          <w:szCs w:val="24"/>
          <w:lang w:val="en"/>
        </w:rPr>
        <w:t>An integrated workforce system network sponsored by the DOL Employment and Training Administration.</w:t>
      </w:r>
    </w:p>
    <w:p w14:paraId="3E580B58" w14:textId="77777777" w:rsidR="00F470F1" w:rsidRPr="007E650E" w:rsidRDefault="00F470F1" w:rsidP="00F470F1">
      <w:pPr>
        <w:spacing w:after="0" w:line="240" w:lineRule="auto"/>
        <w:rPr>
          <w:rFonts w:ascii="Calibri" w:eastAsia="Calibri" w:hAnsi="Calibri" w:cs="Calibri"/>
          <w:b/>
          <w:sz w:val="24"/>
          <w:szCs w:val="24"/>
          <w:lang w:val="en"/>
        </w:rPr>
      </w:pPr>
    </w:p>
    <w:p w14:paraId="624F0D1A" w14:textId="08C9BCAE" w:rsidR="008544AA" w:rsidRPr="007E650E" w:rsidRDefault="008544AA" w:rsidP="00F470F1">
      <w:pPr>
        <w:spacing w:after="0" w:line="240" w:lineRule="auto"/>
        <w:rPr>
          <w:rFonts w:ascii="Calibri" w:eastAsia="Arial" w:hAnsi="Calibri" w:cs="Calibri"/>
          <w:bCs/>
          <w:sz w:val="24"/>
          <w:szCs w:val="24"/>
          <w:lang w:val="en"/>
        </w:rPr>
      </w:pPr>
      <w:r w:rsidRPr="007E650E">
        <w:rPr>
          <w:rFonts w:ascii="Calibri" w:eastAsia="Calibri" w:hAnsi="Calibri" w:cs="Calibri"/>
          <w:b/>
          <w:sz w:val="24"/>
          <w:szCs w:val="24"/>
          <w:lang w:val="en"/>
        </w:rPr>
        <w:t xml:space="preserve">Workforce Innovation and Opportunity Act </w:t>
      </w:r>
      <w:r w:rsidRPr="007E650E">
        <w:rPr>
          <w:rFonts w:ascii="Calibri" w:eastAsia="Calibri" w:hAnsi="Calibri" w:cs="Calibri"/>
          <w:bCs/>
          <w:sz w:val="24"/>
          <w:szCs w:val="24"/>
          <w:lang w:val="en"/>
        </w:rPr>
        <w:t>(</w:t>
      </w:r>
      <w:hyperlink r:id="rId71" w:history="1">
        <w:r w:rsidRPr="007E650E">
          <w:rPr>
            <w:rFonts w:ascii="Calibri" w:eastAsia="Calibri" w:hAnsi="Calibri" w:cs="Calibri"/>
            <w:bCs/>
            <w:color w:val="0070C0"/>
            <w:sz w:val="24"/>
            <w:szCs w:val="24"/>
            <w:u w:val="single"/>
            <w:lang w:val="en"/>
          </w:rPr>
          <w:t>WIOA</w:t>
        </w:r>
      </w:hyperlink>
      <w:r w:rsidRPr="007E650E">
        <w:rPr>
          <w:rFonts w:ascii="Calibri" w:eastAsia="Calibri" w:hAnsi="Calibri" w:cs="Calibri"/>
          <w:bCs/>
          <w:sz w:val="24"/>
          <w:szCs w:val="24"/>
          <w:lang w:val="en"/>
        </w:rPr>
        <w:t>)</w:t>
      </w:r>
    </w:p>
    <w:p w14:paraId="0DB68088" w14:textId="77777777" w:rsidR="008544AA" w:rsidRPr="007E650E" w:rsidRDefault="008544AA" w:rsidP="00F470F1">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t xml:space="preserve">The act governing the funds </w:t>
      </w:r>
      <w:proofErr w:type="gramStart"/>
      <w:r w:rsidRPr="007E650E">
        <w:rPr>
          <w:rFonts w:ascii="Calibri" w:eastAsia="Calibri" w:hAnsi="Calibri" w:cs="Calibri"/>
          <w:sz w:val="24"/>
          <w:szCs w:val="24"/>
          <w:lang w:val="en"/>
        </w:rPr>
        <w:t>made</w:t>
      </w:r>
      <w:proofErr w:type="gramEnd"/>
      <w:r w:rsidRPr="007E650E">
        <w:rPr>
          <w:rFonts w:ascii="Calibri" w:eastAsia="Calibri" w:hAnsi="Calibri" w:cs="Calibri"/>
          <w:sz w:val="24"/>
          <w:szCs w:val="24"/>
          <w:lang w:val="en"/>
        </w:rPr>
        <w:t xml:space="preserve"> available in this SFP.</w:t>
      </w:r>
    </w:p>
    <w:p w14:paraId="2D6D8BF8" w14:textId="77777777" w:rsidR="008544AA" w:rsidRPr="007E650E" w:rsidRDefault="008544AA" w:rsidP="008544AA">
      <w:pPr>
        <w:spacing w:after="0" w:line="240" w:lineRule="auto"/>
        <w:rPr>
          <w:rFonts w:ascii="Calibri" w:eastAsia="Calibri" w:hAnsi="Calibri" w:cs="Calibri"/>
          <w:sz w:val="24"/>
          <w:szCs w:val="24"/>
          <w:lang w:val="en"/>
        </w:rPr>
      </w:pPr>
      <w:r w:rsidRPr="007E650E">
        <w:rPr>
          <w:rFonts w:ascii="Calibri" w:eastAsia="Calibri" w:hAnsi="Calibri" w:cs="Calibri"/>
          <w:sz w:val="24"/>
          <w:szCs w:val="24"/>
          <w:lang w:val="en"/>
        </w:rPr>
        <w:br w:type="page"/>
      </w:r>
      <w:bookmarkStart w:id="189" w:name="_1rvwp1q"/>
      <w:bookmarkEnd w:id="189"/>
    </w:p>
    <w:p w14:paraId="5E9F6329" w14:textId="77777777" w:rsidR="008544AA" w:rsidRPr="007E650E" w:rsidRDefault="008544AA" w:rsidP="01476CFA">
      <w:pPr>
        <w:pStyle w:val="Heading2"/>
        <w:numPr>
          <w:ilvl w:val="0"/>
          <w:numId w:val="0"/>
        </w:numPr>
        <w:rPr>
          <w:rFonts w:eastAsia="Arial"/>
        </w:rPr>
      </w:pPr>
      <w:bookmarkStart w:id="190" w:name="_Toc117246195"/>
      <w:bookmarkStart w:id="191" w:name="_Toc130496204"/>
      <w:bookmarkStart w:id="192" w:name="_Toc167356453"/>
      <w:bookmarkStart w:id="193" w:name="_Toc195189622"/>
      <w:r w:rsidRPr="007E650E">
        <w:rPr>
          <w:rFonts w:eastAsia="Arial"/>
        </w:rPr>
        <w:lastRenderedPageBreak/>
        <w:t xml:space="preserve">Appendix F: </w:t>
      </w:r>
      <w:proofErr w:type="spellStart"/>
      <w:r w:rsidRPr="007E650E">
        <w:rPr>
          <w:rFonts w:eastAsia="Arial"/>
        </w:rPr>
        <w:t>CalJOBS</w:t>
      </w:r>
      <w:r w:rsidRPr="007E650E">
        <w:rPr>
          <w:rFonts w:eastAsia="Arial"/>
          <w:vertAlign w:val="superscript"/>
        </w:rPr>
        <w:t>SM</w:t>
      </w:r>
      <w:proofErr w:type="spellEnd"/>
      <w:r w:rsidRPr="007E650E">
        <w:rPr>
          <w:rFonts w:eastAsia="Arial"/>
        </w:rPr>
        <w:t xml:space="preserve"> Workstation and Software Requirements</w:t>
      </w:r>
      <w:bookmarkEnd w:id="190"/>
      <w:bookmarkEnd w:id="191"/>
      <w:bookmarkEnd w:id="192"/>
      <w:bookmarkEnd w:id="193"/>
    </w:p>
    <w:p w14:paraId="23AC1355" w14:textId="77777777" w:rsidR="008544AA" w:rsidRPr="007E650E" w:rsidRDefault="008544AA" w:rsidP="008544AA">
      <w:pPr>
        <w:spacing w:after="0" w:line="240" w:lineRule="auto"/>
        <w:rPr>
          <w:rFonts w:eastAsia="Calibri" w:cstheme="minorHAnsi"/>
          <w:b/>
          <w:sz w:val="24"/>
          <w:szCs w:val="24"/>
          <w:lang w:val="en"/>
        </w:rPr>
      </w:pPr>
      <w:bookmarkStart w:id="194" w:name="_4bvk7pj"/>
      <w:bookmarkEnd w:id="194"/>
    </w:p>
    <w:p w14:paraId="1B6E6BE3" w14:textId="4A4896ED" w:rsidR="008544AA" w:rsidRPr="007E650E" w:rsidRDefault="008544AA" w:rsidP="00943164">
      <w:pPr>
        <w:pStyle w:val="BodyText"/>
        <w:spacing w:after="0"/>
        <w:rPr>
          <w:b/>
          <w:bCs/>
        </w:rPr>
      </w:pPr>
      <w:r w:rsidRPr="007E650E">
        <w:rPr>
          <w:b/>
          <w:bCs/>
        </w:rPr>
        <w:t xml:space="preserve">Figure </w:t>
      </w:r>
      <w:r w:rsidR="00943164" w:rsidRPr="007E650E">
        <w:rPr>
          <w:b/>
          <w:bCs/>
        </w:rPr>
        <w:t>F.</w:t>
      </w:r>
      <w:r w:rsidRPr="007E650E">
        <w:rPr>
          <w:b/>
          <w:bCs/>
        </w:rPr>
        <w:t>1: Workstation Requirements (VOS v16.x)</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Figure 1: Workstation Requirements (VOS v16.x)"/>
      </w:tblPr>
      <w:tblGrid>
        <w:gridCol w:w="1631"/>
        <w:gridCol w:w="2784"/>
        <w:gridCol w:w="2818"/>
        <w:gridCol w:w="2117"/>
      </w:tblGrid>
      <w:tr w:rsidR="008544AA" w:rsidRPr="007E650E" w14:paraId="313DAE82" w14:textId="77777777" w:rsidTr="01476CFA">
        <w:trPr>
          <w:tblHeader/>
          <w:jc w:val="center"/>
        </w:trPr>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762DAC4B" w14:textId="77777777" w:rsidR="008544AA" w:rsidRPr="007E650E" w:rsidRDefault="008544AA" w:rsidP="00943164">
            <w:pPr>
              <w:pStyle w:val="BodyText"/>
              <w:spacing w:after="0"/>
            </w:pPr>
            <w:r w:rsidRPr="007E650E">
              <w:t>System</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5137A85D" w14:textId="77777777" w:rsidR="008544AA" w:rsidRPr="007E650E" w:rsidRDefault="008544AA" w:rsidP="00943164">
            <w:pPr>
              <w:pStyle w:val="BodyText"/>
              <w:spacing w:after="0"/>
            </w:pPr>
            <w:r w:rsidRPr="007E650E">
              <w:t>Hardware Required</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5F42E002" w14:textId="77777777" w:rsidR="008544AA" w:rsidRPr="007E650E" w:rsidRDefault="008544AA" w:rsidP="00943164">
            <w:pPr>
              <w:pStyle w:val="BodyText"/>
              <w:spacing w:after="0"/>
            </w:pPr>
            <w:r w:rsidRPr="007E650E">
              <w:t>Software Required</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hideMark/>
          </w:tcPr>
          <w:p w14:paraId="23989FF8" w14:textId="77777777" w:rsidR="008544AA" w:rsidRPr="007E650E" w:rsidRDefault="008544AA" w:rsidP="00943164">
            <w:pPr>
              <w:pStyle w:val="BodyText"/>
              <w:spacing w:after="0"/>
            </w:pPr>
            <w:r w:rsidRPr="007E650E">
              <w:t>Connectivity</w:t>
            </w:r>
          </w:p>
        </w:tc>
      </w:tr>
      <w:tr w:rsidR="008544AA" w:rsidRPr="007E650E" w14:paraId="1A988DDA" w14:textId="77777777" w:rsidTr="01476CFA">
        <w:trPr>
          <w:jc w:val="center"/>
        </w:trPr>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C7AA8" w14:textId="77777777" w:rsidR="008544AA" w:rsidRPr="007E650E" w:rsidRDefault="008544AA" w:rsidP="00943164">
            <w:pPr>
              <w:pStyle w:val="BodyText"/>
            </w:pPr>
            <w:r w:rsidRPr="007E650E">
              <w:t xml:space="preserve">Client </w:t>
            </w:r>
            <w:r w:rsidRPr="007E650E">
              <w:br/>
              <w:t xml:space="preserve">Workstation </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A592C" w14:textId="77777777" w:rsidR="008544AA" w:rsidRPr="007E650E" w:rsidRDefault="008544AA" w:rsidP="00943164">
            <w:pPr>
              <w:pStyle w:val="BodyText"/>
            </w:pPr>
            <w:r w:rsidRPr="007E650E">
              <w:t>Processor: PIII or higher</w:t>
            </w:r>
          </w:p>
          <w:p w14:paraId="079BB42C" w14:textId="77777777" w:rsidR="008544AA" w:rsidRPr="007E650E" w:rsidRDefault="008544AA" w:rsidP="00943164">
            <w:pPr>
              <w:pStyle w:val="BodyText"/>
            </w:pPr>
            <w:r w:rsidRPr="007E650E">
              <w:t>Memory: 2 GB of RAM or higher</w:t>
            </w:r>
          </w:p>
          <w:p w14:paraId="7B5B9E86" w14:textId="77777777" w:rsidR="008544AA" w:rsidRPr="007E650E" w:rsidRDefault="008544AA" w:rsidP="00943164">
            <w:pPr>
              <w:pStyle w:val="BodyText"/>
            </w:pPr>
            <w:r w:rsidRPr="007E650E">
              <w:t>Display: Super VGA (800 X 600) or higher-resolution video adapter and monitor</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D70C5" w14:textId="77777777" w:rsidR="008544AA" w:rsidRPr="007E650E" w:rsidRDefault="008544AA" w:rsidP="00943164">
            <w:pPr>
              <w:pStyle w:val="BodyText"/>
            </w:pPr>
            <w:r w:rsidRPr="007E650E">
              <w:t>Operating System:</w:t>
            </w:r>
          </w:p>
          <w:p w14:paraId="3E3BF33C" w14:textId="77777777" w:rsidR="008544AA" w:rsidRPr="007E650E" w:rsidRDefault="008544AA" w:rsidP="00943164">
            <w:pPr>
              <w:pStyle w:val="BodyText"/>
            </w:pPr>
            <w:r w:rsidRPr="007E650E">
              <w:t>Microsoft Windows 7</w:t>
            </w:r>
          </w:p>
          <w:p w14:paraId="1CEF0B15" w14:textId="77777777" w:rsidR="008544AA" w:rsidRPr="007E650E" w:rsidRDefault="008544AA" w:rsidP="00943164">
            <w:pPr>
              <w:pStyle w:val="BodyText"/>
            </w:pPr>
            <w:r w:rsidRPr="007E650E">
              <w:t>Macintosh OS X v10. 4.8 (Panther) or higher</w:t>
            </w:r>
          </w:p>
          <w:p w14:paraId="1988E6A5" w14:textId="77777777" w:rsidR="008544AA" w:rsidRPr="007E650E" w:rsidRDefault="008544AA" w:rsidP="00943164">
            <w:pPr>
              <w:pStyle w:val="BodyText"/>
            </w:pPr>
            <w:r w:rsidRPr="007E650E">
              <w:t>3rd-Party Software (described after the table):</w:t>
            </w:r>
          </w:p>
          <w:p w14:paraId="3404FC64" w14:textId="77777777" w:rsidR="008544AA" w:rsidRPr="007E650E" w:rsidRDefault="008544AA" w:rsidP="00943164">
            <w:pPr>
              <w:pStyle w:val="BodyText"/>
            </w:pPr>
            <w:proofErr w:type="spellStart"/>
            <w:r w:rsidRPr="007E650E">
              <w:rPr>
                <w:lang w:val="en-US"/>
              </w:rPr>
              <w:t>Meadco</w:t>
            </w:r>
            <w:proofErr w:type="spellEnd"/>
            <w:r w:rsidRPr="007E650E">
              <w:rPr>
                <w:lang w:val="en-US"/>
              </w:rPr>
              <w:t xml:space="preserve"> </w:t>
            </w:r>
            <w:proofErr w:type="spellStart"/>
            <w:r w:rsidRPr="007E650E">
              <w:rPr>
                <w:lang w:val="en-US"/>
              </w:rPr>
              <w:t>ScriptX</w:t>
            </w:r>
            <w:proofErr w:type="spellEnd"/>
            <w:r w:rsidRPr="007E650E">
              <w:rPr>
                <w:lang w:val="en-US"/>
              </w:rPr>
              <w:t xml:space="preserve"> ActiveX 7.4/ Object¹/ Microsoft Silverlight 3² </w:t>
            </w:r>
          </w:p>
          <w:p w14:paraId="3E5367DD" w14:textId="77777777" w:rsidR="008544AA" w:rsidRPr="007E650E" w:rsidRDefault="008544AA" w:rsidP="00943164">
            <w:pPr>
              <w:pStyle w:val="BodyText"/>
            </w:pPr>
            <w:proofErr w:type="spellStart"/>
            <w:r w:rsidRPr="007E650E">
              <w:rPr>
                <w:lang w:val="en-US"/>
              </w:rPr>
              <w:t>DynamSoft</w:t>
            </w:r>
            <w:proofErr w:type="spellEnd"/>
            <w:r w:rsidRPr="007E650E">
              <w:rPr>
                <w:lang w:val="en-US"/>
              </w:rPr>
              <w:t xml:space="preserve"> HTML5 Document Scanning </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45377" w14:textId="77777777" w:rsidR="008544AA" w:rsidRPr="007E650E" w:rsidRDefault="008544AA" w:rsidP="00943164">
            <w:pPr>
              <w:pStyle w:val="BodyText"/>
            </w:pPr>
            <w:r w:rsidRPr="007E650E">
              <w:t>Minimum:</w:t>
            </w:r>
          </w:p>
          <w:p w14:paraId="26C2CF54" w14:textId="77777777" w:rsidR="008544AA" w:rsidRPr="007E650E" w:rsidRDefault="008544AA" w:rsidP="00943164">
            <w:pPr>
              <w:pStyle w:val="BodyText"/>
            </w:pPr>
            <w:r w:rsidRPr="007E650E">
              <w:t>Dedicated broadband or high-speed access, 380k or higher</w:t>
            </w:r>
          </w:p>
        </w:tc>
      </w:tr>
      <w:tr w:rsidR="008544AA" w:rsidRPr="007E650E" w14:paraId="5E67F3FF" w14:textId="77777777" w:rsidTr="01476CFA">
        <w:trPr>
          <w:jc w:val="center"/>
        </w:trPr>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6B0D8" w14:textId="77777777" w:rsidR="008544AA" w:rsidRPr="007E650E" w:rsidRDefault="008544AA" w:rsidP="00943164">
            <w:pPr>
              <w:pStyle w:val="BodyText"/>
            </w:pPr>
            <w:r w:rsidRPr="007E650E">
              <w:t>Staff/ Administrator Workstation</w:t>
            </w:r>
          </w:p>
        </w:tc>
        <w:tc>
          <w:tcPr>
            <w:tcW w:w="2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47B3" w14:textId="77777777" w:rsidR="008544AA" w:rsidRPr="007E650E" w:rsidRDefault="008544AA" w:rsidP="00943164">
            <w:pPr>
              <w:pStyle w:val="BodyText"/>
            </w:pPr>
            <w:r w:rsidRPr="007E650E">
              <w:t>Processor: PIII or higher</w:t>
            </w:r>
          </w:p>
          <w:p w14:paraId="503A9A2F" w14:textId="77777777" w:rsidR="008544AA" w:rsidRPr="007E650E" w:rsidRDefault="008544AA" w:rsidP="00943164">
            <w:pPr>
              <w:pStyle w:val="BodyText"/>
            </w:pPr>
            <w:r w:rsidRPr="007E650E">
              <w:t>Memory: 2GB of RAM or higher</w:t>
            </w:r>
            <w:r w:rsidRPr="007E650E">
              <w:br/>
            </w:r>
          </w:p>
          <w:p w14:paraId="7339D629" w14:textId="77777777" w:rsidR="008544AA" w:rsidRPr="007E650E" w:rsidRDefault="008544AA" w:rsidP="00943164">
            <w:pPr>
              <w:pStyle w:val="BodyText"/>
            </w:pPr>
            <w:r w:rsidRPr="007E650E">
              <w:t>Display: Super VGA (800 X 600) or higher-resolution video adapter and monitor</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9E1FA" w14:textId="77777777" w:rsidR="008544AA" w:rsidRPr="007E650E" w:rsidRDefault="008544AA" w:rsidP="00943164">
            <w:pPr>
              <w:pStyle w:val="BodyText"/>
            </w:pPr>
            <w:r w:rsidRPr="007E650E">
              <w:t>Operating System:</w:t>
            </w:r>
          </w:p>
          <w:p w14:paraId="1DBEE9B2" w14:textId="77777777" w:rsidR="008544AA" w:rsidRPr="007E650E" w:rsidRDefault="008544AA" w:rsidP="00943164">
            <w:pPr>
              <w:pStyle w:val="BodyText"/>
            </w:pPr>
            <w:r w:rsidRPr="007E650E">
              <w:t>Microsoft Windows 7</w:t>
            </w:r>
          </w:p>
          <w:p w14:paraId="40181C25" w14:textId="77777777" w:rsidR="008544AA" w:rsidRPr="007E650E" w:rsidRDefault="008544AA" w:rsidP="00943164">
            <w:pPr>
              <w:pStyle w:val="BodyText"/>
            </w:pPr>
            <w:r w:rsidRPr="007E650E">
              <w:t xml:space="preserve">Macintosh OS X v10. 4.8 (Panther) or higher. </w:t>
            </w:r>
          </w:p>
          <w:p w14:paraId="77FC800B" w14:textId="77777777" w:rsidR="008544AA" w:rsidRPr="007E650E" w:rsidRDefault="008544AA" w:rsidP="00943164">
            <w:pPr>
              <w:pStyle w:val="BodyText"/>
            </w:pPr>
            <w:r w:rsidRPr="007E650E">
              <w:t xml:space="preserve">JAWS for Windows software for visually impaired access (optional) </w:t>
            </w:r>
          </w:p>
          <w:p w14:paraId="2CC92693" w14:textId="77777777" w:rsidR="008544AA" w:rsidRPr="007E650E" w:rsidRDefault="008544AA" w:rsidP="00943164">
            <w:pPr>
              <w:pStyle w:val="BodyText"/>
            </w:pPr>
            <w:r w:rsidRPr="007E650E">
              <w:t>3rd-Party Software (described after the table):</w:t>
            </w:r>
          </w:p>
          <w:p w14:paraId="3BD9A38E" w14:textId="77777777" w:rsidR="008544AA" w:rsidRPr="007E650E" w:rsidRDefault="008544AA" w:rsidP="00943164">
            <w:pPr>
              <w:pStyle w:val="BodyText"/>
            </w:pPr>
            <w:proofErr w:type="spellStart"/>
            <w:r w:rsidRPr="007E650E">
              <w:rPr>
                <w:lang w:val="en-US"/>
              </w:rPr>
              <w:t>Meadco</w:t>
            </w:r>
            <w:proofErr w:type="spellEnd"/>
            <w:r w:rsidRPr="007E650E">
              <w:rPr>
                <w:lang w:val="en-US"/>
              </w:rPr>
              <w:t xml:space="preserve"> </w:t>
            </w:r>
            <w:proofErr w:type="spellStart"/>
            <w:r w:rsidRPr="007E650E">
              <w:rPr>
                <w:lang w:val="en-US"/>
              </w:rPr>
              <w:t>ScriptX</w:t>
            </w:r>
            <w:proofErr w:type="spellEnd"/>
            <w:r w:rsidRPr="007E650E">
              <w:rPr>
                <w:lang w:val="en-US"/>
              </w:rPr>
              <w:t xml:space="preserve"> ActiveX 7.4/ Object</w:t>
            </w:r>
          </w:p>
          <w:p w14:paraId="2764435F" w14:textId="77777777" w:rsidR="008544AA" w:rsidRPr="007E650E" w:rsidRDefault="008544AA" w:rsidP="00943164">
            <w:pPr>
              <w:pStyle w:val="BodyText"/>
            </w:pPr>
            <w:r w:rsidRPr="007E650E">
              <w:t>Microsoft Silverlight 3</w:t>
            </w:r>
          </w:p>
          <w:p w14:paraId="4C79639C" w14:textId="77777777" w:rsidR="008544AA" w:rsidRPr="007E650E" w:rsidRDefault="008544AA" w:rsidP="00943164">
            <w:pPr>
              <w:pStyle w:val="BodyText"/>
            </w:pPr>
            <w:proofErr w:type="spellStart"/>
            <w:r w:rsidRPr="007E650E">
              <w:rPr>
                <w:lang w:val="en-US"/>
              </w:rPr>
              <w:t>DynamSoft</w:t>
            </w:r>
            <w:proofErr w:type="spellEnd"/>
            <w:r w:rsidRPr="007E650E">
              <w:rPr>
                <w:lang w:val="en-US"/>
              </w:rPr>
              <w:t xml:space="preserve"> HTML5 Document Scanning </w:t>
            </w:r>
          </w:p>
        </w:tc>
        <w:tc>
          <w:tcPr>
            <w:tcW w:w="2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F382D" w14:textId="77777777" w:rsidR="008544AA" w:rsidRPr="007E650E" w:rsidRDefault="008544AA" w:rsidP="00943164">
            <w:pPr>
              <w:pStyle w:val="BodyText"/>
            </w:pPr>
            <w:r w:rsidRPr="007E650E">
              <w:t>Minimum:</w:t>
            </w:r>
          </w:p>
          <w:p w14:paraId="5F4B14C0" w14:textId="77777777" w:rsidR="008544AA" w:rsidRPr="007E650E" w:rsidRDefault="008544AA" w:rsidP="00943164">
            <w:pPr>
              <w:pStyle w:val="BodyText"/>
            </w:pPr>
            <w:r w:rsidRPr="007E650E">
              <w:t>Dedicated broadband or high-speed access, 380Kbps or higher</w:t>
            </w:r>
          </w:p>
        </w:tc>
      </w:tr>
    </w:tbl>
    <w:p w14:paraId="53C041F4" w14:textId="77777777" w:rsidR="008544AA" w:rsidRPr="007E650E" w:rsidRDefault="008544AA" w:rsidP="00867A1D">
      <w:pPr>
        <w:pStyle w:val="Heading3"/>
        <w:numPr>
          <w:ilvl w:val="0"/>
          <w:numId w:val="0"/>
        </w:numPr>
        <w:rPr>
          <w:b/>
          <w:bCs/>
          <w:sz w:val="24"/>
          <w:szCs w:val="24"/>
        </w:rPr>
      </w:pPr>
      <w:r w:rsidRPr="007E650E">
        <w:rPr>
          <w:b/>
          <w:bCs/>
          <w:color w:val="auto"/>
          <w:sz w:val="24"/>
          <w:szCs w:val="24"/>
        </w:rPr>
        <w:lastRenderedPageBreak/>
        <w:t>Supported Browsers</w:t>
      </w:r>
    </w:p>
    <w:p w14:paraId="11AF1BCA" w14:textId="77777777" w:rsidR="008544AA" w:rsidRPr="007E650E" w:rsidRDefault="008544AA" w:rsidP="00943164">
      <w:pPr>
        <w:pStyle w:val="BodyText"/>
      </w:pPr>
      <w:r w:rsidRPr="007E650E">
        <w:t xml:space="preserve">For best results, use </w:t>
      </w:r>
      <w:proofErr w:type="gramStart"/>
      <w:r w:rsidRPr="007E650E">
        <w:t>a current</w:t>
      </w:r>
      <w:proofErr w:type="gramEnd"/>
      <w:r w:rsidRPr="007E650E">
        <w:t xml:space="preserve"> version of one of the following supported browsers:</w:t>
      </w:r>
    </w:p>
    <w:p w14:paraId="05C9C850" w14:textId="77777777" w:rsidR="008544AA" w:rsidRPr="007E650E" w:rsidRDefault="008544AA" w:rsidP="00867A1D">
      <w:pPr>
        <w:pStyle w:val="Heading3"/>
        <w:numPr>
          <w:ilvl w:val="0"/>
          <w:numId w:val="0"/>
        </w:numPr>
        <w:rPr>
          <w:b/>
          <w:bCs/>
          <w:sz w:val="24"/>
          <w:szCs w:val="24"/>
        </w:rPr>
      </w:pPr>
      <w:r w:rsidRPr="007E650E">
        <w:rPr>
          <w:b/>
          <w:bCs/>
          <w:color w:val="auto"/>
          <w:sz w:val="24"/>
          <w:szCs w:val="24"/>
        </w:rPr>
        <w:t>Desktop Browsers</w:t>
      </w:r>
      <w:r w:rsidRPr="007E650E">
        <w:rPr>
          <w:b/>
          <w:bCs/>
          <w:sz w:val="24"/>
          <w:szCs w:val="24"/>
        </w:rPr>
        <w:t xml:space="preserve"> </w:t>
      </w:r>
    </w:p>
    <w:p w14:paraId="291653D2" w14:textId="62C0FCFB" w:rsidR="008544AA" w:rsidRPr="007E650E" w:rsidRDefault="008544AA" w:rsidP="00943164">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58C860CE" wp14:editId="1A36A4AB">
            <wp:extent cx="419100" cy="419100"/>
            <wp:effectExtent l="0" t="0" r="0" b="0"/>
            <wp:docPr id="10" name="Picture 10" descr="Google Chrome | Download Lates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hrome | Download Latest Versio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5551BA" w:rsidRPr="007E650E">
        <w:rPr>
          <w:rFonts w:eastAsia="Calibri" w:cstheme="minorHAnsi"/>
          <w:lang w:val="en"/>
        </w:rPr>
        <w:t xml:space="preserve"> </w:t>
      </w:r>
      <w:hyperlink r:id="rId73" w:history="1">
        <w:r w:rsidRPr="007E650E">
          <w:rPr>
            <w:rFonts w:eastAsia="Calibri" w:cstheme="minorHAnsi"/>
            <w:color w:val="0000FF"/>
            <w:u w:val="single"/>
            <w:lang w:val="en"/>
          </w:rPr>
          <w:t>Google Chrome</w:t>
        </w:r>
        <w:r w:rsidRPr="007E650E">
          <w:rPr>
            <w:rFonts w:eastAsia="Calibri" w:cstheme="minorHAnsi"/>
            <w:color w:val="0000FF"/>
            <w:lang w:val="en"/>
          </w:rPr>
          <w:t xml:space="preserve"> | </w:t>
        </w:r>
        <w:r w:rsidRPr="007E650E">
          <w:rPr>
            <w:rFonts w:eastAsia="Calibri" w:cstheme="minorHAnsi"/>
            <w:color w:val="0000FF"/>
            <w:u w:val="single"/>
            <w:lang w:val="en"/>
          </w:rPr>
          <w:t>Download Latest Version</w:t>
        </w:r>
      </w:hyperlink>
      <w:r w:rsidRPr="007E650E">
        <w:rPr>
          <w:rFonts w:eastAsia="Calibri" w:cstheme="minorHAnsi"/>
          <w:lang w:val="en"/>
        </w:rPr>
        <w:t xml:space="preserve"> </w:t>
      </w:r>
    </w:p>
    <w:p w14:paraId="589A5FF3" w14:textId="01AA4E57" w:rsidR="008544AA" w:rsidRPr="007E650E" w:rsidRDefault="008544AA" w:rsidP="00943164">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3D57E1D4" wp14:editId="6F7F5436">
            <wp:extent cx="441960" cy="441960"/>
            <wp:effectExtent l="0" t="0" r="0" b="0"/>
            <wp:docPr id="9" name="Picture 9" descr="Mozilla Firefox | Download Lates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zilla Firefox | Download Latest Versio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r w:rsidR="005551BA" w:rsidRPr="007E650E">
        <w:rPr>
          <w:rFonts w:eastAsia="Calibri" w:cstheme="minorHAnsi"/>
          <w:lang w:val="en"/>
        </w:rPr>
        <w:t xml:space="preserve"> </w:t>
      </w:r>
      <w:hyperlink r:id="rId75" w:history="1">
        <w:r w:rsidRPr="007E650E">
          <w:rPr>
            <w:rFonts w:eastAsia="Calibri" w:cstheme="minorHAnsi"/>
            <w:color w:val="0000FF"/>
            <w:u w:val="single"/>
            <w:lang w:val="en"/>
          </w:rPr>
          <w:t>Mozilla Firefox</w:t>
        </w:r>
        <w:r w:rsidRPr="007E650E">
          <w:rPr>
            <w:rFonts w:eastAsia="Calibri" w:cstheme="minorHAnsi"/>
            <w:color w:val="0000FF"/>
            <w:lang w:val="en"/>
          </w:rPr>
          <w:t xml:space="preserve"> | </w:t>
        </w:r>
        <w:r w:rsidRPr="007E650E">
          <w:rPr>
            <w:rFonts w:eastAsia="Calibri" w:cstheme="minorHAnsi"/>
            <w:color w:val="0000FF"/>
            <w:u w:val="single"/>
            <w:lang w:val="en"/>
          </w:rPr>
          <w:t>Download Latest Version</w:t>
        </w:r>
      </w:hyperlink>
      <w:r w:rsidRPr="007E650E">
        <w:rPr>
          <w:rFonts w:eastAsia="Calibri" w:cstheme="minorHAnsi"/>
          <w:lang w:val="en"/>
        </w:rPr>
        <w:t xml:space="preserve"> </w:t>
      </w:r>
    </w:p>
    <w:p w14:paraId="355FE41D" w14:textId="7F3B3B87" w:rsidR="008544AA" w:rsidRPr="007E650E" w:rsidRDefault="008544AA" w:rsidP="00943164">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02CE7F6D" wp14:editId="482E5EDC">
            <wp:extent cx="396240" cy="396240"/>
            <wp:effectExtent l="0" t="0" r="3810" b="3810"/>
            <wp:docPr id="8" name="Picture 8" descr="Apple Safari | Download Lates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 Safari | Download Latest Version"/>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inline>
        </w:drawing>
      </w:r>
      <w:r w:rsidR="005551BA" w:rsidRPr="007E650E">
        <w:rPr>
          <w:rFonts w:eastAsia="Calibri" w:cstheme="minorHAnsi"/>
          <w:lang w:val="en"/>
        </w:rPr>
        <w:t xml:space="preserve"> </w:t>
      </w:r>
      <w:hyperlink r:id="rId77" w:anchor="safari" w:history="1">
        <w:r w:rsidRPr="007E650E">
          <w:rPr>
            <w:rFonts w:eastAsia="Calibri" w:cstheme="minorHAnsi"/>
            <w:color w:val="0000FF"/>
            <w:u w:val="single"/>
            <w:lang w:val="en"/>
          </w:rPr>
          <w:t>Apple Safari</w:t>
        </w:r>
        <w:r w:rsidRPr="007E650E">
          <w:rPr>
            <w:rFonts w:eastAsia="Calibri" w:cstheme="minorHAnsi"/>
            <w:color w:val="0000FF"/>
            <w:lang w:val="en"/>
          </w:rPr>
          <w:t xml:space="preserve"> | </w:t>
        </w:r>
        <w:r w:rsidRPr="007E650E">
          <w:rPr>
            <w:rFonts w:eastAsia="Calibri" w:cstheme="minorHAnsi"/>
            <w:color w:val="0000FF"/>
            <w:u w:val="single"/>
            <w:lang w:val="en"/>
          </w:rPr>
          <w:t>Download Latest Version</w:t>
        </w:r>
      </w:hyperlink>
      <w:r w:rsidRPr="007E650E">
        <w:rPr>
          <w:rFonts w:eastAsia="Calibri" w:cstheme="minorHAnsi"/>
          <w:lang w:val="en"/>
        </w:rPr>
        <w:t xml:space="preserve"> </w:t>
      </w:r>
    </w:p>
    <w:p w14:paraId="3ABF0986" w14:textId="077CE159" w:rsidR="008544AA" w:rsidRPr="007E650E" w:rsidRDefault="008544AA" w:rsidP="00943164">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2C862A33" wp14:editId="566A543C">
            <wp:extent cx="403860" cy="403860"/>
            <wp:effectExtent l="0" t="0" r="0" b="0"/>
            <wp:docPr id="7" name="Picture 7" descr="Opera | Download Lates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Opera | Download Latest Version"/>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5551BA" w:rsidRPr="007E650E">
        <w:rPr>
          <w:rFonts w:eastAsia="Calibri" w:cstheme="minorHAnsi"/>
          <w:lang w:val="en"/>
        </w:rPr>
        <w:t xml:space="preserve"> </w:t>
      </w:r>
      <w:hyperlink r:id="rId79" w:history="1">
        <w:r w:rsidRPr="007E650E">
          <w:rPr>
            <w:rFonts w:eastAsia="Calibri" w:cstheme="minorHAnsi"/>
            <w:color w:val="0000FF"/>
            <w:u w:val="single"/>
            <w:lang w:val="en"/>
          </w:rPr>
          <w:t>Opera</w:t>
        </w:r>
        <w:r w:rsidRPr="007E650E">
          <w:rPr>
            <w:rFonts w:eastAsia="Calibri" w:cstheme="minorHAnsi"/>
            <w:color w:val="0000FF"/>
            <w:lang w:val="en"/>
          </w:rPr>
          <w:t xml:space="preserve"> | </w:t>
        </w:r>
        <w:r w:rsidRPr="007E650E">
          <w:rPr>
            <w:rFonts w:eastAsia="Calibri" w:cstheme="minorHAnsi"/>
            <w:color w:val="0000FF"/>
            <w:u w:val="single"/>
            <w:lang w:val="en"/>
          </w:rPr>
          <w:t>Download Latest Version</w:t>
        </w:r>
      </w:hyperlink>
      <w:r w:rsidRPr="007E650E">
        <w:rPr>
          <w:rFonts w:eastAsia="Calibri" w:cstheme="minorHAnsi"/>
          <w:lang w:val="en"/>
        </w:rPr>
        <w:t xml:space="preserve"> </w:t>
      </w:r>
    </w:p>
    <w:p w14:paraId="4DDD1D1D" w14:textId="433AA3B5" w:rsidR="008544AA" w:rsidRPr="007E650E" w:rsidRDefault="008544AA" w:rsidP="00943164">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5246A297" wp14:editId="35CB618E">
            <wp:extent cx="403860" cy="403860"/>
            <wp:effectExtent l="0" t="0" r="0" b="0"/>
            <wp:docPr id="6" name="Picture 6" descr="Microsoft Edge | Download Latest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crosoft Edge | Download Latest version"/>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r w:rsidR="005551BA" w:rsidRPr="007E650E">
        <w:rPr>
          <w:rFonts w:eastAsia="Calibri" w:cstheme="minorHAnsi"/>
          <w:lang w:val="en"/>
        </w:rPr>
        <w:t xml:space="preserve"> </w:t>
      </w:r>
      <w:hyperlink r:id="rId81" w:history="1">
        <w:r w:rsidRPr="007E650E">
          <w:rPr>
            <w:rFonts w:eastAsia="Calibri" w:cstheme="minorHAnsi"/>
            <w:color w:val="0000FF"/>
            <w:u w:val="single"/>
            <w:lang w:val="en"/>
          </w:rPr>
          <w:t>Microsoft Edge</w:t>
        </w:r>
        <w:r w:rsidRPr="007E650E">
          <w:rPr>
            <w:rFonts w:eastAsia="Calibri" w:cstheme="minorHAnsi"/>
            <w:color w:val="0000FF"/>
            <w:lang w:val="en"/>
          </w:rPr>
          <w:t xml:space="preserve"> | </w:t>
        </w:r>
        <w:r w:rsidRPr="007E650E">
          <w:rPr>
            <w:rFonts w:eastAsia="Calibri" w:cstheme="minorHAnsi"/>
            <w:color w:val="0000FF"/>
            <w:u w:val="single"/>
            <w:lang w:val="en"/>
          </w:rPr>
          <w:t>Download the Latest version</w:t>
        </w:r>
      </w:hyperlink>
      <w:r w:rsidRPr="007E650E">
        <w:rPr>
          <w:rFonts w:eastAsia="Calibri" w:cstheme="minorHAnsi"/>
          <w:lang w:val="en"/>
        </w:rPr>
        <w:t xml:space="preserve"> </w:t>
      </w:r>
    </w:p>
    <w:p w14:paraId="36B2CDA8" w14:textId="57FEF26C" w:rsidR="008544AA" w:rsidRPr="007E650E" w:rsidRDefault="008544AA" w:rsidP="00867A1D">
      <w:pPr>
        <w:pStyle w:val="Heading3"/>
        <w:numPr>
          <w:ilvl w:val="0"/>
          <w:numId w:val="0"/>
        </w:numPr>
        <w:rPr>
          <w:b/>
          <w:bCs/>
          <w:sz w:val="24"/>
          <w:szCs w:val="24"/>
        </w:rPr>
      </w:pPr>
      <w:r w:rsidRPr="007E650E">
        <w:rPr>
          <w:b/>
          <w:bCs/>
          <w:color w:val="auto"/>
          <w:sz w:val="24"/>
          <w:szCs w:val="24"/>
        </w:rPr>
        <w:t>Mobile Browsers</w:t>
      </w:r>
    </w:p>
    <w:p w14:paraId="048883FF" w14:textId="77777777" w:rsidR="008544AA" w:rsidRPr="007E650E" w:rsidRDefault="008544AA" w:rsidP="000655E5">
      <w:pPr>
        <w:pStyle w:val="BodyText"/>
      </w:pPr>
      <w:r w:rsidRPr="007E650E">
        <w:t>For iOS and Android mobile phones and tablets, use a current version of one of the following supported browsers:</w:t>
      </w:r>
    </w:p>
    <w:p w14:paraId="043C7893" w14:textId="77777777" w:rsidR="008544AA" w:rsidRPr="007E650E" w:rsidRDefault="008544AA" w:rsidP="00867A1D">
      <w:pPr>
        <w:pStyle w:val="Heading3"/>
        <w:numPr>
          <w:ilvl w:val="0"/>
          <w:numId w:val="0"/>
        </w:numPr>
        <w:rPr>
          <w:b/>
          <w:bCs/>
        </w:rPr>
      </w:pPr>
      <w:r w:rsidRPr="007E650E">
        <w:rPr>
          <w:b/>
          <w:bCs/>
          <w:color w:val="auto"/>
          <w:sz w:val="24"/>
          <w:szCs w:val="24"/>
        </w:rPr>
        <w:t>iOS</w:t>
      </w:r>
      <w:r w:rsidRPr="007E650E">
        <w:rPr>
          <w:b/>
          <w:bCs/>
        </w:rPr>
        <w:t xml:space="preserve"> </w:t>
      </w:r>
    </w:p>
    <w:p w14:paraId="1EEA55F4" w14:textId="181FA779" w:rsidR="008544AA" w:rsidRPr="007E650E" w:rsidRDefault="008544AA" w:rsidP="000655E5">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59809376" wp14:editId="34A60822">
            <wp:extent cx="419100" cy="419100"/>
            <wp:effectExtent l="0" t="0" r="0" b="0"/>
            <wp:docPr id="5" name="Picture 5" descr="Safari for 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Safari for iOS"/>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5551BA" w:rsidRPr="007E650E">
        <w:rPr>
          <w:rFonts w:eastAsia="Calibri" w:cstheme="minorHAnsi"/>
          <w:lang w:val="en"/>
        </w:rPr>
        <w:t xml:space="preserve"> </w:t>
      </w:r>
      <w:hyperlink r:id="rId82" w:anchor="safari" w:history="1">
        <w:r w:rsidRPr="007E650E">
          <w:rPr>
            <w:rFonts w:eastAsia="Calibri" w:cstheme="minorHAnsi"/>
            <w:color w:val="0000FF"/>
            <w:u w:val="single"/>
            <w:lang w:val="en"/>
          </w:rPr>
          <w:t>Safari for iOS</w:t>
        </w:r>
      </w:hyperlink>
      <w:r w:rsidRPr="007E650E">
        <w:rPr>
          <w:rFonts w:eastAsia="Calibri" w:cstheme="minorHAnsi"/>
          <w:lang w:val="en"/>
        </w:rPr>
        <w:t xml:space="preserve"> </w:t>
      </w:r>
    </w:p>
    <w:p w14:paraId="1EF02E1C" w14:textId="6FF760CC" w:rsidR="008544AA" w:rsidRPr="007E650E" w:rsidRDefault="008544AA" w:rsidP="000655E5">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6092DA44" wp14:editId="7AEB73EE">
            <wp:extent cx="411480" cy="411480"/>
            <wp:effectExtent l="0" t="0" r="7620" b="7620"/>
            <wp:docPr id="4" name="Picture 4" descr="Google Chrome for 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ogle Chrome for iOS"/>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005551BA" w:rsidRPr="007E650E">
        <w:rPr>
          <w:rFonts w:eastAsia="Calibri" w:cstheme="minorHAnsi"/>
          <w:lang w:val="en"/>
        </w:rPr>
        <w:t xml:space="preserve"> </w:t>
      </w:r>
      <w:hyperlink r:id="rId83" w:history="1">
        <w:r w:rsidRPr="007E650E">
          <w:rPr>
            <w:rFonts w:eastAsia="Calibri" w:cstheme="minorHAnsi"/>
            <w:color w:val="0000FF"/>
            <w:u w:val="single"/>
            <w:lang w:val="en"/>
          </w:rPr>
          <w:t>Google Chrome for iOS</w:t>
        </w:r>
      </w:hyperlink>
      <w:r w:rsidRPr="007E650E">
        <w:rPr>
          <w:rFonts w:eastAsia="Calibri" w:cstheme="minorHAnsi"/>
          <w:lang w:val="en"/>
        </w:rPr>
        <w:t xml:space="preserve"> </w:t>
      </w:r>
    </w:p>
    <w:p w14:paraId="7F25B20C" w14:textId="1A8871D9" w:rsidR="008544AA" w:rsidRPr="007E650E" w:rsidRDefault="008544AA" w:rsidP="000655E5">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420D743D" wp14:editId="193116EA">
            <wp:extent cx="441960" cy="441960"/>
            <wp:effectExtent l="0" t="0" r="0" b="0"/>
            <wp:docPr id="3" name="Picture 3" descr="Firefox for 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refox for iOS"/>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r w:rsidR="005551BA" w:rsidRPr="007E650E">
        <w:rPr>
          <w:rFonts w:eastAsia="Calibri" w:cstheme="minorHAnsi"/>
          <w:lang w:val="en"/>
        </w:rPr>
        <w:t xml:space="preserve"> </w:t>
      </w:r>
      <w:hyperlink r:id="rId84" w:history="1">
        <w:r w:rsidRPr="007E650E">
          <w:rPr>
            <w:rFonts w:eastAsia="Calibri" w:cstheme="minorHAnsi"/>
            <w:color w:val="0000FF"/>
            <w:u w:val="single"/>
            <w:lang w:val="en"/>
          </w:rPr>
          <w:t>Firefox for iOS</w:t>
        </w:r>
      </w:hyperlink>
      <w:r w:rsidRPr="007E650E">
        <w:rPr>
          <w:rFonts w:eastAsia="Calibri" w:cstheme="minorHAnsi"/>
          <w:lang w:val="en"/>
        </w:rPr>
        <w:t xml:space="preserve"> </w:t>
      </w:r>
    </w:p>
    <w:p w14:paraId="642C7A4E" w14:textId="1724CCF9" w:rsidR="008544AA" w:rsidRPr="007E650E" w:rsidRDefault="00867A1D" w:rsidP="00867A1D">
      <w:pPr>
        <w:pStyle w:val="Heading3"/>
        <w:numPr>
          <w:ilvl w:val="0"/>
          <w:numId w:val="0"/>
        </w:numPr>
        <w:rPr>
          <w:b/>
          <w:bCs/>
        </w:rPr>
      </w:pPr>
      <w:r w:rsidRPr="007E650E">
        <w:rPr>
          <w:b/>
          <w:bCs/>
          <w:color w:val="auto"/>
          <w:sz w:val="24"/>
          <w:szCs w:val="24"/>
        </w:rPr>
        <w:t>A</w:t>
      </w:r>
      <w:r w:rsidR="008544AA" w:rsidRPr="007E650E">
        <w:rPr>
          <w:b/>
          <w:bCs/>
          <w:color w:val="auto"/>
          <w:sz w:val="24"/>
          <w:szCs w:val="24"/>
        </w:rPr>
        <w:t>ndroid</w:t>
      </w:r>
      <w:r w:rsidR="008544AA" w:rsidRPr="007E650E">
        <w:rPr>
          <w:b/>
          <w:bCs/>
        </w:rPr>
        <w:t xml:space="preserve"> </w:t>
      </w:r>
    </w:p>
    <w:p w14:paraId="195CFD98" w14:textId="10DF622E" w:rsidR="008544AA" w:rsidRPr="007E650E" w:rsidRDefault="008544AA" w:rsidP="000655E5">
      <w:pPr>
        <w:pStyle w:val="ListParagraph"/>
        <w:rPr>
          <w:rFonts w:eastAsia="Arial" w:cstheme="minorHAnsi"/>
          <w:lang w:val="en"/>
        </w:rPr>
      </w:pPr>
      <w:r w:rsidRPr="007E650E">
        <w:rPr>
          <w:rFonts w:eastAsia="Calibri" w:cstheme="minorHAnsi"/>
          <w:noProof/>
          <w:color w:val="0000FF"/>
          <w:shd w:val="clear" w:color="auto" w:fill="E6E6E6"/>
        </w:rPr>
        <w:drawing>
          <wp:inline distT="0" distB="0" distL="0" distR="0" wp14:anchorId="0B48BED1" wp14:editId="00CD070F">
            <wp:extent cx="449580" cy="449580"/>
            <wp:effectExtent l="0" t="0" r="7620" b="7620"/>
            <wp:docPr id="2" name="Picture 2" descr="Google Chrome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Google Chrome for Androi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r w:rsidR="005551BA" w:rsidRPr="007E650E">
        <w:rPr>
          <w:rFonts w:eastAsia="Calibri" w:cstheme="minorHAnsi"/>
          <w:lang w:val="en"/>
        </w:rPr>
        <w:t xml:space="preserve"> </w:t>
      </w:r>
      <w:hyperlink r:id="rId85" w:history="1">
        <w:r w:rsidRPr="007E650E">
          <w:rPr>
            <w:rFonts w:eastAsia="Calibri" w:cstheme="minorHAnsi"/>
            <w:color w:val="0000FF"/>
            <w:u w:val="single"/>
            <w:lang w:val="en"/>
          </w:rPr>
          <w:t>Google Chrome for Android</w:t>
        </w:r>
      </w:hyperlink>
      <w:r w:rsidRPr="007E650E">
        <w:rPr>
          <w:rFonts w:eastAsia="Calibri" w:cstheme="minorHAnsi"/>
          <w:lang w:val="en"/>
        </w:rPr>
        <w:t xml:space="preserve"> </w:t>
      </w:r>
    </w:p>
    <w:p w14:paraId="1F798258" w14:textId="25154F5E" w:rsidR="008544AA" w:rsidRPr="007E650E" w:rsidRDefault="008544AA" w:rsidP="000655E5">
      <w:pPr>
        <w:pStyle w:val="ListParagraph"/>
        <w:rPr>
          <w:rFonts w:eastAsia="Arial" w:cstheme="minorHAnsi"/>
          <w:lang w:val="en"/>
        </w:rPr>
      </w:pPr>
      <w:r w:rsidRPr="007E650E">
        <w:rPr>
          <w:rFonts w:eastAsia="Calibri" w:cstheme="minorHAnsi"/>
          <w:noProof/>
          <w:color w:val="0000FF"/>
          <w:shd w:val="clear" w:color="auto" w:fill="E6E6E6"/>
        </w:rPr>
        <w:lastRenderedPageBreak/>
        <w:drawing>
          <wp:inline distT="0" distB="0" distL="0" distR="0" wp14:anchorId="54948797" wp14:editId="61228E16">
            <wp:extent cx="449580" cy="449580"/>
            <wp:effectExtent l="0" t="0" r="7620" b="7620"/>
            <wp:docPr id="12" name="Picture 12" descr="Firefox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Firefox for Androi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r w:rsidR="005551BA" w:rsidRPr="007E650E">
        <w:rPr>
          <w:rFonts w:eastAsia="Calibri" w:cstheme="minorHAnsi"/>
          <w:lang w:val="en"/>
        </w:rPr>
        <w:t xml:space="preserve"> </w:t>
      </w:r>
      <w:hyperlink r:id="rId86" w:history="1">
        <w:r w:rsidRPr="007E650E">
          <w:rPr>
            <w:rFonts w:eastAsia="Calibri" w:cstheme="minorHAnsi"/>
            <w:color w:val="0000FF"/>
            <w:u w:val="single"/>
            <w:lang w:val="en"/>
          </w:rPr>
          <w:t>Firefox for Android</w:t>
        </w:r>
      </w:hyperlink>
      <w:r w:rsidRPr="007E650E">
        <w:rPr>
          <w:rFonts w:eastAsia="Calibri" w:cstheme="minorHAnsi"/>
          <w:lang w:val="en"/>
        </w:rPr>
        <w:t xml:space="preserve"> </w:t>
      </w:r>
    </w:p>
    <w:p w14:paraId="350B6AEA" w14:textId="77777777" w:rsidR="008544AA" w:rsidRPr="007E650E" w:rsidRDefault="008544AA" w:rsidP="00867A1D">
      <w:pPr>
        <w:pStyle w:val="Heading3"/>
        <w:numPr>
          <w:ilvl w:val="0"/>
          <w:numId w:val="0"/>
        </w:numPr>
      </w:pPr>
      <w:r w:rsidRPr="007E650E">
        <w:t>Client Workstations (Third-Party Software)</w:t>
      </w:r>
    </w:p>
    <w:p w14:paraId="12116103" w14:textId="77777777" w:rsidR="008544AA" w:rsidRPr="007E650E" w:rsidRDefault="008544AA" w:rsidP="000655E5">
      <w:pPr>
        <w:pStyle w:val="BodyText"/>
      </w:pPr>
      <w:r w:rsidRPr="007E650E">
        <w:rPr>
          <w:lang w:val="en-US"/>
        </w:rPr>
        <w:t xml:space="preserve">As indicated in the preceding table, specific </w:t>
      </w:r>
      <w:proofErr w:type="gramStart"/>
      <w:r w:rsidRPr="007E650E">
        <w:rPr>
          <w:lang w:val="en-US"/>
        </w:rPr>
        <w:t>freely available</w:t>
      </w:r>
      <w:proofErr w:type="gramEnd"/>
      <w:r w:rsidRPr="007E650E">
        <w:rPr>
          <w:lang w:val="en-US"/>
        </w:rPr>
        <w:t xml:space="preserve"> third-party software is required on client workstations to maximize </w:t>
      </w:r>
      <w:proofErr w:type="gramStart"/>
      <w:r w:rsidRPr="007E650E">
        <w:rPr>
          <w:lang w:val="en-US"/>
        </w:rPr>
        <w:t>all of</w:t>
      </w:r>
      <w:proofErr w:type="gramEnd"/>
      <w:r w:rsidRPr="007E650E">
        <w:rPr>
          <w:lang w:val="en-US"/>
        </w:rPr>
        <w:t xml:space="preserve"> the features in the Virtual </w:t>
      </w:r>
      <w:proofErr w:type="spellStart"/>
      <w:r w:rsidRPr="007E650E">
        <w:rPr>
          <w:lang w:val="en-US"/>
        </w:rPr>
        <w:t>OneStop</w:t>
      </w:r>
      <w:proofErr w:type="spellEnd"/>
      <w:r w:rsidRPr="007E650E">
        <w:rPr>
          <w:lang w:val="en-US"/>
        </w:rPr>
        <w:t xml:space="preserve"> suite. </w:t>
      </w:r>
    </w:p>
    <w:p w14:paraId="4650DD87" w14:textId="50B27DD1" w:rsidR="008544AA" w:rsidRPr="007E650E" w:rsidRDefault="008544AA" w:rsidP="000655E5">
      <w:pPr>
        <w:pStyle w:val="BodyText"/>
        <w:spacing w:after="0"/>
        <w:rPr>
          <w:b/>
        </w:rPr>
      </w:pPr>
      <w:r w:rsidRPr="007E650E">
        <w:rPr>
          <w:b/>
        </w:rPr>
        <w:t xml:space="preserve">Figure </w:t>
      </w:r>
      <w:r w:rsidR="000655E5" w:rsidRPr="007E650E">
        <w:rPr>
          <w:b/>
        </w:rPr>
        <w:t>F.</w:t>
      </w:r>
      <w:r w:rsidRPr="007E650E">
        <w:rPr>
          <w:b/>
        </w:rPr>
        <w:t xml:space="preserve">2: Third-Party Software </w:t>
      </w:r>
    </w:p>
    <w:tbl>
      <w:tblPr>
        <w:tblW w:w="0" w:type="dxa"/>
        <w:tblLayout w:type="fixed"/>
        <w:tblLook w:val="0400" w:firstRow="0" w:lastRow="0" w:firstColumn="0" w:lastColumn="0" w:noHBand="0" w:noVBand="1"/>
        <w:tblCaption w:val="Figure 2: Third-Party Software "/>
      </w:tblPr>
      <w:tblGrid>
        <w:gridCol w:w="1943"/>
        <w:gridCol w:w="771"/>
        <w:gridCol w:w="925"/>
        <w:gridCol w:w="5701"/>
      </w:tblGrid>
      <w:tr w:rsidR="008544AA" w:rsidRPr="007E650E" w14:paraId="0FC8585C" w14:textId="77777777" w:rsidTr="01476CFA">
        <w:tc>
          <w:tcPr>
            <w:tcW w:w="194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4F63CE" w14:textId="77777777" w:rsidR="008544AA" w:rsidRPr="007E650E" w:rsidRDefault="008544AA" w:rsidP="000655E5">
            <w:pPr>
              <w:pStyle w:val="BodyText"/>
              <w:spacing w:after="0"/>
              <w:rPr>
                <w:b/>
                <w:bCs/>
              </w:rPr>
            </w:pPr>
            <w:r w:rsidRPr="007E650E">
              <w:rPr>
                <w:b/>
                <w:bCs/>
              </w:rPr>
              <w:t>VOS</w:t>
            </w:r>
          </w:p>
        </w:tc>
        <w:tc>
          <w:tcPr>
            <w:tcW w:w="771" w:type="dxa"/>
            <w:tcBorders>
              <w:top w:val="single" w:sz="8" w:space="0" w:color="000000" w:themeColor="text1"/>
              <w:left w:val="nil"/>
              <w:bottom w:val="single" w:sz="8" w:space="0" w:color="000000" w:themeColor="text1"/>
              <w:right w:val="single" w:sz="8" w:space="0" w:color="000000" w:themeColor="text1"/>
            </w:tcBorders>
            <w:hideMark/>
          </w:tcPr>
          <w:p w14:paraId="2BB48E8F" w14:textId="77777777" w:rsidR="008544AA" w:rsidRPr="007E650E" w:rsidRDefault="008544AA" w:rsidP="000655E5">
            <w:pPr>
              <w:pStyle w:val="BodyText"/>
              <w:spacing w:after="0"/>
              <w:rPr>
                <w:b/>
                <w:bCs/>
              </w:rPr>
            </w:pPr>
            <w:r w:rsidRPr="007E650E">
              <w:rPr>
                <w:b/>
                <w:bCs/>
              </w:rPr>
              <w:t>v14.0</w:t>
            </w:r>
          </w:p>
        </w:tc>
        <w:tc>
          <w:tcPr>
            <w:tcW w:w="925" w:type="dxa"/>
            <w:tcBorders>
              <w:top w:val="single" w:sz="8" w:space="0" w:color="000000" w:themeColor="text1"/>
              <w:left w:val="nil"/>
              <w:bottom w:val="single" w:sz="8" w:space="0" w:color="000000" w:themeColor="text1"/>
              <w:right w:val="single" w:sz="8" w:space="0" w:color="000000" w:themeColor="text1"/>
            </w:tcBorders>
            <w:hideMark/>
          </w:tcPr>
          <w:p w14:paraId="48CDCAAE" w14:textId="77777777" w:rsidR="008544AA" w:rsidRPr="007E650E" w:rsidRDefault="008544AA" w:rsidP="000655E5">
            <w:pPr>
              <w:pStyle w:val="BodyText"/>
              <w:spacing w:after="0"/>
              <w:rPr>
                <w:b/>
                <w:bCs/>
              </w:rPr>
            </w:pPr>
            <w:r w:rsidRPr="007E650E">
              <w:rPr>
                <w:b/>
                <w:bCs/>
              </w:rPr>
              <w:t>v15.3</w:t>
            </w:r>
          </w:p>
        </w:tc>
        <w:tc>
          <w:tcPr>
            <w:tcW w:w="5701" w:type="dxa"/>
            <w:tcBorders>
              <w:top w:val="single" w:sz="8" w:space="0" w:color="000000" w:themeColor="text1"/>
              <w:left w:val="nil"/>
              <w:bottom w:val="single" w:sz="8" w:space="0" w:color="000000" w:themeColor="text1"/>
              <w:right w:val="single" w:sz="8" w:space="0" w:color="000000" w:themeColor="text1"/>
            </w:tcBorders>
          </w:tcPr>
          <w:p w14:paraId="19E56109" w14:textId="77777777" w:rsidR="008544AA" w:rsidRPr="007E650E" w:rsidRDefault="008544AA" w:rsidP="000655E5">
            <w:pPr>
              <w:pStyle w:val="BodyText"/>
              <w:spacing w:after="0"/>
              <w:rPr>
                <w:b/>
                <w:bCs/>
              </w:rPr>
            </w:pPr>
          </w:p>
        </w:tc>
      </w:tr>
      <w:tr w:rsidR="008544AA" w:rsidRPr="007E650E" w14:paraId="54A77595" w14:textId="77777777" w:rsidTr="01476CFA">
        <w:tc>
          <w:tcPr>
            <w:tcW w:w="1943" w:type="dxa"/>
            <w:tcBorders>
              <w:top w:val="nil"/>
              <w:left w:val="single" w:sz="8" w:space="0" w:color="000000" w:themeColor="text1"/>
              <w:bottom w:val="single" w:sz="8" w:space="0" w:color="000000" w:themeColor="text1"/>
              <w:right w:val="single" w:sz="8" w:space="0" w:color="000000" w:themeColor="text1"/>
            </w:tcBorders>
            <w:hideMark/>
          </w:tcPr>
          <w:p w14:paraId="13F27CD8" w14:textId="77777777" w:rsidR="008544AA" w:rsidRPr="007E650E" w:rsidRDefault="008544AA" w:rsidP="000655E5">
            <w:pPr>
              <w:pStyle w:val="BodyText"/>
            </w:pPr>
            <w:r w:rsidRPr="007E650E">
              <w:t>Adobe Acrobat Reader</w:t>
            </w:r>
          </w:p>
        </w:tc>
        <w:tc>
          <w:tcPr>
            <w:tcW w:w="771" w:type="dxa"/>
            <w:tcBorders>
              <w:top w:val="nil"/>
              <w:left w:val="nil"/>
              <w:bottom w:val="single" w:sz="8" w:space="0" w:color="000000" w:themeColor="text1"/>
              <w:right w:val="single" w:sz="8" w:space="0" w:color="000000" w:themeColor="text1"/>
            </w:tcBorders>
            <w:hideMark/>
          </w:tcPr>
          <w:p w14:paraId="58AC1F84" w14:textId="77777777" w:rsidR="008544AA" w:rsidRPr="007E650E" w:rsidRDefault="008544AA" w:rsidP="000655E5">
            <w:pPr>
              <w:pStyle w:val="BodyText"/>
            </w:pPr>
            <w:r w:rsidRPr="007E650E">
              <w:t>v8.0+</w:t>
            </w:r>
          </w:p>
        </w:tc>
        <w:tc>
          <w:tcPr>
            <w:tcW w:w="925" w:type="dxa"/>
            <w:tcBorders>
              <w:top w:val="nil"/>
              <w:left w:val="nil"/>
              <w:bottom w:val="single" w:sz="8" w:space="0" w:color="000000" w:themeColor="text1"/>
              <w:right w:val="single" w:sz="8" w:space="0" w:color="000000" w:themeColor="text1"/>
            </w:tcBorders>
            <w:hideMark/>
          </w:tcPr>
          <w:p w14:paraId="5E41FBDE" w14:textId="77777777" w:rsidR="008544AA" w:rsidRPr="007E650E" w:rsidRDefault="008544AA" w:rsidP="000655E5">
            <w:pPr>
              <w:pStyle w:val="BodyText"/>
            </w:pPr>
            <w:r w:rsidRPr="007E650E">
              <w:t>v8.0+</w:t>
            </w:r>
          </w:p>
        </w:tc>
        <w:tc>
          <w:tcPr>
            <w:tcW w:w="5701" w:type="dxa"/>
            <w:tcBorders>
              <w:top w:val="nil"/>
              <w:left w:val="nil"/>
              <w:bottom w:val="single" w:sz="8" w:space="0" w:color="000000" w:themeColor="text1"/>
              <w:right w:val="single" w:sz="8" w:space="0" w:color="000000" w:themeColor="text1"/>
            </w:tcBorders>
            <w:hideMark/>
          </w:tcPr>
          <w:p w14:paraId="24686996" w14:textId="77777777" w:rsidR="008544AA" w:rsidRPr="007E650E" w:rsidRDefault="008544AA" w:rsidP="000655E5">
            <w:pPr>
              <w:pStyle w:val="BodyText"/>
              <w:rPr>
                <w:color w:val="0563C1"/>
              </w:rPr>
            </w:pPr>
            <w:hyperlink r:id="rId87" w:history="1">
              <w:r w:rsidRPr="007E650E">
                <w:rPr>
                  <w:color w:val="467886" w:themeColor="hyperlink"/>
                  <w:u w:val="single"/>
                </w:rPr>
                <w:t>Adobe Acrobat Reader</w:t>
              </w:r>
            </w:hyperlink>
          </w:p>
        </w:tc>
      </w:tr>
      <w:tr w:rsidR="008544AA" w:rsidRPr="007E650E" w14:paraId="224EA360" w14:textId="77777777" w:rsidTr="01476CFA">
        <w:tc>
          <w:tcPr>
            <w:tcW w:w="1943" w:type="dxa"/>
            <w:tcBorders>
              <w:top w:val="nil"/>
              <w:left w:val="single" w:sz="8" w:space="0" w:color="000000" w:themeColor="text1"/>
              <w:bottom w:val="single" w:sz="8" w:space="0" w:color="000000" w:themeColor="text1"/>
              <w:right w:val="single" w:sz="8" w:space="0" w:color="000000" w:themeColor="text1"/>
            </w:tcBorders>
            <w:hideMark/>
          </w:tcPr>
          <w:p w14:paraId="3756CA05" w14:textId="77777777" w:rsidR="008544AA" w:rsidRPr="007E650E" w:rsidRDefault="008544AA" w:rsidP="000655E5">
            <w:pPr>
              <w:pStyle w:val="BodyText"/>
            </w:pPr>
            <w:r w:rsidRPr="007E650E">
              <w:t>Adobe Flash</w:t>
            </w:r>
          </w:p>
        </w:tc>
        <w:tc>
          <w:tcPr>
            <w:tcW w:w="771" w:type="dxa"/>
            <w:tcBorders>
              <w:top w:val="nil"/>
              <w:left w:val="nil"/>
              <w:bottom w:val="single" w:sz="8" w:space="0" w:color="000000" w:themeColor="text1"/>
              <w:right w:val="single" w:sz="8" w:space="0" w:color="000000" w:themeColor="text1"/>
            </w:tcBorders>
            <w:hideMark/>
          </w:tcPr>
          <w:p w14:paraId="1790E315" w14:textId="77777777" w:rsidR="008544AA" w:rsidRPr="007E650E" w:rsidRDefault="008544AA" w:rsidP="000655E5">
            <w:pPr>
              <w:pStyle w:val="BodyText"/>
            </w:pPr>
            <w:r w:rsidRPr="007E650E">
              <w:t>v11+</w:t>
            </w:r>
          </w:p>
        </w:tc>
        <w:tc>
          <w:tcPr>
            <w:tcW w:w="925" w:type="dxa"/>
            <w:tcBorders>
              <w:top w:val="nil"/>
              <w:left w:val="nil"/>
              <w:bottom w:val="single" w:sz="8" w:space="0" w:color="000000" w:themeColor="text1"/>
              <w:right w:val="single" w:sz="8" w:space="0" w:color="000000" w:themeColor="text1"/>
            </w:tcBorders>
            <w:hideMark/>
          </w:tcPr>
          <w:p w14:paraId="2C645820" w14:textId="77777777" w:rsidR="008544AA" w:rsidRPr="007E650E" w:rsidRDefault="008544AA" w:rsidP="000655E5">
            <w:pPr>
              <w:pStyle w:val="BodyText"/>
            </w:pPr>
            <w:r w:rsidRPr="007E650E">
              <w:t>v11+</w:t>
            </w:r>
          </w:p>
        </w:tc>
        <w:tc>
          <w:tcPr>
            <w:tcW w:w="5701" w:type="dxa"/>
            <w:tcBorders>
              <w:top w:val="nil"/>
              <w:left w:val="nil"/>
              <w:bottom w:val="single" w:sz="8" w:space="0" w:color="000000" w:themeColor="text1"/>
              <w:right w:val="single" w:sz="8" w:space="0" w:color="000000" w:themeColor="text1"/>
            </w:tcBorders>
            <w:hideMark/>
          </w:tcPr>
          <w:p w14:paraId="20957FA5" w14:textId="77777777" w:rsidR="008544AA" w:rsidRPr="007E650E" w:rsidRDefault="008544AA" w:rsidP="000655E5">
            <w:pPr>
              <w:pStyle w:val="BodyText"/>
            </w:pPr>
            <w:hyperlink r:id="rId88" w:history="1">
              <w:r w:rsidRPr="007E650E">
                <w:rPr>
                  <w:color w:val="467886" w:themeColor="hyperlink"/>
                  <w:u w:val="single"/>
                </w:rPr>
                <w:t>Adobe Flash</w:t>
              </w:r>
            </w:hyperlink>
          </w:p>
        </w:tc>
      </w:tr>
      <w:tr w:rsidR="008544AA" w:rsidRPr="007E650E" w14:paraId="32F05B65" w14:textId="77777777" w:rsidTr="01476CFA">
        <w:tc>
          <w:tcPr>
            <w:tcW w:w="1943" w:type="dxa"/>
            <w:tcBorders>
              <w:top w:val="nil"/>
              <w:left w:val="single" w:sz="8" w:space="0" w:color="000000" w:themeColor="text1"/>
              <w:bottom w:val="single" w:sz="8" w:space="0" w:color="000000" w:themeColor="text1"/>
              <w:right w:val="single" w:sz="8" w:space="0" w:color="000000" w:themeColor="text1"/>
            </w:tcBorders>
            <w:hideMark/>
          </w:tcPr>
          <w:p w14:paraId="3DDE69D3" w14:textId="77777777" w:rsidR="008544AA" w:rsidRPr="007E650E" w:rsidRDefault="008544AA" w:rsidP="000655E5">
            <w:pPr>
              <w:pStyle w:val="BodyText"/>
            </w:pPr>
            <w:proofErr w:type="spellStart"/>
            <w:r w:rsidRPr="007E650E">
              <w:rPr>
                <w:lang w:val="en-US"/>
              </w:rPr>
              <w:t>Meadco</w:t>
            </w:r>
            <w:proofErr w:type="spellEnd"/>
            <w:r w:rsidRPr="007E650E">
              <w:rPr>
                <w:lang w:val="en-US"/>
              </w:rPr>
              <w:t xml:space="preserve"> </w:t>
            </w:r>
            <w:proofErr w:type="spellStart"/>
            <w:r w:rsidRPr="007E650E">
              <w:rPr>
                <w:lang w:val="en-US"/>
              </w:rPr>
              <w:t>ScriptX</w:t>
            </w:r>
            <w:proofErr w:type="spellEnd"/>
            <w:r w:rsidRPr="007E650E">
              <w:rPr>
                <w:lang w:val="en-US"/>
              </w:rPr>
              <w:t xml:space="preserve"> </w:t>
            </w:r>
          </w:p>
        </w:tc>
        <w:tc>
          <w:tcPr>
            <w:tcW w:w="771" w:type="dxa"/>
            <w:tcBorders>
              <w:top w:val="nil"/>
              <w:left w:val="nil"/>
              <w:bottom w:val="single" w:sz="8" w:space="0" w:color="000000" w:themeColor="text1"/>
              <w:right w:val="single" w:sz="8" w:space="0" w:color="000000" w:themeColor="text1"/>
            </w:tcBorders>
            <w:hideMark/>
          </w:tcPr>
          <w:p w14:paraId="188E963A" w14:textId="77777777" w:rsidR="008544AA" w:rsidRPr="007E650E" w:rsidRDefault="008544AA" w:rsidP="000655E5">
            <w:pPr>
              <w:pStyle w:val="BodyText"/>
            </w:pPr>
            <w:r w:rsidRPr="007E650E">
              <w:t>v7.4+</w:t>
            </w:r>
          </w:p>
        </w:tc>
        <w:tc>
          <w:tcPr>
            <w:tcW w:w="925" w:type="dxa"/>
            <w:tcBorders>
              <w:top w:val="nil"/>
              <w:left w:val="nil"/>
              <w:bottom w:val="single" w:sz="8" w:space="0" w:color="000000" w:themeColor="text1"/>
              <w:right w:val="single" w:sz="8" w:space="0" w:color="000000" w:themeColor="text1"/>
            </w:tcBorders>
            <w:hideMark/>
          </w:tcPr>
          <w:p w14:paraId="3125E8FE" w14:textId="77777777" w:rsidR="008544AA" w:rsidRPr="007E650E" w:rsidRDefault="008544AA" w:rsidP="000655E5">
            <w:pPr>
              <w:pStyle w:val="BodyText"/>
            </w:pPr>
            <w:r w:rsidRPr="007E650E">
              <w:t>v7.4+</w:t>
            </w:r>
          </w:p>
        </w:tc>
        <w:tc>
          <w:tcPr>
            <w:tcW w:w="5701" w:type="dxa"/>
            <w:tcBorders>
              <w:top w:val="nil"/>
              <w:left w:val="nil"/>
              <w:bottom w:val="single" w:sz="8" w:space="0" w:color="000000" w:themeColor="text1"/>
              <w:right w:val="single" w:sz="8" w:space="0" w:color="000000" w:themeColor="text1"/>
            </w:tcBorders>
            <w:hideMark/>
          </w:tcPr>
          <w:p w14:paraId="16681B69" w14:textId="77777777" w:rsidR="008544AA" w:rsidRPr="007E650E" w:rsidRDefault="008544AA" w:rsidP="000655E5">
            <w:pPr>
              <w:pStyle w:val="BodyText"/>
            </w:pPr>
            <w:hyperlink r:id="rId89" w:history="1">
              <w:proofErr w:type="spellStart"/>
              <w:r w:rsidRPr="007E650E">
                <w:rPr>
                  <w:color w:val="467886" w:themeColor="hyperlink"/>
                  <w:u w:val="single"/>
                </w:rPr>
                <w:t>Meadco</w:t>
              </w:r>
              <w:proofErr w:type="spellEnd"/>
              <w:r w:rsidRPr="007E650E">
                <w:rPr>
                  <w:color w:val="467886" w:themeColor="hyperlink"/>
                  <w:u w:val="single"/>
                </w:rPr>
                <w:t xml:space="preserve"> </w:t>
              </w:r>
              <w:proofErr w:type="spellStart"/>
              <w:r w:rsidRPr="007E650E">
                <w:rPr>
                  <w:color w:val="467886" w:themeColor="hyperlink"/>
                  <w:u w:val="single"/>
                </w:rPr>
                <w:t>ScriptX</w:t>
              </w:r>
              <w:proofErr w:type="spellEnd"/>
            </w:hyperlink>
          </w:p>
        </w:tc>
      </w:tr>
      <w:tr w:rsidR="008544AA" w:rsidRPr="007E650E" w14:paraId="33E59116" w14:textId="77777777" w:rsidTr="01476CFA">
        <w:tc>
          <w:tcPr>
            <w:tcW w:w="1943" w:type="dxa"/>
            <w:tcBorders>
              <w:top w:val="nil"/>
              <w:left w:val="single" w:sz="8" w:space="0" w:color="000000" w:themeColor="text1"/>
              <w:bottom w:val="single" w:sz="4" w:space="0" w:color="000000" w:themeColor="text1"/>
              <w:right w:val="single" w:sz="8" w:space="0" w:color="000000" w:themeColor="text1"/>
            </w:tcBorders>
            <w:hideMark/>
          </w:tcPr>
          <w:p w14:paraId="49EEF9C6" w14:textId="77777777" w:rsidR="008544AA" w:rsidRPr="007E650E" w:rsidRDefault="008544AA" w:rsidP="000655E5">
            <w:pPr>
              <w:pStyle w:val="BodyText"/>
            </w:pPr>
            <w:r w:rsidRPr="007E650E">
              <w:rPr>
                <w:lang w:val="en-US"/>
              </w:rPr>
              <w:t xml:space="preserve">Microsoft </w:t>
            </w:r>
            <w:proofErr w:type="spellStart"/>
            <w:r w:rsidRPr="007E650E">
              <w:rPr>
                <w:lang w:val="en-US"/>
              </w:rPr>
              <w:t>RSClientPrint</w:t>
            </w:r>
            <w:proofErr w:type="spellEnd"/>
            <w:r w:rsidRPr="007E650E">
              <w:rPr>
                <w:lang w:val="en-US"/>
              </w:rPr>
              <w:t xml:space="preserve"> for SSRS reports</w:t>
            </w:r>
          </w:p>
        </w:tc>
        <w:tc>
          <w:tcPr>
            <w:tcW w:w="771" w:type="dxa"/>
            <w:tcBorders>
              <w:top w:val="nil"/>
              <w:left w:val="nil"/>
              <w:bottom w:val="single" w:sz="4" w:space="0" w:color="000000" w:themeColor="text1"/>
              <w:right w:val="single" w:sz="8" w:space="0" w:color="000000" w:themeColor="text1"/>
            </w:tcBorders>
          </w:tcPr>
          <w:p w14:paraId="6FF0F0BA" w14:textId="77777777" w:rsidR="008544AA" w:rsidRPr="007E650E" w:rsidRDefault="008544AA" w:rsidP="000655E5">
            <w:pPr>
              <w:pStyle w:val="BodyText"/>
            </w:pPr>
          </w:p>
        </w:tc>
        <w:tc>
          <w:tcPr>
            <w:tcW w:w="925" w:type="dxa"/>
            <w:tcBorders>
              <w:top w:val="nil"/>
              <w:left w:val="nil"/>
              <w:bottom w:val="single" w:sz="4" w:space="0" w:color="000000" w:themeColor="text1"/>
              <w:right w:val="single" w:sz="8" w:space="0" w:color="000000" w:themeColor="text1"/>
            </w:tcBorders>
          </w:tcPr>
          <w:p w14:paraId="094FFA92" w14:textId="77777777" w:rsidR="008544AA" w:rsidRPr="007E650E" w:rsidRDefault="008544AA" w:rsidP="000655E5">
            <w:pPr>
              <w:pStyle w:val="BodyText"/>
            </w:pPr>
          </w:p>
        </w:tc>
        <w:tc>
          <w:tcPr>
            <w:tcW w:w="5701" w:type="dxa"/>
            <w:tcBorders>
              <w:top w:val="nil"/>
              <w:left w:val="nil"/>
              <w:bottom w:val="single" w:sz="4" w:space="0" w:color="000000" w:themeColor="text1"/>
              <w:right w:val="single" w:sz="8" w:space="0" w:color="000000" w:themeColor="text1"/>
            </w:tcBorders>
            <w:hideMark/>
          </w:tcPr>
          <w:p w14:paraId="5C4C7533" w14:textId="77777777" w:rsidR="008544AA" w:rsidRPr="007E650E" w:rsidRDefault="008544AA" w:rsidP="000655E5">
            <w:pPr>
              <w:pStyle w:val="BodyText"/>
            </w:pPr>
            <w:r w:rsidRPr="007E650E">
              <w:rPr>
                <w:lang w:val="en-US"/>
              </w:rPr>
              <w:t>Downloading and installing the ActiveX control RSClientPrint.cab requires administrator permissions on the client machine.</w:t>
            </w:r>
          </w:p>
          <w:p w14:paraId="7C390E46" w14:textId="77777777" w:rsidR="008544AA" w:rsidRPr="007E650E" w:rsidRDefault="008544AA" w:rsidP="000655E5">
            <w:pPr>
              <w:pStyle w:val="BodyText"/>
            </w:pPr>
            <w:r w:rsidRPr="007E650E">
              <w:t>A user with permissions would opt to install when prompted by their browser to download the Active X control.</w:t>
            </w:r>
          </w:p>
        </w:tc>
      </w:tr>
      <w:tr w:rsidR="008544AA" w:rsidRPr="007E650E" w14:paraId="0006908B" w14:textId="77777777" w:rsidTr="01476CFA">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BC400" w14:textId="77777777" w:rsidR="008544AA" w:rsidRPr="007E650E" w:rsidRDefault="008544AA" w:rsidP="000655E5">
            <w:pPr>
              <w:pStyle w:val="BodyText"/>
            </w:pPr>
            <w:proofErr w:type="spellStart"/>
            <w:r w:rsidRPr="007E650E">
              <w:rPr>
                <w:lang w:val="en-US"/>
              </w:rPr>
              <w:t>DynamSoft</w:t>
            </w:r>
            <w:proofErr w:type="spellEnd"/>
            <w:r w:rsidRPr="007E650E">
              <w:rPr>
                <w:lang w:val="en-US"/>
              </w:rPr>
              <w:t xml:space="preserve"> HTML5 Document Scanning </w:t>
            </w:r>
          </w:p>
        </w:t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AE0A8" w14:textId="77777777" w:rsidR="008544AA" w:rsidRPr="007E650E" w:rsidRDefault="008544AA" w:rsidP="000655E5">
            <w:pPr>
              <w:pStyle w:val="BodyText"/>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970C2" w14:textId="77777777" w:rsidR="008544AA" w:rsidRPr="007E650E" w:rsidRDefault="008544AA" w:rsidP="000655E5">
            <w:pPr>
              <w:pStyle w:val="BodyText"/>
            </w:pPr>
          </w:p>
        </w:tc>
        <w:tc>
          <w:tcPr>
            <w:tcW w:w="5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7B99C" w14:textId="77777777" w:rsidR="008544AA" w:rsidRPr="007E650E" w:rsidRDefault="008544AA" w:rsidP="000655E5">
            <w:pPr>
              <w:pStyle w:val="BodyText"/>
              <w:rPr>
                <w:color w:val="0563C1"/>
              </w:rPr>
            </w:pPr>
            <w:hyperlink r:id="rId90" w:history="1">
              <w:proofErr w:type="spellStart"/>
              <w:r w:rsidRPr="007E650E">
                <w:rPr>
                  <w:color w:val="467886" w:themeColor="hyperlink"/>
                  <w:u w:val="single"/>
                </w:rPr>
                <w:t>DynamSoft</w:t>
              </w:r>
              <w:proofErr w:type="spellEnd"/>
            </w:hyperlink>
          </w:p>
          <w:p w14:paraId="64788EAE" w14:textId="77777777" w:rsidR="008544AA" w:rsidRPr="007E650E" w:rsidRDefault="008544AA" w:rsidP="000655E5">
            <w:pPr>
              <w:pStyle w:val="BodyText"/>
            </w:pPr>
            <w:r w:rsidRPr="007E650E">
              <w:t>Download DynamicWebTWAINHTML5Edition.exe</w:t>
            </w:r>
          </w:p>
        </w:tc>
      </w:tr>
    </w:tbl>
    <w:p w14:paraId="16E3C41E" w14:textId="77777777" w:rsidR="008544AA" w:rsidRPr="007E650E" w:rsidRDefault="008544AA" w:rsidP="000655E5">
      <w:pPr>
        <w:pStyle w:val="BodyText"/>
      </w:pPr>
    </w:p>
    <w:p w14:paraId="3AE77F67" w14:textId="619B26C1" w:rsidR="008544AA" w:rsidRPr="007E650E" w:rsidRDefault="008544AA" w:rsidP="000655E5">
      <w:pPr>
        <w:pStyle w:val="BodyText"/>
      </w:pPr>
      <w:proofErr w:type="spellStart"/>
      <w:r w:rsidRPr="007E650E">
        <w:rPr>
          <w:lang w:val="en-US"/>
        </w:rPr>
        <w:t>Meadco</w:t>
      </w:r>
      <w:proofErr w:type="spellEnd"/>
      <w:r w:rsidRPr="007E650E">
        <w:rPr>
          <w:lang w:val="en-US"/>
        </w:rPr>
        <w:t xml:space="preserve"> </w:t>
      </w:r>
      <w:proofErr w:type="spellStart"/>
      <w:r w:rsidRPr="007E650E">
        <w:rPr>
          <w:lang w:val="en-US"/>
        </w:rPr>
        <w:t>ScriptX</w:t>
      </w:r>
      <w:proofErr w:type="spellEnd"/>
      <w:r w:rsidRPr="007E650E">
        <w:rPr>
          <w:lang w:val="en-US"/>
        </w:rPr>
        <w:t xml:space="preserve"> 7.4: </w:t>
      </w:r>
      <w:proofErr w:type="spellStart"/>
      <w:r w:rsidRPr="007E650E">
        <w:rPr>
          <w:lang w:val="en-US"/>
        </w:rPr>
        <w:t>ScriptX</w:t>
      </w:r>
      <w:proofErr w:type="spellEnd"/>
      <w:r w:rsidRPr="007E650E">
        <w:rPr>
          <w:lang w:val="en-US"/>
        </w:rPr>
        <w:t xml:space="preserve"> provides for the closely controlled printing of HTML- and XML-based documents. It is a client-side ActiveX object used throughout Virtual </w:t>
      </w:r>
      <w:proofErr w:type="spellStart"/>
      <w:r w:rsidRPr="007E650E">
        <w:rPr>
          <w:lang w:val="en-US"/>
        </w:rPr>
        <w:t>OneStop</w:t>
      </w:r>
      <w:proofErr w:type="spellEnd"/>
      <w:r w:rsidRPr="007E650E">
        <w:rPr>
          <w:lang w:val="en-US"/>
        </w:rPr>
        <w:t xml:space="preserve"> to ensure the consistent formatting and appearance of printed output from any local or networked printer, regardless of the printing attributes already set in that computer</w:t>
      </w:r>
      <w:r w:rsidR="000D5ACF">
        <w:rPr>
          <w:lang w:val="en-US"/>
        </w:rPr>
        <w:t>'</w:t>
      </w:r>
      <w:r w:rsidRPr="007E650E">
        <w:rPr>
          <w:lang w:val="en-US"/>
        </w:rPr>
        <w:t xml:space="preserve">s browser. It temporarily controls printer settings such as margin sizes, header and footer information, page numbering, and whether to print in Landscape or Portrait mode. The control is in place at the time of printing a browser window or framed content; all settings are automatically restored to default settings, and no permanent changes are saved. </w:t>
      </w:r>
      <w:proofErr w:type="spellStart"/>
      <w:r w:rsidRPr="007E650E">
        <w:rPr>
          <w:lang w:val="en-US"/>
        </w:rPr>
        <w:t>ScriptX</w:t>
      </w:r>
      <w:proofErr w:type="spellEnd"/>
      <w:r w:rsidRPr="007E650E">
        <w:rPr>
          <w:lang w:val="en-US"/>
        </w:rPr>
        <w:t xml:space="preserve"> v7.5 or later is required when working with Internet Explorer 8 on Windows XP, Windows Vista, and Windows 7.</w:t>
      </w:r>
    </w:p>
    <w:p w14:paraId="5E0F6502" w14:textId="77777777" w:rsidR="008544AA" w:rsidRPr="007E650E" w:rsidRDefault="008544AA" w:rsidP="000655E5">
      <w:pPr>
        <w:pStyle w:val="BodyText"/>
      </w:pPr>
    </w:p>
    <w:p w14:paraId="0FA2D625" w14:textId="77777777" w:rsidR="008544AA" w:rsidRPr="007E650E" w:rsidRDefault="008544AA" w:rsidP="000655E5">
      <w:pPr>
        <w:pStyle w:val="BodyText"/>
      </w:pPr>
      <w:r w:rsidRPr="007E650E">
        <w:rPr>
          <w:lang w:val="en-US"/>
        </w:rPr>
        <w:lastRenderedPageBreak/>
        <w:t>Adobe Acrobat Reader 11: Certain documents (such as User Guides and Quick Reference Cards) are available to our customers on our external OPC website as Adobe Acrobat files. They are also frequently attached as some resources available on the Staff Online Resources page in Virtual LMI. These files can be read with Adobe Acrobat Reader 6.0 or higher; however, it is recommended that this recent version of Adobe Acrobat Reader be installed. Acrobat Reader is free browser software.</w:t>
      </w:r>
    </w:p>
    <w:p w14:paraId="50CAFECC" w14:textId="77777777" w:rsidR="008544AA" w:rsidRPr="007E650E" w:rsidRDefault="008544AA" w:rsidP="000655E5">
      <w:pPr>
        <w:pStyle w:val="BodyText"/>
      </w:pPr>
      <w:r w:rsidRPr="007E650E">
        <w:t xml:space="preserve">Adobe Flash 11: The Training/Learning Center Videos for Virtual </w:t>
      </w:r>
      <w:proofErr w:type="spellStart"/>
      <w:r w:rsidRPr="007E650E">
        <w:t>OneStop</w:t>
      </w:r>
      <w:proofErr w:type="spellEnd"/>
      <w:r w:rsidRPr="007E650E">
        <w:t xml:space="preserve"> can be watched with Adobe Flash 9 or later, although we recommend the current version 11. Adobe Flash is free browser software. The only limitations may be client firewalls and security obstructions that may keep the videos from functioning correctly.</w:t>
      </w:r>
    </w:p>
    <w:p w14:paraId="3DB766CF" w14:textId="77777777" w:rsidR="008544AA" w:rsidRPr="007E650E" w:rsidRDefault="008544AA" w:rsidP="000655E5">
      <w:pPr>
        <w:pStyle w:val="BodyText"/>
      </w:pPr>
      <w:proofErr w:type="spellStart"/>
      <w:r w:rsidRPr="007E650E">
        <w:rPr>
          <w:lang w:val="en-US"/>
        </w:rPr>
        <w:t>RSClientPrint</w:t>
      </w:r>
      <w:proofErr w:type="spellEnd"/>
      <w:r w:rsidRPr="007E650E">
        <w:rPr>
          <w:lang w:val="en-US"/>
        </w:rPr>
        <w:t xml:space="preserve"> is a Microsoft ActiveX control that enables client-side printing of Microsoft SQL Server Reporting Services reports. The ActiveX control displays a custom print dialog box that shares common features with other print dialog boxes. The client-side print dialog box includes a printer list for selection, a print preview option, page margin settings, orientation, etc.</w:t>
      </w:r>
    </w:p>
    <w:p w14:paraId="3FEFDECD" w14:textId="77777777" w:rsidR="008544AA" w:rsidRPr="007E650E" w:rsidRDefault="008544AA" w:rsidP="000655E5">
      <w:pPr>
        <w:pStyle w:val="BodyText"/>
      </w:pPr>
      <w:r w:rsidRPr="007E650E">
        <w:rPr>
          <w:lang w:val="en-US"/>
        </w:rPr>
        <w:t>Downloading and installing the ActiveX control RSClientPrint.cab requires administrator permissions on the client machine.</w:t>
      </w:r>
    </w:p>
    <w:p w14:paraId="5F69747F" w14:textId="77777777" w:rsidR="008544AA" w:rsidRPr="007E650E" w:rsidRDefault="008544AA" w:rsidP="000655E5">
      <w:pPr>
        <w:pStyle w:val="BodyText"/>
      </w:pPr>
      <w:r w:rsidRPr="007E650E">
        <w:rPr>
          <w:lang w:val="en-US"/>
        </w:rPr>
        <w:t xml:space="preserve">VOS uses </w:t>
      </w:r>
      <w:proofErr w:type="spellStart"/>
      <w:r w:rsidRPr="007E650E">
        <w:rPr>
          <w:lang w:val="en-US"/>
        </w:rPr>
        <w:t>CKEditor</w:t>
      </w:r>
      <w:proofErr w:type="spellEnd"/>
      <w:r w:rsidRPr="007E650E">
        <w:rPr>
          <w:lang w:val="en-US"/>
        </w:rPr>
        <w:t xml:space="preserve"> version 4.3.1</w:t>
      </w:r>
    </w:p>
    <w:p w14:paraId="0676E1A1" w14:textId="77777777" w:rsidR="008544AA" w:rsidRPr="007E650E" w:rsidRDefault="008544AA" w:rsidP="000655E5">
      <w:pPr>
        <w:pStyle w:val="BodyText"/>
      </w:pPr>
      <w:r w:rsidRPr="007E650E">
        <w:rPr>
          <w:lang w:val="en-US"/>
        </w:rPr>
        <w:t xml:space="preserve">The version 14.0 Virtual One Stop (VOS) currently uses version 4.3.1 of </w:t>
      </w:r>
      <w:proofErr w:type="spellStart"/>
      <w:r w:rsidRPr="007E650E">
        <w:rPr>
          <w:lang w:val="en-US"/>
        </w:rPr>
        <w:t>CKEditor</w:t>
      </w:r>
      <w:proofErr w:type="spellEnd"/>
      <w:r w:rsidRPr="007E650E">
        <w:rPr>
          <w:lang w:val="en-US"/>
        </w:rPr>
        <w:t xml:space="preserve">. </w:t>
      </w:r>
      <w:proofErr w:type="spellStart"/>
      <w:r w:rsidRPr="007E650E">
        <w:rPr>
          <w:lang w:val="en-US"/>
        </w:rPr>
        <w:t>CKEditor</w:t>
      </w:r>
      <w:proofErr w:type="spellEnd"/>
      <w:r w:rsidRPr="007E650E">
        <w:rPr>
          <w:lang w:val="en-US"/>
        </w:rPr>
        <w:t xml:space="preserve"> is used within the VOS system to allow you to use common word processing features in the system with such things as job descriptions, resumes, and cover letters.</w:t>
      </w:r>
    </w:p>
    <w:p w14:paraId="22F6C0D2" w14:textId="77777777" w:rsidR="008544AA" w:rsidRPr="007E650E" w:rsidRDefault="008544AA" w:rsidP="000655E5">
      <w:pPr>
        <w:pStyle w:val="BodyText"/>
      </w:pPr>
      <w:proofErr w:type="spellStart"/>
      <w:r w:rsidRPr="007E650E">
        <w:rPr>
          <w:lang w:val="en-US"/>
        </w:rPr>
        <w:t>CKEditor</w:t>
      </w:r>
      <w:proofErr w:type="spellEnd"/>
      <w:r w:rsidRPr="007E650E">
        <w:rPr>
          <w:lang w:val="en-US"/>
        </w:rPr>
        <w:t xml:space="preserve"> supports all popular browsers, including Chrome, Firefox, Internet Explorer, Opera, and Safari. However, Internet Explorer 7 (or lower) and Firefox 3.6 are no longer supported (</w:t>
      </w:r>
      <w:proofErr w:type="spellStart"/>
      <w:r w:rsidRPr="007E650E">
        <w:rPr>
          <w:lang w:val="en-US"/>
        </w:rPr>
        <w:t>CKEditor</w:t>
      </w:r>
      <w:proofErr w:type="spellEnd"/>
      <w:r w:rsidRPr="007E650E">
        <w:rPr>
          <w:lang w:val="en-US"/>
        </w:rPr>
        <w:t xml:space="preserve"> 4.1.3 was the last version to support Internet Explorer 7 and Firefox 3.6).</w:t>
      </w:r>
    </w:p>
    <w:p w14:paraId="6C759D6F" w14:textId="77777777" w:rsidR="008544AA" w:rsidRPr="007E650E" w:rsidRDefault="008544AA" w:rsidP="000655E5">
      <w:pPr>
        <w:pStyle w:val="BodyText"/>
      </w:pPr>
      <w:r w:rsidRPr="007E650E">
        <w:t>It should also be noted that while the latest version of Safari is actively supported, earlier versions may have compatibility issues.</w:t>
      </w:r>
    </w:p>
    <w:p w14:paraId="7BBC2594" w14:textId="77777777" w:rsidR="008544AA" w:rsidRDefault="008544AA" w:rsidP="000655E5">
      <w:pPr>
        <w:pStyle w:val="BodyText"/>
      </w:pPr>
      <w:r w:rsidRPr="007E650E">
        <w:t>If using these unsupported browser versions, the browser should be updated to avoid compatibility issues.</w:t>
      </w:r>
    </w:p>
    <w:p w14:paraId="5F7E92D5" w14:textId="77777777" w:rsidR="00F308AC" w:rsidRPr="00DC1DE3" w:rsidRDefault="00F308AC" w:rsidP="000655E5">
      <w:pPr>
        <w:pStyle w:val="BodyText"/>
      </w:pPr>
    </w:p>
    <w:sectPr w:rsidR="00F308AC" w:rsidRPr="00DC1DE3" w:rsidSect="008F564F">
      <w:footerReference w:type="default" r:id="rId9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2C4D" w14:textId="77777777" w:rsidR="00DF3A32" w:rsidRDefault="00DF3A32" w:rsidP="00FC67D0">
      <w:pPr>
        <w:spacing w:after="0" w:line="240" w:lineRule="auto"/>
      </w:pPr>
      <w:r>
        <w:separator/>
      </w:r>
    </w:p>
    <w:p w14:paraId="5EAF26F1" w14:textId="77777777" w:rsidR="00DF3A32" w:rsidRDefault="00DF3A32"/>
  </w:endnote>
  <w:endnote w:type="continuationSeparator" w:id="0">
    <w:p w14:paraId="40AF7B2D" w14:textId="77777777" w:rsidR="00DF3A32" w:rsidRDefault="00DF3A32" w:rsidP="00FC67D0">
      <w:pPr>
        <w:spacing w:after="0" w:line="240" w:lineRule="auto"/>
      </w:pPr>
      <w:r>
        <w:continuationSeparator/>
      </w:r>
    </w:p>
    <w:p w14:paraId="27154910" w14:textId="77777777" w:rsidR="00DF3A32" w:rsidRDefault="00DF3A32"/>
  </w:endnote>
  <w:endnote w:type="continuationNotice" w:id="1">
    <w:p w14:paraId="0E80050B" w14:textId="77777777" w:rsidR="00DF3A32" w:rsidRDefault="00DF3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7553" w14:textId="209336BE" w:rsidR="00FC67D0" w:rsidRPr="00FC67D0" w:rsidRDefault="00793684" w:rsidP="00FC67D0">
    <w:pPr>
      <w:pStyle w:val="Footer"/>
      <w:rPr>
        <w:rFonts w:ascii="Calibri" w:hAnsi="Calibri" w:cs="Calibri"/>
        <w:sz w:val="24"/>
        <w:szCs w:val="24"/>
      </w:rPr>
    </w:pPr>
    <w:r>
      <w:rPr>
        <w:rFonts w:ascii="Calibri" w:hAnsi="Calibri" w:cs="Calibri"/>
        <w:sz w:val="24"/>
        <w:szCs w:val="24"/>
      </w:rPr>
      <w:t>DHH PY 2</w:t>
    </w:r>
    <w:r w:rsidR="00C27919">
      <w:rPr>
        <w:rFonts w:ascii="Calibri" w:hAnsi="Calibri" w:cs="Calibri"/>
        <w:sz w:val="24"/>
        <w:szCs w:val="24"/>
      </w:rPr>
      <w:t>5</w:t>
    </w:r>
    <w:r>
      <w:rPr>
        <w:rFonts w:ascii="Calibri" w:hAnsi="Calibri" w:cs="Calibri"/>
        <w:sz w:val="24"/>
        <w:szCs w:val="24"/>
      </w:rPr>
      <w:t>-2</w:t>
    </w:r>
    <w:r w:rsidR="00C27919">
      <w:rPr>
        <w:rFonts w:ascii="Calibri" w:hAnsi="Calibri" w:cs="Calibri"/>
        <w:sz w:val="24"/>
        <w:szCs w:val="24"/>
      </w:rPr>
      <w:t>6</w:t>
    </w:r>
    <w:r w:rsidR="00FC67D0" w:rsidRPr="00FC67D0">
      <w:rPr>
        <w:rFonts w:ascii="Calibri" w:hAnsi="Calibri" w:cs="Calibri"/>
        <w:sz w:val="24"/>
        <w:szCs w:val="24"/>
      </w:rPr>
      <w:t xml:space="preserve"> </w:t>
    </w:r>
    <w:r w:rsidR="00A17259">
      <w:rPr>
        <w:rFonts w:ascii="Calibri" w:hAnsi="Calibri" w:cs="Calibri"/>
        <w:sz w:val="24"/>
        <w:szCs w:val="24"/>
      </w:rPr>
      <w:t>SFP</w:t>
    </w:r>
    <w:r w:rsidR="00FC67D0" w:rsidRPr="00FC67D0">
      <w:rPr>
        <w:rFonts w:ascii="Calibri" w:hAnsi="Calibri" w:cs="Calibri"/>
        <w:sz w:val="24"/>
        <w:szCs w:val="24"/>
      </w:rPr>
      <w:tab/>
    </w:r>
    <w:sdt>
      <w:sdtPr>
        <w:rPr>
          <w:rFonts w:ascii="Calibri" w:hAnsi="Calibri" w:cs="Calibri"/>
          <w:color w:val="2B579A"/>
          <w:sz w:val="24"/>
          <w:szCs w:val="24"/>
          <w:shd w:val="clear" w:color="auto" w:fill="E6E6E6"/>
        </w:rPr>
        <w:id w:val="1565142879"/>
        <w:docPartObj>
          <w:docPartGallery w:val="Page Numbers (Bottom of Page)"/>
          <w:docPartUnique/>
        </w:docPartObj>
      </w:sdtPr>
      <w:sdtEndPr>
        <w:rPr>
          <w:noProof/>
        </w:rPr>
      </w:sdtEndPr>
      <w:sdtContent>
        <w:r w:rsidR="00FC67D0" w:rsidRPr="00FC67D0">
          <w:rPr>
            <w:rFonts w:ascii="Calibri" w:hAnsi="Calibri" w:cs="Calibri"/>
            <w:color w:val="2B579A"/>
            <w:sz w:val="24"/>
            <w:szCs w:val="24"/>
            <w:shd w:val="clear" w:color="auto" w:fill="E6E6E6"/>
          </w:rPr>
          <w:fldChar w:fldCharType="begin"/>
        </w:r>
        <w:r w:rsidR="00FC67D0" w:rsidRPr="00FC67D0">
          <w:rPr>
            <w:rFonts w:ascii="Calibri" w:hAnsi="Calibri" w:cs="Calibri"/>
            <w:sz w:val="24"/>
            <w:szCs w:val="24"/>
          </w:rPr>
          <w:instrText xml:space="preserve"> PAGE   \* MERGEFORMAT </w:instrText>
        </w:r>
        <w:r w:rsidR="00FC67D0" w:rsidRPr="00FC67D0">
          <w:rPr>
            <w:rFonts w:ascii="Calibri" w:hAnsi="Calibri" w:cs="Calibri"/>
            <w:color w:val="2B579A"/>
            <w:sz w:val="24"/>
            <w:szCs w:val="24"/>
            <w:shd w:val="clear" w:color="auto" w:fill="E6E6E6"/>
          </w:rPr>
          <w:fldChar w:fldCharType="separate"/>
        </w:r>
        <w:r w:rsidR="00FC67D0" w:rsidRPr="00FC67D0">
          <w:rPr>
            <w:rFonts w:ascii="Calibri" w:hAnsi="Calibri" w:cs="Calibri"/>
            <w:noProof/>
            <w:sz w:val="24"/>
            <w:szCs w:val="24"/>
          </w:rPr>
          <w:t>1</w:t>
        </w:r>
        <w:r w:rsidR="00FC67D0" w:rsidRPr="00FC67D0">
          <w:rPr>
            <w:rFonts w:ascii="Calibri" w:hAnsi="Calibri" w:cs="Calibri"/>
            <w:noProof/>
            <w:color w:val="2B579A"/>
            <w:sz w:val="24"/>
            <w:szCs w:val="24"/>
            <w:shd w:val="clear" w:color="auto" w:fill="E6E6E6"/>
          </w:rPr>
          <w:fldChar w:fldCharType="end"/>
        </w:r>
      </w:sdtContent>
    </w:sdt>
    <w:r w:rsidR="00FC67D0" w:rsidRPr="00FC67D0">
      <w:rPr>
        <w:rFonts w:ascii="Calibri" w:hAnsi="Calibri" w:cs="Calibri"/>
        <w:noProof/>
        <w:sz w:val="24"/>
        <w:szCs w:val="24"/>
      </w:rPr>
      <w:tab/>
      <w:t xml:space="preserve"> </w:t>
    </w:r>
    <w:r w:rsidR="00A17259">
      <w:rPr>
        <w:rFonts w:ascii="Calibri" w:hAnsi="Calibri" w:cs="Calibri"/>
        <w:noProof/>
        <w:sz w:val="24"/>
        <w:szCs w:val="24"/>
      </w:rPr>
      <w:t>April 2025</w:t>
    </w:r>
  </w:p>
  <w:p w14:paraId="0750DF14" w14:textId="77777777" w:rsidR="00FC67D0" w:rsidRDefault="00FC67D0">
    <w:pPr>
      <w:pStyle w:val="Footer"/>
    </w:pPr>
  </w:p>
  <w:p w14:paraId="75890C8E" w14:textId="77777777" w:rsidR="007B2644" w:rsidRDefault="007B26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F818" w14:textId="5DCD9E3A" w:rsidR="00544A1E" w:rsidRPr="00FC67D0" w:rsidRDefault="004846ED" w:rsidP="00544A1E">
    <w:pPr>
      <w:pStyle w:val="Footer"/>
      <w:rPr>
        <w:rFonts w:ascii="Calibri" w:hAnsi="Calibri" w:cs="Calibri"/>
        <w:sz w:val="24"/>
        <w:szCs w:val="24"/>
      </w:rPr>
    </w:pPr>
    <w:r>
      <w:rPr>
        <w:rFonts w:ascii="Calibri" w:hAnsi="Calibri" w:cs="Calibri"/>
        <w:sz w:val="24"/>
        <w:szCs w:val="24"/>
      </w:rPr>
      <w:t>DHH PY 2</w:t>
    </w:r>
    <w:r w:rsidR="001D46A4">
      <w:rPr>
        <w:rFonts w:ascii="Calibri" w:hAnsi="Calibri" w:cs="Calibri"/>
        <w:sz w:val="24"/>
        <w:szCs w:val="24"/>
      </w:rPr>
      <w:t>5</w:t>
    </w:r>
    <w:r>
      <w:rPr>
        <w:rFonts w:ascii="Calibri" w:hAnsi="Calibri" w:cs="Calibri"/>
        <w:sz w:val="24"/>
        <w:szCs w:val="24"/>
      </w:rPr>
      <w:t>-2</w:t>
    </w:r>
    <w:r w:rsidR="001D46A4">
      <w:rPr>
        <w:rFonts w:ascii="Calibri" w:hAnsi="Calibri" w:cs="Calibri"/>
        <w:sz w:val="24"/>
        <w:szCs w:val="24"/>
      </w:rPr>
      <w:t>6</w:t>
    </w:r>
    <w:r>
      <w:rPr>
        <w:rFonts w:ascii="Calibri" w:hAnsi="Calibri" w:cs="Calibri"/>
        <w:sz w:val="24"/>
        <w:szCs w:val="24"/>
      </w:rPr>
      <w:t xml:space="preserve"> SFP</w:t>
    </w:r>
    <w:r w:rsidR="00544A1E" w:rsidRPr="00FC67D0">
      <w:rPr>
        <w:rFonts w:ascii="Calibri" w:hAnsi="Calibri" w:cs="Calibri"/>
        <w:sz w:val="24"/>
        <w:szCs w:val="24"/>
      </w:rPr>
      <w:t xml:space="preserve"> </w:t>
    </w:r>
    <w:r w:rsidR="00544A1E" w:rsidRPr="00FC67D0">
      <w:rPr>
        <w:rFonts w:ascii="Calibri" w:hAnsi="Calibri" w:cs="Calibri"/>
        <w:sz w:val="24"/>
        <w:szCs w:val="24"/>
      </w:rPr>
      <w:tab/>
    </w:r>
    <w:sdt>
      <w:sdtPr>
        <w:rPr>
          <w:rFonts w:ascii="Calibri" w:hAnsi="Calibri" w:cs="Calibri"/>
          <w:color w:val="2B579A"/>
          <w:sz w:val="24"/>
          <w:szCs w:val="24"/>
          <w:shd w:val="clear" w:color="auto" w:fill="E6E6E6"/>
        </w:rPr>
        <w:id w:val="578870160"/>
        <w:docPartObj>
          <w:docPartGallery w:val="Page Numbers (Bottom of Page)"/>
          <w:docPartUnique/>
        </w:docPartObj>
      </w:sdtPr>
      <w:sdtEndPr>
        <w:rPr>
          <w:noProof/>
        </w:rPr>
      </w:sdtEndPr>
      <w:sdtContent>
        <w:r w:rsidR="00544A1E" w:rsidRPr="00544A1E">
          <w:rPr>
            <w:rFonts w:ascii="Calibri" w:hAnsi="Calibri" w:cs="Calibri"/>
            <w:color w:val="2B579A"/>
            <w:sz w:val="24"/>
            <w:szCs w:val="24"/>
            <w:shd w:val="clear" w:color="auto" w:fill="E6E6E6"/>
          </w:rPr>
          <w:fldChar w:fldCharType="begin"/>
        </w:r>
        <w:r w:rsidR="00544A1E" w:rsidRPr="00544A1E">
          <w:rPr>
            <w:rFonts w:ascii="Calibri" w:hAnsi="Calibri" w:cs="Calibri"/>
            <w:sz w:val="24"/>
            <w:szCs w:val="24"/>
          </w:rPr>
          <w:instrText xml:space="preserve"> PAGE   \* MERGEFORMAT </w:instrText>
        </w:r>
        <w:r w:rsidR="00544A1E" w:rsidRPr="00544A1E">
          <w:rPr>
            <w:rFonts w:ascii="Calibri" w:hAnsi="Calibri" w:cs="Calibri"/>
            <w:color w:val="2B579A"/>
            <w:sz w:val="24"/>
            <w:szCs w:val="24"/>
            <w:shd w:val="clear" w:color="auto" w:fill="E6E6E6"/>
          </w:rPr>
          <w:fldChar w:fldCharType="separate"/>
        </w:r>
        <w:r w:rsidR="00544A1E" w:rsidRPr="00544A1E">
          <w:rPr>
            <w:rFonts w:ascii="Calibri" w:hAnsi="Calibri" w:cs="Calibri"/>
            <w:noProof/>
            <w:sz w:val="24"/>
            <w:szCs w:val="24"/>
          </w:rPr>
          <w:t>1</w:t>
        </w:r>
        <w:r w:rsidR="00544A1E" w:rsidRPr="00544A1E">
          <w:rPr>
            <w:rFonts w:ascii="Calibri" w:hAnsi="Calibri" w:cs="Calibri"/>
            <w:noProof/>
            <w:color w:val="2B579A"/>
            <w:sz w:val="24"/>
            <w:szCs w:val="24"/>
            <w:shd w:val="clear" w:color="auto" w:fill="E6E6E6"/>
          </w:rPr>
          <w:fldChar w:fldCharType="end"/>
        </w:r>
      </w:sdtContent>
    </w:sdt>
    <w:r w:rsidR="00544A1E" w:rsidRPr="00FC67D0">
      <w:rPr>
        <w:rFonts w:ascii="Calibri" w:hAnsi="Calibri" w:cs="Calibri"/>
        <w:noProof/>
        <w:sz w:val="24"/>
        <w:szCs w:val="24"/>
      </w:rPr>
      <w:tab/>
      <w:t xml:space="preserve"> </w:t>
    </w:r>
    <w:r w:rsidRPr="004846ED">
      <w:rPr>
        <w:rFonts w:ascii="Calibri" w:hAnsi="Calibri" w:cs="Calibri"/>
        <w:noProof/>
        <w:sz w:val="24"/>
        <w:szCs w:val="24"/>
      </w:rPr>
      <w:t>April 2025</w:t>
    </w:r>
  </w:p>
  <w:p w14:paraId="1D68C2BA" w14:textId="77777777" w:rsidR="00544A1E" w:rsidRPr="00544A1E" w:rsidRDefault="00544A1E" w:rsidP="00544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F01B" w14:textId="74F30FD4" w:rsidR="00F308AC" w:rsidRPr="00E215BD" w:rsidRDefault="00F308AC" w:rsidP="00C05801">
    <w:pPr>
      <w:pStyle w:val="Footer"/>
      <w:rPr>
        <w:rFonts w:ascii="Calibri" w:hAnsi="Calibri" w:cs="Calibri"/>
      </w:rPr>
    </w:pPr>
    <w:r w:rsidRPr="00E215BD">
      <w:rPr>
        <w:rFonts w:ascii="Calibri" w:hAnsi="Calibri" w:cs="Calibri"/>
        <w:sz w:val="24"/>
        <w:szCs w:val="24"/>
      </w:rPr>
      <w:t xml:space="preserve">DHH PY 2025-26 </w:t>
    </w:r>
    <w:r w:rsidRPr="00E215BD">
      <w:rPr>
        <w:rFonts w:ascii="Calibri" w:hAnsi="Calibri" w:cs="Calibri"/>
        <w:sz w:val="24"/>
        <w:szCs w:val="24"/>
      </w:rPr>
      <w:tab/>
    </w:r>
    <w:r w:rsidRPr="00E215BD">
      <w:rPr>
        <w:rFonts w:ascii="Calibri" w:hAnsi="Calibri" w:cs="Calibri"/>
        <w:sz w:val="24"/>
        <w:szCs w:val="24"/>
      </w:rPr>
      <w:fldChar w:fldCharType="begin"/>
    </w:r>
    <w:r w:rsidRPr="00E215BD">
      <w:rPr>
        <w:rFonts w:ascii="Calibri" w:hAnsi="Calibri" w:cs="Calibri"/>
        <w:sz w:val="24"/>
        <w:szCs w:val="24"/>
      </w:rPr>
      <w:instrText xml:space="preserve"> PAGE  \* Arabic  \* MERGEFORMAT </w:instrText>
    </w:r>
    <w:r w:rsidRPr="00E215BD">
      <w:rPr>
        <w:rFonts w:ascii="Calibri" w:hAnsi="Calibri" w:cs="Calibri"/>
        <w:sz w:val="24"/>
        <w:szCs w:val="24"/>
      </w:rPr>
      <w:fldChar w:fldCharType="separate"/>
    </w:r>
    <w:r w:rsidRPr="00E215BD">
      <w:rPr>
        <w:rFonts w:ascii="Calibri" w:hAnsi="Calibri" w:cs="Calibri"/>
        <w:noProof/>
        <w:sz w:val="24"/>
        <w:szCs w:val="24"/>
      </w:rPr>
      <w:t>31</w:t>
    </w:r>
    <w:r w:rsidRPr="00E215BD">
      <w:rPr>
        <w:rFonts w:ascii="Calibri" w:hAnsi="Calibri" w:cs="Calibri"/>
        <w:sz w:val="24"/>
        <w:szCs w:val="24"/>
      </w:rPr>
      <w:fldChar w:fldCharType="end"/>
    </w:r>
    <w:r w:rsidRPr="00E215BD">
      <w:rPr>
        <w:rFonts w:ascii="Calibri" w:hAnsi="Calibri" w:cs="Calibri"/>
        <w:sz w:val="24"/>
        <w:szCs w:val="24"/>
      </w:rPr>
      <w:tab/>
      <w:t>April 202</w:t>
    </w:r>
    <w:r w:rsidR="00305C0D" w:rsidRPr="00E215BD">
      <w:rPr>
        <w:rFonts w:ascii="Calibri" w:hAnsi="Calibri" w:cs="Calibri"/>
        <w:sz w:val="24"/>
        <w:szCs w:val="24"/>
      </w:rPr>
      <w:t>5</w:t>
    </w:r>
  </w:p>
  <w:p w14:paraId="2CA5EC76" w14:textId="77777777" w:rsidR="00BD16EA" w:rsidRPr="00E215BD" w:rsidRDefault="00BD16EA">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5D81E" w14:textId="77777777" w:rsidR="00DF3A32" w:rsidRDefault="00DF3A32" w:rsidP="00FC67D0">
      <w:pPr>
        <w:spacing w:after="0" w:line="240" w:lineRule="auto"/>
      </w:pPr>
      <w:r>
        <w:separator/>
      </w:r>
    </w:p>
    <w:p w14:paraId="6700D83A" w14:textId="77777777" w:rsidR="00DF3A32" w:rsidRDefault="00DF3A32"/>
  </w:footnote>
  <w:footnote w:type="continuationSeparator" w:id="0">
    <w:p w14:paraId="51185755" w14:textId="77777777" w:rsidR="00DF3A32" w:rsidRDefault="00DF3A32" w:rsidP="00FC67D0">
      <w:pPr>
        <w:spacing w:after="0" w:line="240" w:lineRule="auto"/>
      </w:pPr>
      <w:r>
        <w:continuationSeparator/>
      </w:r>
    </w:p>
    <w:p w14:paraId="2DDB4B92" w14:textId="77777777" w:rsidR="00DF3A32" w:rsidRDefault="00DF3A32"/>
  </w:footnote>
  <w:footnote w:type="continuationNotice" w:id="1">
    <w:p w14:paraId="77D0229E" w14:textId="77777777" w:rsidR="00DF3A32" w:rsidRDefault="00DF3A32">
      <w:pPr>
        <w:spacing w:after="0" w:line="240" w:lineRule="auto"/>
      </w:pPr>
    </w:p>
  </w:footnote>
  <w:footnote w:id="2">
    <w:p w14:paraId="072502BF" w14:textId="77777777" w:rsidR="00A42E54" w:rsidRPr="00450706" w:rsidRDefault="00A42E54" w:rsidP="00A42E54">
      <w:pPr>
        <w:pStyle w:val="FootnoteText"/>
        <w:rPr>
          <w:rFonts w:ascii="Calibri" w:hAnsi="Calibri" w:cs="Calibri"/>
          <w:sz w:val="24"/>
          <w:szCs w:val="24"/>
        </w:rPr>
      </w:pPr>
      <w:r>
        <w:rPr>
          <w:rStyle w:val="FootnoteReference"/>
          <w:rFonts w:ascii="Calibri" w:hAnsi="Calibri" w:cs="Calibri"/>
          <w:sz w:val="24"/>
        </w:rPr>
        <w:footnoteRef/>
      </w:r>
      <w:r>
        <w:rPr>
          <w:rFonts w:ascii="Calibri" w:hAnsi="Calibri" w:cs="Calibri"/>
          <w:sz w:val="24"/>
        </w:rPr>
        <w:t xml:space="preserve"> All Workforce Services Directives cited in </w:t>
      </w:r>
      <w:r w:rsidRPr="00450706">
        <w:rPr>
          <w:rFonts w:ascii="Calibri" w:hAnsi="Calibri" w:cs="Calibri"/>
          <w:sz w:val="24"/>
          <w:szCs w:val="24"/>
        </w:rPr>
        <w:t xml:space="preserve">this SFP can be found on the </w:t>
      </w:r>
      <w:hyperlink r:id="rId1" w:history="1">
        <w:r w:rsidRPr="00905691">
          <w:rPr>
            <w:rStyle w:val="Hyperlink"/>
            <w:rFonts w:ascii="Calibri" w:eastAsiaTheme="majorEastAsia" w:hAnsi="Calibri" w:cs="Calibri"/>
            <w:color w:val="0070C0"/>
            <w:sz w:val="24"/>
            <w:szCs w:val="24"/>
          </w:rPr>
          <w:t>EDD website</w:t>
        </w:r>
      </w:hyperlink>
      <w:r w:rsidRPr="00905691">
        <w:rPr>
          <w:rFonts w:ascii="Calibri" w:hAnsi="Calibri" w:cs="Calibr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241C"/>
    <w:multiLevelType w:val="multilevel"/>
    <w:tmpl w:val="EC528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BB5DAC"/>
    <w:multiLevelType w:val="hybridMultilevel"/>
    <w:tmpl w:val="A6046CE6"/>
    <w:lvl w:ilvl="0" w:tplc="1CD225B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17C"/>
    <w:multiLevelType w:val="hybridMultilevel"/>
    <w:tmpl w:val="CE24E5FC"/>
    <w:lvl w:ilvl="0" w:tplc="75D6068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A0A92"/>
    <w:multiLevelType w:val="hybridMultilevel"/>
    <w:tmpl w:val="A394EED8"/>
    <w:lvl w:ilvl="0" w:tplc="6510A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33776"/>
    <w:multiLevelType w:val="multilevel"/>
    <w:tmpl w:val="A32EBA56"/>
    <w:lvl w:ilvl="0">
      <w:start w:val="2"/>
      <w:numFmt w:val="decimal"/>
      <w:pStyle w:val="Heading2"/>
      <w:lvlText w:val="%1."/>
      <w:lvlJc w:val="left"/>
      <w:pPr>
        <w:ind w:left="1080" w:hanging="720"/>
      </w:pPr>
      <w:rPr>
        <w:rFonts w:hint="default"/>
      </w:rPr>
    </w:lvl>
    <w:lvl w:ilvl="1">
      <w:start w:val="2"/>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5" w15:restartNumberingAfterBreak="0">
    <w:nsid w:val="255F6ACD"/>
    <w:multiLevelType w:val="hybridMultilevel"/>
    <w:tmpl w:val="10283D5A"/>
    <w:lvl w:ilvl="0" w:tplc="1F58EB9A">
      <w:numFmt w:val="bullet"/>
      <w:lvlText w:val=""/>
      <w:lvlJc w:val="left"/>
      <w:pPr>
        <w:ind w:left="1059" w:hanging="360"/>
      </w:pPr>
      <w:rPr>
        <w:rFonts w:ascii="Symbol" w:eastAsia="Symbol" w:hAnsi="Symbol" w:cs="Symbol" w:hint="default"/>
        <w:w w:val="100"/>
        <w:sz w:val="24"/>
        <w:szCs w:val="24"/>
        <w:lang w:val="en-US" w:eastAsia="en-US" w:bidi="en-US"/>
      </w:rPr>
    </w:lvl>
    <w:lvl w:ilvl="1" w:tplc="0BAE4D86">
      <w:numFmt w:val="bullet"/>
      <w:lvlText w:val=""/>
      <w:lvlJc w:val="left"/>
      <w:pPr>
        <w:ind w:left="1779" w:hanging="360"/>
      </w:pPr>
      <w:rPr>
        <w:rFonts w:ascii="Symbol" w:eastAsia="Symbol" w:hAnsi="Symbol" w:cs="Symbol" w:hint="default"/>
        <w:w w:val="100"/>
        <w:sz w:val="24"/>
        <w:szCs w:val="24"/>
        <w:lang w:val="en-US" w:eastAsia="en-US" w:bidi="en-US"/>
      </w:rPr>
    </w:lvl>
    <w:lvl w:ilvl="2" w:tplc="77EC2AF8">
      <w:numFmt w:val="bullet"/>
      <w:lvlText w:val="•"/>
      <w:lvlJc w:val="left"/>
      <w:pPr>
        <w:ind w:left="2736" w:hanging="360"/>
      </w:pPr>
      <w:rPr>
        <w:rFonts w:hint="default"/>
        <w:lang w:val="en-US" w:eastAsia="en-US" w:bidi="en-US"/>
      </w:rPr>
    </w:lvl>
    <w:lvl w:ilvl="3" w:tplc="E5208E5A">
      <w:numFmt w:val="bullet"/>
      <w:lvlText w:val="•"/>
      <w:lvlJc w:val="left"/>
      <w:pPr>
        <w:ind w:left="3694" w:hanging="360"/>
      </w:pPr>
      <w:rPr>
        <w:rFonts w:hint="default"/>
        <w:lang w:val="en-US" w:eastAsia="en-US" w:bidi="en-US"/>
      </w:rPr>
    </w:lvl>
    <w:lvl w:ilvl="4" w:tplc="AE6C0334">
      <w:numFmt w:val="bullet"/>
      <w:lvlText w:val="•"/>
      <w:lvlJc w:val="left"/>
      <w:pPr>
        <w:ind w:left="4652" w:hanging="360"/>
      </w:pPr>
      <w:rPr>
        <w:rFonts w:hint="default"/>
        <w:lang w:val="en-US" w:eastAsia="en-US" w:bidi="en-US"/>
      </w:rPr>
    </w:lvl>
    <w:lvl w:ilvl="5" w:tplc="40964DF2">
      <w:numFmt w:val="bullet"/>
      <w:lvlText w:val="•"/>
      <w:lvlJc w:val="left"/>
      <w:pPr>
        <w:ind w:left="5610" w:hanging="360"/>
      </w:pPr>
      <w:rPr>
        <w:rFonts w:hint="default"/>
        <w:lang w:val="en-US" w:eastAsia="en-US" w:bidi="en-US"/>
      </w:rPr>
    </w:lvl>
    <w:lvl w:ilvl="6" w:tplc="BF0CD130">
      <w:numFmt w:val="bullet"/>
      <w:lvlText w:val="•"/>
      <w:lvlJc w:val="left"/>
      <w:pPr>
        <w:ind w:left="6567" w:hanging="360"/>
      </w:pPr>
      <w:rPr>
        <w:rFonts w:hint="default"/>
        <w:lang w:val="en-US" w:eastAsia="en-US" w:bidi="en-US"/>
      </w:rPr>
    </w:lvl>
    <w:lvl w:ilvl="7" w:tplc="D0782294">
      <w:numFmt w:val="bullet"/>
      <w:lvlText w:val="•"/>
      <w:lvlJc w:val="left"/>
      <w:pPr>
        <w:ind w:left="7525" w:hanging="360"/>
      </w:pPr>
      <w:rPr>
        <w:rFonts w:hint="default"/>
        <w:lang w:val="en-US" w:eastAsia="en-US" w:bidi="en-US"/>
      </w:rPr>
    </w:lvl>
    <w:lvl w:ilvl="8" w:tplc="EB7C8B7A">
      <w:numFmt w:val="bullet"/>
      <w:lvlText w:val="•"/>
      <w:lvlJc w:val="left"/>
      <w:pPr>
        <w:ind w:left="8483" w:hanging="360"/>
      </w:pPr>
      <w:rPr>
        <w:rFonts w:hint="default"/>
        <w:lang w:val="en-US" w:eastAsia="en-US" w:bidi="en-US"/>
      </w:rPr>
    </w:lvl>
  </w:abstractNum>
  <w:abstractNum w:abstractNumId="6" w15:restartNumberingAfterBreak="0">
    <w:nsid w:val="27E00522"/>
    <w:multiLevelType w:val="hybridMultilevel"/>
    <w:tmpl w:val="FB349CE2"/>
    <w:lvl w:ilvl="0" w:tplc="1B666BFE">
      <w:start w:val="1"/>
      <w:numFmt w:val="upperLetter"/>
      <w:pStyle w:val="Heading3"/>
      <w:lvlText w:val="%1."/>
      <w:lvlJc w:val="left"/>
      <w:pPr>
        <w:ind w:left="720" w:hanging="360"/>
      </w:pPr>
      <w:rPr>
        <w:rFonts w:hint="default"/>
        <w:sz w:val="28"/>
        <w:szCs w:val="28"/>
      </w:rPr>
    </w:lvl>
    <w:lvl w:ilvl="1" w:tplc="1458C9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B1D78"/>
    <w:multiLevelType w:val="hybridMultilevel"/>
    <w:tmpl w:val="1ED4EDF0"/>
    <w:lvl w:ilvl="0" w:tplc="1CD225BC">
      <w:numFmt w:val="bullet"/>
      <w:lvlText w:val="•"/>
      <w:lvlJc w:val="left"/>
      <w:pPr>
        <w:ind w:left="1080" w:hanging="72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C2DFF"/>
    <w:multiLevelType w:val="multilevel"/>
    <w:tmpl w:val="775678AA"/>
    <w:lvl w:ilvl="0">
      <w:start w:val="1"/>
      <w:numFmt w:val="decimal"/>
      <w:lvlText w:val="%1."/>
      <w:lvlJc w:val="left"/>
      <w:pPr>
        <w:ind w:left="720" w:hanging="360"/>
      </w:pPr>
      <w:rPr>
        <w:rFonts w:hint="default"/>
      </w:rPr>
    </w:lvl>
    <w:lvl w:ilvl="1">
      <w:numFmt w:val="bullet"/>
      <w:lvlText w:val="●"/>
      <w:lvlJc w:val="left"/>
      <w:pPr>
        <w:ind w:left="1440" w:hanging="360"/>
      </w:pPr>
      <w:rPr>
        <w:rFonts w:ascii="Noto Sans Symbols" w:hAnsi="Noto Sans Symbol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DC259E2"/>
    <w:multiLevelType w:val="hybridMultilevel"/>
    <w:tmpl w:val="890E63AC"/>
    <w:lvl w:ilvl="0" w:tplc="0409000F">
      <w:start w:val="1"/>
      <w:numFmt w:val="decimal"/>
      <w:lvlText w:val="%1."/>
      <w:lvlJc w:val="left"/>
      <w:pPr>
        <w:ind w:left="720" w:hanging="360"/>
      </w:pPr>
    </w:lvl>
    <w:lvl w:ilvl="1" w:tplc="39549FBC">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6B2212"/>
    <w:multiLevelType w:val="hybridMultilevel"/>
    <w:tmpl w:val="F96E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3D28A8"/>
    <w:multiLevelType w:val="hybridMultilevel"/>
    <w:tmpl w:val="EF40F442"/>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884368"/>
    <w:multiLevelType w:val="hybridMultilevel"/>
    <w:tmpl w:val="7BE0B96A"/>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3" w15:restartNumberingAfterBreak="0">
    <w:nsid w:val="65F35D98"/>
    <w:multiLevelType w:val="hybridMultilevel"/>
    <w:tmpl w:val="9336F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404127"/>
    <w:multiLevelType w:val="hybridMultilevel"/>
    <w:tmpl w:val="7FD45BA6"/>
    <w:lvl w:ilvl="0" w:tplc="1CD225BC">
      <w:numFmt w:val="bullet"/>
      <w:lvlText w:val="•"/>
      <w:lvlJc w:val="left"/>
      <w:pPr>
        <w:ind w:left="2160" w:hanging="72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6BB3FCD"/>
    <w:multiLevelType w:val="hybridMultilevel"/>
    <w:tmpl w:val="1EDA0820"/>
    <w:lvl w:ilvl="0" w:tplc="FFFFFFFF">
      <w:start w:val="1"/>
      <w:numFmt w:val="decimal"/>
      <w:lvlText w:val="%1."/>
      <w:lvlJc w:val="left"/>
      <w:pPr>
        <w:ind w:left="1080" w:hanging="7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1271370">
    <w:abstractNumId w:val="3"/>
  </w:num>
  <w:num w:numId="2" w16cid:durableId="1914310738">
    <w:abstractNumId w:val="0"/>
  </w:num>
  <w:num w:numId="3" w16cid:durableId="591814336">
    <w:abstractNumId w:val="10"/>
  </w:num>
  <w:num w:numId="4" w16cid:durableId="510336298">
    <w:abstractNumId w:val="2"/>
  </w:num>
  <w:num w:numId="5" w16cid:durableId="812717968">
    <w:abstractNumId w:val="6"/>
  </w:num>
  <w:num w:numId="6" w16cid:durableId="1407268508">
    <w:abstractNumId w:val="4"/>
  </w:num>
  <w:num w:numId="7" w16cid:durableId="1395397257">
    <w:abstractNumId w:val="6"/>
    <w:lvlOverride w:ilvl="0">
      <w:startOverride w:val="1"/>
    </w:lvlOverride>
  </w:num>
  <w:num w:numId="8" w16cid:durableId="715934385">
    <w:abstractNumId w:val="6"/>
    <w:lvlOverride w:ilvl="0">
      <w:startOverride w:val="1"/>
    </w:lvlOverride>
  </w:num>
  <w:num w:numId="9" w16cid:durableId="1430350006">
    <w:abstractNumId w:val="6"/>
  </w:num>
  <w:num w:numId="10" w16cid:durableId="1501122778">
    <w:abstractNumId w:val="6"/>
    <w:lvlOverride w:ilvl="0">
      <w:startOverride w:val="1"/>
    </w:lvlOverride>
  </w:num>
  <w:num w:numId="11" w16cid:durableId="1261983791">
    <w:abstractNumId w:val="6"/>
    <w:lvlOverride w:ilvl="0">
      <w:startOverride w:val="1"/>
    </w:lvlOverride>
  </w:num>
  <w:num w:numId="12" w16cid:durableId="2065060315">
    <w:abstractNumId w:val="6"/>
    <w:lvlOverride w:ilvl="0">
      <w:startOverride w:val="1"/>
    </w:lvlOverride>
  </w:num>
  <w:num w:numId="13" w16cid:durableId="2030138798">
    <w:abstractNumId w:val="9"/>
  </w:num>
  <w:num w:numId="14" w16cid:durableId="1535072487">
    <w:abstractNumId w:val="15"/>
  </w:num>
  <w:num w:numId="15" w16cid:durableId="1256742125">
    <w:abstractNumId w:val="6"/>
    <w:lvlOverride w:ilvl="0">
      <w:startOverride w:val="1"/>
    </w:lvlOverride>
  </w:num>
  <w:num w:numId="16" w16cid:durableId="1194151487">
    <w:abstractNumId w:val="8"/>
  </w:num>
  <w:num w:numId="17" w16cid:durableId="161047522">
    <w:abstractNumId w:val="7"/>
  </w:num>
  <w:num w:numId="18" w16cid:durableId="1803112572">
    <w:abstractNumId w:val="11"/>
  </w:num>
  <w:num w:numId="19" w16cid:durableId="1777021617">
    <w:abstractNumId w:val="14"/>
  </w:num>
  <w:num w:numId="20" w16cid:durableId="1516076413">
    <w:abstractNumId w:val="5"/>
  </w:num>
  <w:num w:numId="21" w16cid:durableId="1965425786">
    <w:abstractNumId w:val="12"/>
  </w:num>
  <w:num w:numId="22" w16cid:durableId="1039088073">
    <w:abstractNumId w:val="1"/>
  </w:num>
  <w:num w:numId="23" w16cid:durableId="113600394">
    <w:abstractNumId w:val="13"/>
  </w:num>
  <w:num w:numId="24" w16cid:durableId="368843519">
    <w:abstractNumId w:val="2"/>
  </w:num>
  <w:num w:numId="25" w16cid:durableId="1243837724">
    <w:abstractNumId w:val="2"/>
  </w:num>
  <w:num w:numId="26" w16cid:durableId="1929192617">
    <w:abstractNumId w:val="2"/>
  </w:num>
  <w:num w:numId="27" w16cid:durableId="1452631947">
    <w:abstractNumId w:val="2"/>
  </w:num>
  <w:num w:numId="28" w16cid:durableId="1538424378">
    <w:abstractNumId w:val="2"/>
  </w:num>
  <w:num w:numId="29" w16cid:durableId="422922346">
    <w:abstractNumId w:val="2"/>
  </w:num>
  <w:num w:numId="30" w16cid:durableId="66670999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NzQ0NDUxtTQxNzFV0lEKTi0uzszPAykwsqwFALQ0mWUtAAAA"/>
  </w:docVars>
  <w:rsids>
    <w:rsidRoot w:val="002B0D2A"/>
    <w:rsid w:val="00003FD2"/>
    <w:rsid w:val="0000625F"/>
    <w:rsid w:val="00013578"/>
    <w:rsid w:val="000156CE"/>
    <w:rsid w:val="0002540E"/>
    <w:rsid w:val="00027CB7"/>
    <w:rsid w:val="0003651C"/>
    <w:rsid w:val="00052674"/>
    <w:rsid w:val="000541C2"/>
    <w:rsid w:val="0006315C"/>
    <w:rsid w:val="00064B73"/>
    <w:rsid w:val="000655E5"/>
    <w:rsid w:val="00072531"/>
    <w:rsid w:val="00077C15"/>
    <w:rsid w:val="000920D7"/>
    <w:rsid w:val="00097025"/>
    <w:rsid w:val="000B05FF"/>
    <w:rsid w:val="000B24D3"/>
    <w:rsid w:val="000B344E"/>
    <w:rsid w:val="000B3459"/>
    <w:rsid w:val="000C009A"/>
    <w:rsid w:val="000C2232"/>
    <w:rsid w:val="000D5ACF"/>
    <w:rsid w:val="000E0EA4"/>
    <w:rsid w:val="000E63FF"/>
    <w:rsid w:val="00110792"/>
    <w:rsid w:val="00112013"/>
    <w:rsid w:val="001142C6"/>
    <w:rsid w:val="00137533"/>
    <w:rsid w:val="00142DE2"/>
    <w:rsid w:val="0014312F"/>
    <w:rsid w:val="00144A62"/>
    <w:rsid w:val="001614DA"/>
    <w:rsid w:val="00166829"/>
    <w:rsid w:val="001939D2"/>
    <w:rsid w:val="00197C9C"/>
    <w:rsid w:val="001A4A1F"/>
    <w:rsid w:val="001B024F"/>
    <w:rsid w:val="001B49AA"/>
    <w:rsid w:val="001B574B"/>
    <w:rsid w:val="001B5E2C"/>
    <w:rsid w:val="001C5616"/>
    <w:rsid w:val="001D3AC0"/>
    <w:rsid w:val="001D46A4"/>
    <w:rsid w:val="001E17E7"/>
    <w:rsid w:val="001E30B0"/>
    <w:rsid w:val="001E641C"/>
    <w:rsid w:val="001F19F2"/>
    <w:rsid w:val="001F36C1"/>
    <w:rsid w:val="00202B06"/>
    <w:rsid w:val="002151C7"/>
    <w:rsid w:val="00217B04"/>
    <w:rsid w:val="002225C5"/>
    <w:rsid w:val="002233F7"/>
    <w:rsid w:val="00224092"/>
    <w:rsid w:val="00224EE0"/>
    <w:rsid w:val="00232864"/>
    <w:rsid w:val="00241EF4"/>
    <w:rsid w:val="00245021"/>
    <w:rsid w:val="002615BB"/>
    <w:rsid w:val="00262373"/>
    <w:rsid w:val="00281333"/>
    <w:rsid w:val="00297DCA"/>
    <w:rsid w:val="002A05DB"/>
    <w:rsid w:val="002A11AD"/>
    <w:rsid w:val="002A4C71"/>
    <w:rsid w:val="002B0D2A"/>
    <w:rsid w:val="002C6186"/>
    <w:rsid w:val="002D0BD2"/>
    <w:rsid w:val="002D3CB1"/>
    <w:rsid w:val="002D61C0"/>
    <w:rsid w:val="002D6657"/>
    <w:rsid w:val="002E0D77"/>
    <w:rsid w:val="002E4765"/>
    <w:rsid w:val="002E7EDD"/>
    <w:rsid w:val="002F6D0B"/>
    <w:rsid w:val="002F790A"/>
    <w:rsid w:val="00305C0D"/>
    <w:rsid w:val="00307A47"/>
    <w:rsid w:val="00312640"/>
    <w:rsid w:val="003141A4"/>
    <w:rsid w:val="00320DA5"/>
    <w:rsid w:val="00331F53"/>
    <w:rsid w:val="003359B0"/>
    <w:rsid w:val="00340B6A"/>
    <w:rsid w:val="00345885"/>
    <w:rsid w:val="00361D6A"/>
    <w:rsid w:val="0036536D"/>
    <w:rsid w:val="00370E12"/>
    <w:rsid w:val="00383415"/>
    <w:rsid w:val="00385F6D"/>
    <w:rsid w:val="003869E0"/>
    <w:rsid w:val="003A2C35"/>
    <w:rsid w:val="003B197A"/>
    <w:rsid w:val="003B6F33"/>
    <w:rsid w:val="003C3107"/>
    <w:rsid w:val="003D0E23"/>
    <w:rsid w:val="003D60FA"/>
    <w:rsid w:val="003F127B"/>
    <w:rsid w:val="004067F7"/>
    <w:rsid w:val="00420DA8"/>
    <w:rsid w:val="004340C8"/>
    <w:rsid w:val="00437424"/>
    <w:rsid w:val="00440843"/>
    <w:rsid w:val="00443D0B"/>
    <w:rsid w:val="00446CD9"/>
    <w:rsid w:val="00455FFA"/>
    <w:rsid w:val="00464F6B"/>
    <w:rsid w:val="0046557C"/>
    <w:rsid w:val="00482C95"/>
    <w:rsid w:val="004846ED"/>
    <w:rsid w:val="0049609B"/>
    <w:rsid w:val="004C5FBE"/>
    <w:rsid w:val="004D4C1C"/>
    <w:rsid w:val="004F15A4"/>
    <w:rsid w:val="004F250F"/>
    <w:rsid w:val="004F472E"/>
    <w:rsid w:val="00502A63"/>
    <w:rsid w:val="005112AC"/>
    <w:rsid w:val="005153C1"/>
    <w:rsid w:val="00530AD8"/>
    <w:rsid w:val="0054069F"/>
    <w:rsid w:val="00544946"/>
    <w:rsid w:val="00544A1E"/>
    <w:rsid w:val="005551BA"/>
    <w:rsid w:val="00576144"/>
    <w:rsid w:val="00583381"/>
    <w:rsid w:val="0058765B"/>
    <w:rsid w:val="005A1E42"/>
    <w:rsid w:val="005A35C6"/>
    <w:rsid w:val="005A48C9"/>
    <w:rsid w:val="005B0E2D"/>
    <w:rsid w:val="005B34FE"/>
    <w:rsid w:val="005B3EE8"/>
    <w:rsid w:val="005C2538"/>
    <w:rsid w:val="005C26A2"/>
    <w:rsid w:val="005C328C"/>
    <w:rsid w:val="005C5E73"/>
    <w:rsid w:val="005C7F79"/>
    <w:rsid w:val="005E7739"/>
    <w:rsid w:val="005F6152"/>
    <w:rsid w:val="006117B3"/>
    <w:rsid w:val="00632B08"/>
    <w:rsid w:val="00636FC0"/>
    <w:rsid w:val="006515ED"/>
    <w:rsid w:val="00651E9E"/>
    <w:rsid w:val="006547B5"/>
    <w:rsid w:val="00655066"/>
    <w:rsid w:val="00661917"/>
    <w:rsid w:val="00691BAA"/>
    <w:rsid w:val="006939CE"/>
    <w:rsid w:val="006A4F54"/>
    <w:rsid w:val="006C6F87"/>
    <w:rsid w:val="006D18DF"/>
    <w:rsid w:val="006D3F65"/>
    <w:rsid w:val="006D5E2B"/>
    <w:rsid w:val="006F2AF5"/>
    <w:rsid w:val="006F2F35"/>
    <w:rsid w:val="006F3BA3"/>
    <w:rsid w:val="00702920"/>
    <w:rsid w:val="00707BC8"/>
    <w:rsid w:val="00707BF4"/>
    <w:rsid w:val="007208DB"/>
    <w:rsid w:val="007209A9"/>
    <w:rsid w:val="00721983"/>
    <w:rsid w:val="0072705C"/>
    <w:rsid w:val="00746EFE"/>
    <w:rsid w:val="00753B58"/>
    <w:rsid w:val="00756B6F"/>
    <w:rsid w:val="00762632"/>
    <w:rsid w:val="0077164E"/>
    <w:rsid w:val="007729FF"/>
    <w:rsid w:val="00781C30"/>
    <w:rsid w:val="00783B8C"/>
    <w:rsid w:val="007840E2"/>
    <w:rsid w:val="00784359"/>
    <w:rsid w:val="00785F07"/>
    <w:rsid w:val="00786BE3"/>
    <w:rsid w:val="007924D5"/>
    <w:rsid w:val="00793684"/>
    <w:rsid w:val="0079782B"/>
    <w:rsid w:val="007B1140"/>
    <w:rsid w:val="007B2644"/>
    <w:rsid w:val="007B6D7C"/>
    <w:rsid w:val="007B7094"/>
    <w:rsid w:val="007C07BA"/>
    <w:rsid w:val="007C09D3"/>
    <w:rsid w:val="007D206B"/>
    <w:rsid w:val="007D6620"/>
    <w:rsid w:val="007E5C14"/>
    <w:rsid w:val="007E650E"/>
    <w:rsid w:val="007F50AD"/>
    <w:rsid w:val="00801EE9"/>
    <w:rsid w:val="0081202A"/>
    <w:rsid w:val="00813781"/>
    <w:rsid w:val="00816385"/>
    <w:rsid w:val="00826FCC"/>
    <w:rsid w:val="00832384"/>
    <w:rsid w:val="00834227"/>
    <w:rsid w:val="00850059"/>
    <w:rsid w:val="0085269B"/>
    <w:rsid w:val="008544AA"/>
    <w:rsid w:val="008630AB"/>
    <w:rsid w:val="00863284"/>
    <w:rsid w:val="0086664C"/>
    <w:rsid w:val="00867A1D"/>
    <w:rsid w:val="00875A40"/>
    <w:rsid w:val="00882D8A"/>
    <w:rsid w:val="008933B1"/>
    <w:rsid w:val="008A4C0A"/>
    <w:rsid w:val="008A5C57"/>
    <w:rsid w:val="008A64EC"/>
    <w:rsid w:val="008D1D1F"/>
    <w:rsid w:val="008D3593"/>
    <w:rsid w:val="008E506B"/>
    <w:rsid w:val="008F097E"/>
    <w:rsid w:val="008F135C"/>
    <w:rsid w:val="008F44F6"/>
    <w:rsid w:val="008F564F"/>
    <w:rsid w:val="00905691"/>
    <w:rsid w:val="00905DB5"/>
    <w:rsid w:val="00914272"/>
    <w:rsid w:val="00931254"/>
    <w:rsid w:val="009367B4"/>
    <w:rsid w:val="00943164"/>
    <w:rsid w:val="00943BE6"/>
    <w:rsid w:val="00950C8C"/>
    <w:rsid w:val="00952BE3"/>
    <w:rsid w:val="00955B17"/>
    <w:rsid w:val="00957A3B"/>
    <w:rsid w:val="0096646D"/>
    <w:rsid w:val="00970E2E"/>
    <w:rsid w:val="00971A7E"/>
    <w:rsid w:val="009813FD"/>
    <w:rsid w:val="009840E8"/>
    <w:rsid w:val="009973A8"/>
    <w:rsid w:val="009A68E9"/>
    <w:rsid w:val="009B32AD"/>
    <w:rsid w:val="009B5A38"/>
    <w:rsid w:val="009B62CE"/>
    <w:rsid w:val="009D6D19"/>
    <w:rsid w:val="009E131D"/>
    <w:rsid w:val="00A07A2E"/>
    <w:rsid w:val="00A10C1E"/>
    <w:rsid w:val="00A137BD"/>
    <w:rsid w:val="00A17259"/>
    <w:rsid w:val="00A33D98"/>
    <w:rsid w:val="00A42D30"/>
    <w:rsid w:val="00A42E54"/>
    <w:rsid w:val="00A544A1"/>
    <w:rsid w:val="00A67DD5"/>
    <w:rsid w:val="00AB6A87"/>
    <w:rsid w:val="00AB70E3"/>
    <w:rsid w:val="00AD19E0"/>
    <w:rsid w:val="00AE3155"/>
    <w:rsid w:val="00AE37F3"/>
    <w:rsid w:val="00AE5925"/>
    <w:rsid w:val="00AF3ED9"/>
    <w:rsid w:val="00AF7567"/>
    <w:rsid w:val="00B206CE"/>
    <w:rsid w:val="00B22372"/>
    <w:rsid w:val="00B231FA"/>
    <w:rsid w:val="00B44C60"/>
    <w:rsid w:val="00B50756"/>
    <w:rsid w:val="00B56E8B"/>
    <w:rsid w:val="00B739A9"/>
    <w:rsid w:val="00B75D09"/>
    <w:rsid w:val="00B820DC"/>
    <w:rsid w:val="00B84564"/>
    <w:rsid w:val="00B87814"/>
    <w:rsid w:val="00BB547A"/>
    <w:rsid w:val="00BB6B4A"/>
    <w:rsid w:val="00BC3407"/>
    <w:rsid w:val="00BD16EA"/>
    <w:rsid w:val="00BD52DB"/>
    <w:rsid w:val="00BE421A"/>
    <w:rsid w:val="00BE6A3D"/>
    <w:rsid w:val="00BE7886"/>
    <w:rsid w:val="00BF353D"/>
    <w:rsid w:val="00C10B94"/>
    <w:rsid w:val="00C13036"/>
    <w:rsid w:val="00C134B9"/>
    <w:rsid w:val="00C17635"/>
    <w:rsid w:val="00C21B2A"/>
    <w:rsid w:val="00C27919"/>
    <w:rsid w:val="00C27E44"/>
    <w:rsid w:val="00C32224"/>
    <w:rsid w:val="00C47F4C"/>
    <w:rsid w:val="00C62724"/>
    <w:rsid w:val="00C62AC0"/>
    <w:rsid w:val="00C66AB6"/>
    <w:rsid w:val="00C72322"/>
    <w:rsid w:val="00C734A0"/>
    <w:rsid w:val="00C75252"/>
    <w:rsid w:val="00C76A84"/>
    <w:rsid w:val="00C82AED"/>
    <w:rsid w:val="00C90887"/>
    <w:rsid w:val="00C909BB"/>
    <w:rsid w:val="00C919DF"/>
    <w:rsid w:val="00CA0DB0"/>
    <w:rsid w:val="00CA31A8"/>
    <w:rsid w:val="00CA4523"/>
    <w:rsid w:val="00CC5753"/>
    <w:rsid w:val="00CD16E4"/>
    <w:rsid w:val="00CD46C7"/>
    <w:rsid w:val="00CE0213"/>
    <w:rsid w:val="00CE229B"/>
    <w:rsid w:val="00CE77CB"/>
    <w:rsid w:val="00CF0D6C"/>
    <w:rsid w:val="00CF2366"/>
    <w:rsid w:val="00CF4BCD"/>
    <w:rsid w:val="00D04064"/>
    <w:rsid w:val="00D04EF6"/>
    <w:rsid w:val="00D064B7"/>
    <w:rsid w:val="00D13334"/>
    <w:rsid w:val="00D4221C"/>
    <w:rsid w:val="00D4758E"/>
    <w:rsid w:val="00D54EA6"/>
    <w:rsid w:val="00D618BB"/>
    <w:rsid w:val="00D645BD"/>
    <w:rsid w:val="00D66259"/>
    <w:rsid w:val="00D66A2D"/>
    <w:rsid w:val="00D757C5"/>
    <w:rsid w:val="00D762CC"/>
    <w:rsid w:val="00D86358"/>
    <w:rsid w:val="00D954F8"/>
    <w:rsid w:val="00DA6B42"/>
    <w:rsid w:val="00DB185C"/>
    <w:rsid w:val="00DB462D"/>
    <w:rsid w:val="00DB6556"/>
    <w:rsid w:val="00DC031B"/>
    <w:rsid w:val="00DC4010"/>
    <w:rsid w:val="00DD16BF"/>
    <w:rsid w:val="00DD2DB0"/>
    <w:rsid w:val="00DF3A32"/>
    <w:rsid w:val="00DF7565"/>
    <w:rsid w:val="00E01582"/>
    <w:rsid w:val="00E110F5"/>
    <w:rsid w:val="00E12AD0"/>
    <w:rsid w:val="00E16F3B"/>
    <w:rsid w:val="00E2057B"/>
    <w:rsid w:val="00E215BD"/>
    <w:rsid w:val="00E21BF4"/>
    <w:rsid w:val="00E25489"/>
    <w:rsid w:val="00E31F2F"/>
    <w:rsid w:val="00E36CBB"/>
    <w:rsid w:val="00E404EB"/>
    <w:rsid w:val="00E429ED"/>
    <w:rsid w:val="00E47463"/>
    <w:rsid w:val="00E51C35"/>
    <w:rsid w:val="00E56373"/>
    <w:rsid w:val="00E576C6"/>
    <w:rsid w:val="00E60407"/>
    <w:rsid w:val="00E718A4"/>
    <w:rsid w:val="00E76FC3"/>
    <w:rsid w:val="00E95667"/>
    <w:rsid w:val="00EA17B7"/>
    <w:rsid w:val="00EC4F36"/>
    <w:rsid w:val="00EC5DB5"/>
    <w:rsid w:val="00EC63CF"/>
    <w:rsid w:val="00EC71F8"/>
    <w:rsid w:val="00EE6B6E"/>
    <w:rsid w:val="00EF432E"/>
    <w:rsid w:val="00F022D1"/>
    <w:rsid w:val="00F07E54"/>
    <w:rsid w:val="00F10F22"/>
    <w:rsid w:val="00F16239"/>
    <w:rsid w:val="00F308AC"/>
    <w:rsid w:val="00F46AEB"/>
    <w:rsid w:val="00F470F1"/>
    <w:rsid w:val="00F642D6"/>
    <w:rsid w:val="00F72A3F"/>
    <w:rsid w:val="00F76614"/>
    <w:rsid w:val="00F80259"/>
    <w:rsid w:val="00F817D1"/>
    <w:rsid w:val="00F8777D"/>
    <w:rsid w:val="00F904F3"/>
    <w:rsid w:val="00F91873"/>
    <w:rsid w:val="00FA04E7"/>
    <w:rsid w:val="00FA1F57"/>
    <w:rsid w:val="00FA7433"/>
    <w:rsid w:val="00FC67D0"/>
    <w:rsid w:val="00FC6D14"/>
    <w:rsid w:val="00FD3C17"/>
    <w:rsid w:val="00FD5F5F"/>
    <w:rsid w:val="00FE622C"/>
    <w:rsid w:val="00FE6FA7"/>
    <w:rsid w:val="00FF0731"/>
    <w:rsid w:val="01476CFA"/>
    <w:rsid w:val="05307702"/>
    <w:rsid w:val="05E3A93F"/>
    <w:rsid w:val="05FD645D"/>
    <w:rsid w:val="0757F672"/>
    <w:rsid w:val="08419CEB"/>
    <w:rsid w:val="09518C6B"/>
    <w:rsid w:val="0999FF71"/>
    <w:rsid w:val="0BB59C5F"/>
    <w:rsid w:val="0C4F05D5"/>
    <w:rsid w:val="0E66BCFD"/>
    <w:rsid w:val="0FAF94C4"/>
    <w:rsid w:val="1379BA92"/>
    <w:rsid w:val="144DAA9F"/>
    <w:rsid w:val="15A953B0"/>
    <w:rsid w:val="15E0E49B"/>
    <w:rsid w:val="1613A92F"/>
    <w:rsid w:val="167ECD27"/>
    <w:rsid w:val="17894820"/>
    <w:rsid w:val="1A8892E8"/>
    <w:rsid w:val="1BBB7AA8"/>
    <w:rsid w:val="1D9342AF"/>
    <w:rsid w:val="1E3DECE5"/>
    <w:rsid w:val="1E688A1B"/>
    <w:rsid w:val="1E88D79A"/>
    <w:rsid w:val="1E90CE92"/>
    <w:rsid w:val="1EF5C775"/>
    <w:rsid w:val="1FA2BBE6"/>
    <w:rsid w:val="1FFE9563"/>
    <w:rsid w:val="206D9FF2"/>
    <w:rsid w:val="21AB951B"/>
    <w:rsid w:val="23952BC9"/>
    <w:rsid w:val="2736E08F"/>
    <w:rsid w:val="27BF0B66"/>
    <w:rsid w:val="27E54ACE"/>
    <w:rsid w:val="28C55ED6"/>
    <w:rsid w:val="28EFA80E"/>
    <w:rsid w:val="2D40C61A"/>
    <w:rsid w:val="2DA33FA1"/>
    <w:rsid w:val="2DE27620"/>
    <w:rsid w:val="2E574205"/>
    <w:rsid w:val="2E8EBB6C"/>
    <w:rsid w:val="2ED26F21"/>
    <w:rsid w:val="2F84F163"/>
    <w:rsid w:val="315F28DB"/>
    <w:rsid w:val="31FE2F62"/>
    <w:rsid w:val="34EE5365"/>
    <w:rsid w:val="36313989"/>
    <w:rsid w:val="364A6976"/>
    <w:rsid w:val="36832E92"/>
    <w:rsid w:val="3845C696"/>
    <w:rsid w:val="39B4925B"/>
    <w:rsid w:val="3A0706D5"/>
    <w:rsid w:val="3B72A331"/>
    <w:rsid w:val="3BB88C52"/>
    <w:rsid w:val="3BC686F9"/>
    <w:rsid w:val="3CB90132"/>
    <w:rsid w:val="3CECCFBC"/>
    <w:rsid w:val="3DA8AD32"/>
    <w:rsid w:val="3ED129E7"/>
    <w:rsid w:val="4067A909"/>
    <w:rsid w:val="410403EC"/>
    <w:rsid w:val="411ABE9B"/>
    <w:rsid w:val="413AD0AF"/>
    <w:rsid w:val="41B2F589"/>
    <w:rsid w:val="42728C37"/>
    <w:rsid w:val="42B1608D"/>
    <w:rsid w:val="43A375E8"/>
    <w:rsid w:val="43A856AE"/>
    <w:rsid w:val="45152843"/>
    <w:rsid w:val="45B4BD74"/>
    <w:rsid w:val="47879D03"/>
    <w:rsid w:val="4808E176"/>
    <w:rsid w:val="4878C10E"/>
    <w:rsid w:val="4925479F"/>
    <w:rsid w:val="4AB8B6D8"/>
    <w:rsid w:val="4BC51743"/>
    <w:rsid w:val="4C02E664"/>
    <w:rsid w:val="4F6ABB2E"/>
    <w:rsid w:val="50B21EB5"/>
    <w:rsid w:val="50F80CA8"/>
    <w:rsid w:val="5104C596"/>
    <w:rsid w:val="52786593"/>
    <w:rsid w:val="543319F8"/>
    <w:rsid w:val="54FC1336"/>
    <w:rsid w:val="5E1818CA"/>
    <w:rsid w:val="610D23C7"/>
    <w:rsid w:val="627F29BF"/>
    <w:rsid w:val="62BEC624"/>
    <w:rsid w:val="63DB474B"/>
    <w:rsid w:val="64491B9E"/>
    <w:rsid w:val="64B72036"/>
    <w:rsid w:val="6594BCDC"/>
    <w:rsid w:val="674D9645"/>
    <w:rsid w:val="67CE75A8"/>
    <w:rsid w:val="6C15E451"/>
    <w:rsid w:val="6C46B10E"/>
    <w:rsid w:val="6C5DA139"/>
    <w:rsid w:val="6F154B8D"/>
    <w:rsid w:val="7055DD2F"/>
    <w:rsid w:val="718D3C21"/>
    <w:rsid w:val="71F507B5"/>
    <w:rsid w:val="720C32EC"/>
    <w:rsid w:val="720CF3A2"/>
    <w:rsid w:val="726D880B"/>
    <w:rsid w:val="729D4A59"/>
    <w:rsid w:val="749FB698"/>
    <w:rsid w:val="758B2D31"/>
    <w:rsid w:val="78555B09"/>
    <w:rsid w:val="79739689"/>
    <w:rsid w:val="7A0E5DA2"/>
    <w:rsid w:val="7A9FBCEB"/>
    <w:rsid w:val="7BAEE375"/>
    <w:rsid w:val="7C07BB22"/>
    <w:rsid w:val="7DD7DAD9"/>
    <w:rsid w:val="7EFF7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02519A"/>
  <w15:chartTrackingRefBased/>
  <w15:docId w15:val="{6D878152-6A9A-4452-A4C8-8B3EC436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qFormat/>
    <w:rsid w:val="00B206CE"/>
    <w:pPr>
      <w:jc w:val="center"/>
      <w:outlineLvl w:val="0"/>
    </w:pPr>
    <w:rPr>
      <w:b/>
      <w:bCs/>
      <w:sz w:val="32"/>
      <w:szCs w:val="32"/>
    </w:rPr>
  </w:style>
  <w:style w:type="paragraph" w:styleId="Heading2">
    <w:name w:val="heading 2"/>
    <w:basedOn w:val="Normal"/>
    <w:next w:val="Normal"/>
    <w:link w:val="Heading2Char"/>
    <w:unhideWhenUsed/>
    <w:qFormat/>
    <w:rsid w:val="00816385"/>
    <w:pPr>
      <w:keepNext/>
      <w:keepLines/>
      <w:numPr>
        <w:numId w:val="6"/>
      </w:numPr>
      <w:pBdr>
        <w:bottom w:val="double" w:sz="12" w:space="12" w:color="CF7F00"/>
      </w:pBdr>
      <w:spacing w:before="40" w:after="0" w:line="240" w:lineRule="auto"/>
      <w:outlineLvl w:val="1"/>
    </w:pPr>
    <w:rPr>
      <w:rFonts w:ascii="Calibri" w:eastAsia="Times New Roman" w:hAnsi="Calibri" w:cs="Times New Roman"/>
      <w:b/>
      <w:bCs/>
      <w:color w:val="00587C"/>
      <w:kern w:val="0"/>
      <w:sz w:val="32"/>
      <w:szCs w:val="24"/>
      <w14:ligatures w14:val="none"/>
    </w:rPr>
  </w:style>
  <w:style w:type="paragraph" w:styleId="Heading3">
    <w:name w:val="heading 3"/>
    <w:basedOn w:val="Normal"/>
    <w:next w:val="Normal"/>
    <w:link w:val="Heading3Char"/>
    <w:unhideWhenUsed/>
    <w:qFormat/>
    <w:rsid w:val="008E506B"/>
    <w:pPr>
      <w:keepNext/>
      <w:keepLines/>
      <w:numPr>
        <w:numId w:val="5"/>
      </w:numPr>
      <w:spacing w:before="480" w:after="80"/>
      <w:outlineLvl w:val="2"/>
    </w:pPr>
    <w:rPr>
      <w:rFonts w:ascii="Calibri" w:eastAsiaTheme="majorEastAsia" w:hAnsi="Calibri" w:cs="Calibri"/>
      <w:color w:val="00587C"/>
      <w:sz w:val="28"/>
      <w:szCs w:val="28"/>
    </w:rPr>
  </w:style>
  <w:style w:type="paragraph" w:styleId="Heading4">
    <w:name w:val="heading 4"/>
    <w:basedOn w:val="Normal"/>
    <w:next w:val="Normal"/>
    <w:link w:val="Heading4Char"/>
    <w:unhideWhenUsed/>
    <w:qFormat/>
    <w:rsid w:val="0081202A"/>
    <w:pPr>
      <w:keepNext/>
      <w:keepLines/>
      <w:spacing w:after="240" w:line="240" w:lineRule="auto"/>
      <w:contextualSpacing/>
      <w:outlineLvl w:val="3"/>
    </w:pPr>
    <w:rPr>
      <w:rFonts w:ascii="Calibri" w:eastAsia="Calibri" w:hAnsi="Calibri" w:cs="Calibri"/>
      <w:bCs/>
      <w:i/>
      <w:iCs/>
      <w:color w:val="00587C"/>
      <w:sz w:val="28"/>
      <w:szCs w:val="28"/>
      <w:lang w:val="en"/>
    </w:rPr>
  </w:style>
  <w:style w:type="paragraph" w:styleId="Heading5">
    <w:name w:val="heading 5"/>
    <w:basedOn w:val="BodyText"/>
    <w:next w:val="Normal"/>
    <w:link w:val="Heading5Char"/>
    <w:unhideWhenUsed/>
    <w:qFormat/>
    <w:rsid w:val="002E4765"/>
    <w:pPr>
      <w:outlineLvl w:val="4"/>
    </w:pPr>
    <w:rPr>
      <w:b/>
      <w:bCs/>
    </w:rPr>
  </w:style>
  <w:style w:type="paragraph" w:styleId="Heading6">
    <w:name w:val="heading 6"/>
    <w:basedOn w:val="Heading5"/>
    <w:next w:val="Normal"/>
    <w:link w:val="Heading6Char"/>
    <w:unhideWhenUsed/>
    <w:qFormat/>
    <w:rsid w:val="003869E0"/>
    <w:pPr>
      <w:outlineLvl w:val="5"/>
    </w:pPr>
    <w:rPr>
      <w:b w:val="0"/>
    </w:rPr>
  </w:style>
  <w:style w:type="paragraph" w:styleId="Heading7">
    <w:name w:val="heading 7"/>
    <w:basedOn w:val="Normal"/>
    <w:next w:val="Normal"/>
    <w:link w:val="Heading7Char"/>
    <w:uiPriority w:val="9"/>
    <w:semiHidden/>
    <w:unhideWhenUsed/>
    <w:qFormat/>
    <w:rsid w:val="002B0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CE"/>
    <w:rPr>
      <w:rFonts w:ascii="Calibri" w:eastAsia="Calibri" w:hAnsi="Calibri" w:cstheme="minorHAnsi"/>
      <w:b/>
      <w:bCs/>
      <w:sz w:val="32"/>
      <w:szCs w:val="32"/>
      <w:lang w:val="en"/>
    </w:rPr>
  </w:style>
  <w:style w:type="character" w:customStyle="1" w:styleId="Heading2Char">
    <w:name w:val="Heading 2 Char"/>
    <w:basedOn w:val="DefaultParagraphFont"/>
    <w:link w:val="Heading2"/>
    <w:rsid w:val="00816385"/>
    <w:rPr>
      <w:rFonts w:ascii="Calibri" w:eastAsia="Times New Roman" w:hAnsi="Calibri" w:cs="Times New Roman"/>
      <w:b/>
      <w:bCs/>
      <w:color w:val="00587C"/>
      <w:kern w:val="0"/>
      <w:sz w:val="32"/>
      <w:szCs w:val="24"/>
      <w14:ligatures w14:val="none"/>
    </w:rPr>
  </w:style>
  <w:style w:type="character" w:customStyle="1" w:styleId="Heading3Char">
    <w:name w:val="Heading 3 Char"/>
    <w:basedOn w:val="DefaultParagraphFont"/>
    <w:link w:val="Heading3"/>
    <w:rsid w:val="008E506B"/>
    <w:rPr>
      <w:rFonts w:ascii="Calibri" w:eastAsiaTheme="majorEastAsia" w:hAnsi="Calibri" w:cs="Calibri"/>
      <w:color w:val="00587C"/>
      <w:sz w:val="28"/>
      <w:szCs w:val="28"/>
    </w:rPr>
  </w:style>
  <w:style w:type="character" w:customStyle="1" w:styleId="Heading4Char">
    <w:name w:val="Heading 4 Char"/>
    <w:basedOn w:val="DefaultParagraphFont"/>
    <w:link w:val="Heading4"/>
    <w:rsid w:val="0081202A"/>
    <w:rPr>
      <w:rFonts w:ascii="Calibri" w:eastAsia="Calibri" w:hAnsi="Calibri" w:cs="Calibri"/>
      <w:bCs/>
      <w:i/>
      <w:iCs/>
      <w:color w:val="00587C"/>
      <w:sz w:val="28"/>
      <w:szCs w:val="28"/>
      <w:lang w:val="en"/>
    </w:rPr>
  </w:style>
  <w:style w:type="character" w:customStyle="1" w:styleId="Heading5Char">
    <w:name w:val="Heading 5 Char"/>
    <w:basedOn w:val="DefaultParagraphFont"/>
    <w:link w:val="Heading5"/>
    <w:rsid w:val="002E4765"/>
    <w:rPr>
      <w:rFonts w:ascii="Calibri" w:eastAsia="Calibri" w:hAnsi="Calibri" w:cstheme="minorHAnsi"/>
      <w:b/>
      <w:bCs/>
      <w:sz w:val="24"/>
      <w:szCs w:val="24"/>
      <w:lang w:val="en"/>
    </w:rPr>
  </w:style>
  <w:style w:type="character" w:customStyle="1" w:styleId="Heading6Char">
    <w:name w:val="Heading 6 Char"/>
    <w:basedOn w:val="DefaultParagraphFont"/>
    <w:link w:val="Heading6"/>
    <w:rsid w:val="003869E0"/>
    <w:rPr>
      <w:rFonts w:ascii="Calibri" w:eastAsia="Calibri" w:hAnsi="Calibri" w:cs="Calibri"/>
      <w:b/>
      <w:bCs/>
      <w:i/>
      <w:iCs/>
      <w:sz w:val="24"/>
      <w:szCs w:val="24"/>
      <w:lang w:val="en"/>
    </w:rPr>
  </w:style>
  <w:style w:type="character" w:customStyle="1" w:styleId="Heading7Char">
    <w:name w:val="Heading 7 Char"/>
    <w:basedOn w:val="DefaultParagraphFont"/>
    <w:link w:val="Heading7"/>
    <w:uiPriority w:val="9"/>
    <w:semiHidden/>
    <w:rsid w:val="002B0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D2A"/>
    <w:rPr>
      <w:rFonts w:eastAsiaTheme="majorEastAsia" w:cstheme="majorBidi"/>
      <w:color w:val="272727" w:themeColor="text1" w:themeTint="D8"/>
    </w:rPr>
  </w:style>
  <w:style w:type="paragraph" w:styleId="Title">
    <w:name w:val="Title"/>
    <w:basedOn w:val="Normal"/>
    <w:next w:val="Normal"/>
    <w:link w:val="TitleChar"/>
    <w:qFormat/>
    <w:rsid w:val="002B0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B0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B0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B0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D2A"/>
    <w:pPr>
      <w:spacing w:before="160"/>
      <w:jc w:val="center"/>
    </w:pPr>
    <w:rPr>
      <w:i/>
      <w:iCs/>
      <w:color w:val="404040" w:themeColor="text1" w:themeTint="BF"/>
    </w:rPr>
  </w:style>
  <w:style w:type="character" w:customStyle="1" w:styleId="QuoteChar">
    <w:name w:val="Quote Char"/>
    <w:basedOn w:val="DefaultParagraphFont"/>
    <w:link w:val="Quote"/>
    <w:uiPriority w:val="29"/>
    <w:rsid w:val="002B0D2A"/>
    <w:rPr>
      <w:i/>
      <w:iCs/>
      <w:color w:val="404040" w:themeColor="text1" w:themeTint="BF"/>
    </w:rPr>
  </w:style>
  <w:style w:type="paragraph" w:styleId="ListParagraph">
    <w:name w:val="List Paragraph"/>
    <w:basedOn w:val="Normal"/>
    <w:uiPriority w:val="1"/>
    <w:qFormat/>
    <w:rsid w:val="006515ED"/>
    <w:pPr>
      <w:numPr>
        <w:numId w:val="4"/>
      </w:numPr>
    </w:pPr>
    <w:rPr>
      <w:rFonts w:ascii="Calibri" w:hAnsi="Calibri" w:cs="Calibri"/>
      <w:sz w:val="24"/>
      <w:szCs w:val="24"/>
    </w:rPr>
  </w:style>
  <w:style w:type="character" w:styleId="IntenseEmphasis">
    <w:name w:val="Intense Emphasis"/>
    <w:basedOn w:val="DefaultParagraphFont"/>
    <w:uiPriority w:val="21"/>
    <w:qFormat/>
    <w:rsid w:val="002B0D2A"/>
    <w:rPr>
      <w:i/>
      <w:iCs/>
      <w:color w:val="0F4761" w:themeColor="accent1" w:themeShade="BF"/>
    </w:rPr>
  </w:style>
  <w:style w:type="paragraph" w:styleId="IntenseQuote">
    <w:name w:val="Intense Quote"/>
    <w:basedOn w:val="Normal"/>
    <w:next w:val="Normal"/>
    <w:link w:val="IntenseQuoteChar"/>
    <w:uiPriority w:val="30"/>
    <w:qFormat/>
    <w:rsid w:val="002B0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D2A"/>
    <w:rPr>
      <w:i/>
      <w:iCs/>
      <w:color w:val="0F4761" w:themeColor="accent1" w:themeShade="BF"/>
    </w:rPr>
  </w:style>
  <w:style w:type="character" w:styleId="IntenseReference">
    <w:name w:val="Intense Reference"/>
    <w:basedOn w:val="DefaultParagraphFont"/>
    <w:uiPriority w:val="32"/>
    <w:qFormat/>
    <w:rsid w:val="002B0D2A"/>
    <w:rPr>
      <w:b/>
      <w:bCs/>
      <w:smallCaps/>
      <w:color w:val="0F4761" w:themeColor="accent1" w:themeShade="BF"/>
      <w:spacing w:val="5"/>
    </w:rPr>
  </w:style>
  <w:style w:type="character" w:styleId="Hyperlink">
    <w:name w:val="Hyperlink"/>
    <w:basedOn w:val="DefaultParagraphFont"/>
    <w:uiPriority w:val="99"/>
    <w:unhideWhenUsed/>
    <w:rsid w:val="002B0D2A"/>
    <w:rPr>
      <w:color w:val="467886" w:themeColor="hyperlink"/>
      <w:u w:val="single"/>
    </w:rPr>
  </w:style>
  <w:style w:type="character" w:styleId="UnresolvedMention">
    <w:name w:val="Unresolved Mention"/>
    <w:basedOn w:val="DefaultParagraphFont"/>
    <w:uiPriority w:val="99"/>
    <w:semiHidden/>
    <w:unhideWhenUsed/>
    <w:rsid w:val="002B0D2A"/>
    <w:rPr>
      <w:color w:val="605E5C"/>
      <w:shd w:val="clear" w:color="auto" w:fill="E1DFDD"/>
    </w:rPr>
  </w:style>
  <w:style w:type="paragraph" w:styleId="Header">
    <w:name w:val="header"/>
    <w:basedOn w:val="Normal"/>
    <w:link w:val="HeaderChar"/>
    <w:uiPriority w:val="99"/>
    <w:unhideWhenUsed/>
    <w:rsid w:val="00FC6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D0"/>
  </w:style>
  <w:style w:type="paragraph" w:styleId="Footer">
    <w:name w:val="footer"/>
    <w:basedOn w:val="Normal"/>
    <w:link w:val="FooterChar"/>
    <w:uiPriority w:val="99"/>
    <w:unhideWhenUsed/>
    <w:rsid w:val="00FC6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D0"/>
  </w:style>
  <w:style w:type="character" w:styleId="FollowedHyperlink">
    <w:name w:val="FollowedHyperlink"/>
    <w:basedOn w:val="DefaultParagraphFont"/>
    <w:uiPriority w:val="99"/>
    <w:semiHidden/>
    <w:unhideWhenUsed/>
    <w:rsid w:val="007C07BA"/>
    <w:rPr>
      <w:color w:val="96607D" w:themeColor="followedHyperlink"/>
      <w:u w:val="single"/>
    </w:rPr>
  </w:style>
  <w:style w:type="character" w:styleId="CommentReference">
    <w:name w:val="annotation reference"/>
    <w:basedOn w:val="DefaultParagraphFont"/>
    <w:uiPriority w:val="99"/>
    <w:semiHidden/>
    <w:unhideWhenUsed/>
    <w:rsid w:val="007C07BA"/>
    <w:rPr>
      <w:sz w:val="16"/>
      <w:szCs w:val="16"/>
    </w:rPr>
  </w:style>
  <w:style w:type="paragraph" w:styleId="CommentText">
    <w:name w:val="annotation text"/>
    <w:basedOn w:val="Normal"/>
    <w:link w:val="CommentTextChar"/>
    <w:uiPriority w:val="99"/>
    <w:unhideWhenUsed/>
    <w:rsid w:val="007C07BA"/>
    <w:pPr>
      <w:spacing w:line="240" w:lineRule="auto"/>
    </w:pPr>
    <w:rPr>
      <w:sz w:val="20"/>
      <w:szCs w:val="20"/>
    </w:rPr>
  </w:style>
  <w:style w:type="character" w:customStyle="1" w:styleId="CommentTextChar">
    <w:name w:val="Comment Text Char"/>
    <w:basedOn w:val="DefaultParagraphFont"/>
    <w:link w:val="CommentText"/>
    <w:uiPriority w:val="99"/>
    <w:rsid w:val="007C07BA"/>
    <w:rPr>
      <w:sz w:val="20"/>
      <w:szCs w:val="20"/>
    </w:rPr>
  </w:style>
  <w:style w:type="paragraph" w:styleId="CommentSubject">
    <w:name w:val="annotation subject"/>
    <w:basedOn w:val="CommentText"/>
    <w:next w:val="CommentText"/>
    <w:link w:val="CommentSubjectChar"/>
    <w:uiPriority w:val="99"/>
    <w:semiHidden/>
    <w:unhideWhenUsed/>
    <w:rsid w:val="007C07BA"/>
    <w:rPr>
      <w:b/>
      <w:bCs/>
    </w:rPr>
  </w:style>
  <w:style w:type="character" w:customStyle="1" w:styleId="CommentSubjectChar">
    <w:name w:val="Comment Subject Char"/>
    <w:basedOn w:val="CommentTextChar"/>
    <w:link w:val="CommentSubject"/>
    <w:uiPriority w:val="99"/>
    <w:semiHidden/>
    <w:rsid w:val="007C07BA"/>
    <w:rPr>
      <w:b/>
      <w:bCs/>
      <w:sz w:val="20"/>
      <w:szCs w:val="20"/>
    </w:rPr>
  </w:style>
  <w:style w:type="paragraph" w:styleId="Revision">
    <w:name w:val="Revision"/>
    <w:hidden/>
    <w:uiPriority w:val="99"/>
    <w:semiHidden/>
    <w:rsid w:val="0003651C"/>
    <w:pPr>
      <w:spacing w:after="0" w:line="240" w:lineRule="auto"/>
    </w:pPr>
  </w:style>
  <w:style w:type="paragraph" w:styleId="TOCHeading">
    <w:name w:val="TOC Heading"/>
    <w:basedOn w:val="Heading1"/>
    <w:next w:val="Normal"/>
    <w:uiPriority w:val="39"/>
    <w:unhideWhenUsed/>
    <w:qFormat/>
    <w:rsid w:val="008544AA"/>
    <w:pPr>
      <w:spacing w:after="0"/>
      <w:jc w:val="left"/>
      <w:outlineLvl w:val="9"/>
    </w:pPr>
    <w:rPr>
      <w:rFonts w:asciiTheme="minorHAnsi" w:hAnsiTheme="minorHAnsi"/>
      <w:bCs w:val="0"/>
      <w:kern w:val="0"/>
      <w14:ligatures w14:val="none"/>
    </w:rPr>
  </w:style>
  <w:style w:type="paragraph" w:styleId="TOC1">
    <w:name w:val="toc 1"/>
    <w:basedOn w:val="Normal"/>
    <w:next w:val="Normal"/>
    <w:autoRedefine/>
    <w:uiPriority w:val="39"/>
    <w:unhideWhenUsed/>
    <w:rsid w:val="00DB462D"/>
    <w:pPr>
      <w:tabs>
        <w:tab w:val="right" w:leader="dot" w:pos="9350"/>
      </w:tabs>
      <w:spacing w:before="360" w:after="0"/>
    </w:pPr>
    <w:rPr>
      <w:rFonts w:ascii="Calibri" w:hAnsi="Calibri"/>
      <w:b/>
      <w:bCs/>
      <w:caps/>
      <w:sz w:val="28"/>
      <w:szCs w:val="24"/>
    </w:rPr>
  </w:style>
  <w:style w:type="paragraph" w:styleId="TOC2">
    <w:name w:val="toc 2"/>
    <w:basedOn w:val="Normal"/>
    <w:next w:val="Normal"/>
    <w:autoRedefine/>
    <w:uiPriority w:val="39"/>
    <w:unhideWhenUsed/>
    <w:rsid w:val="00DB462D"/>
    <w:pPr>
      <w:spacing w:before="240" w:after="0"/>
    </w:pPr>
    <w:rPr>
      <w:rFonts w:ascii="Calibri" w:hAnsi="Calibri"/>
      <w:b/>
      <w:bCs/>
      <w:sz w:val="24"/>
      <w:szCs w:val="20"/>
    </w:rPr>
  </w:style>
  <w:style w:type="paragraph" w:styleId="TOC3">
    <w:name w:val="toc 3"/>
    <w:basedOn w:val="Normal"/>
    <w:next w:val="Normal"/>
    <w:autoRedefine/>
    <w:uiPriority w:val="39"/>
    <w:unhideWhenUsed/>
    <w:rsid w:val="00DB462D"/>
    <w:pPr>
      <w:tabs>
        <w:tab w:val="left" w:pos="880"/>
        <w:tab w:val="right" w:leader="dot" w:pos="9350"/>
      </w:tabs>
      <w:spacing w:after="0"/>
      <w:ind w:left="220"/>
    </w:pPr>
    <w:rPr>
      <w:rFonts w:ascii="Calibri" w:hAnsi="Calibri"/>
      <w:sz w:val="24"/>
      <w:szCs w:val="20"/>
    </w:rPr>
  </w:style>
  <w:style w:type="paragraph" w:styleId="BodyText">
    <w:name w:val="Body Text"/>
    <w:basedOn w:val="Normal"/>
    <w:link w:val="BodyTextChar"/>
    <w:qFormat/>
    <w:rsid w:val="008E506B"/>
    <w:pPr>
      <w:spacing w:after="240" w:line="240" w:lineRule="auto"/>
    </w:pPr>
    <w:rPr>
      <w:rFonts w:ascii="Calibri" w:eastAsia="Calibri" w:hAnsi="Calibri" w:cstheme="minorHAnsi"/>
      <w:sz w:val="24"/>
      <w:szCs w:val="24"/>
      <w:lang w:val="en"/>
    </w:rPr>
  </w:style>
  <w:style w:type="character" w:customStyle="1" w:styleId="BodyTextChar">
    <w:name w:val="Body Text Char"/>
    <w:basedOn w:val="DefaultParagraphFont"/>
    <w:link w:val="BodyText"/>
    <w:rsid w:val="008E506B"/>
    <w:rPr>
      <w:rFonts w:ascii="Calibri" w:eastAsia="Calibri" w:hAnsi="Calibri" w:cstheme="minorHAnsi"/>
      <w:sz w:val="24"/>
      <w:szCs w:val="24"/>
      <w:lang w:val="en"/>
    </w:rPr>
  </w:style>
  <w:style w:type="character" w:styleId="PlaceholderText">
    <w:name w:val="Placeholder Text"/>
    <w:basedOn w:val="DefaultParagraphFont"/>
    <w:uiPriority w:val="99"/>
    <w:semiHidden/>
    <w:rsid w:val="008544AA"/>
    <w:rPr>
      <w:color w:val="808080"/>
    </w:rPr>
  </w:style>
  <w:style w:type="paragraph" w:styleId="FootnoteText">
    <w:name w:val="footnote text"/>
    <w:basedOn w:val="Normal"/>
    <w:link w:val="FootnoteTextChar"/>
    <w:uiPriority w:val="99"/>
    <w:unhideWhenUsed/>
    <w:rsid w:val="008544AA"/>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8544AA"/>
    <w:rPr>
      <w:rFonts w:ascii="Times New Roman" w:eastAsia="Times New Roman" w:hAnsi="Times New Roman" w:cs="Times New Roman"/>
      <w:kern w:val="0"/>
      <w:sz w:val="20"/>
      <w:szCs w:val="20"/>
      <w14:ligatures w14:val="none"/>
    </w:rPr>
  </w:style>
  <w:style w:type="character" w:styleId="FootnoteReference">
    <w:name w:val="footnote reference"/>
    <w:uiPriority w:val="99"/>
    <w:unhideWhenUsed/>
    <w:rsid w:val="008544AA"/>
    <w:rPr>
      <w:vertAlign w:val="superscript"/>
    </w:rPr>
  </w:style>
  <w:style w:type="table" w:styleId="TableGrid">
    <w:name w:val="Table Grid"/>
    <w:basedOn w:val="TableNormal"/>
    <w:uiPriority w:val="39"/>
    <w:rsid w:val="008544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4AA"/>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544AA"/>
    <w:rPr>
      <w:rFonts w:ascii="Segoe UI" w:hAnsi="Segoe UI" w:cs="Segoe UI"/>
      <w:kern w:val="0"/>
      <w:sz w:val="18"/>
      <w:szCs w:val="18"/>
      <w14:ligatures w14:val="none"/>
    </w:rPr>
  </w:style>
  <w:style w:type="numbering" w:customStyle="1" w:styleId="NoList1">
    <w:name w:val="No List1"/>
    <w:next w:val="NoList"/>
    <w:uiPriority w:val="99"/>
    <w:semiHidden/>
    <w:unhideWhenUsed/>
    <w:rsid w:val="008544AA"/>
  </w:style>
  <w:style w:type="character" w:styleId="Strong">
    <w:name w:val="Strong"/>
    <w:basedOn w:val="DefaultParagraphFont"/>
    <w:uiPriority w:val="22"/>
    <w:qFormat/>
    <w:rsid w:val="008544AA"/>
    <w:rPr>
      <w:b/>
      <w:bCs/>
    </w:rPr>
  </w:style>
  <w:style w:type="character" w:customStyle="1" w:styleId="Style1Char">
    <w:name w:val="Style1 Char"/>
    <w:basedOn w:val="DefaultParagraphFont"/>
    <w:link w:val="Style1"/>
    <w:locked/>
    <w:rsid w:val="008544AA"/>
    <w:rPr>
      <w:rFonts w:ascii="Calibri" w:eastAsia="Calibri" w:hAnsi="Calibri" w:cs="Calibri"/>
      <w:b/>
      <w:sz w:val="24"/>
      <w:szCs w:val="24"/>
    </w:rPr>
  </w:style>
  <w:style w:type="paragraph" w:customStyle="1" w:styleId="Style1">
    <w:name w:val="Style1"/>
    <w:basedOn w:val="Normal"/>
    <w:link w:val="Style1Char"/>
    <w:qFormat/>
    <w:rsid w:val="008544AA"/>
    <w:pPr>
      <w:spacing w:after="0" w:line="240" w:lineRule="auto"/>
    </w:pPr>
    <w:rPr>
      <w:rFonts w:ascii="Calibri" w:eastAsia="Calibri" w:hAnsi="Calibri" w:cs="Calibri"/>
      <w:b/>
      <w:sz w:val="24"/>
      <w:szCs w:val="24"/>
    </w:rPr>
  </w:style>
  <w:style w:type="character" w:customStyle="1" w:styleId="Style2Char">
    <w:name w:val="Style2 Char"/>
    <w:basedOn w:val="Heading3Char"/>
    <w:link w:val="Style2"/>
    <w:locked/>
    <w:rsid w:val="008544AA"/>
    <w:rPr>
      <w:rFonts w:ascii="Calibri" w:eastAsia="Calibri" w:hAnsi="Calibri" w:cs="Calibri"/>
      <w:bCs/>
      <w:color w:val="000000"/>
      <w:sz w:val="24"/>
      <w:szCs w:val="28"/>
      <w:lang w:val="en"/>
    </w:rPr>
  </w:style>
  <w:style w:type="paragraph" w:customStyle="1" w:styleId="Style2">
    <w:name w:val="Style2"/>
    <w:basedOn w:val="Heading3"/>
    <w:link w:val="Style2Char"/>
    <w:qFormat/>
    <w:rsid w:val="008544AA"/>
    <w:pPr>
      <w:spacing w:before="0" w:after="0" w:line="240" w:lineRule="auto"/>
    </w:pPr>
    <w:rPr>
      <w:rFonts w:eastAsia="Calibri"/>
      <w:bCs/>
      <w:color w:val="000000"/>
      <w:sz w:val="24"/>
      <w:lang w:val="en"/>
    </w:rPr>
  </w:style>
  <w:style w:type="paragraph" w:customStyle="1" w:styleId="Default">
    <w:name w:val="Default"/>
    <w:basedOn w:val="Normal"/>
    <w:rsid w:val="008544AA"/>
    <w:pPr>
      <w:autoSpaceDE w:val="0"/>
      <w:autoSpaceDN w:val="0"/>
      <w:spacing w:after="0" w:line="240" w:lineRule="auto"/>
    </w:pPr>
    <w:rPr>
      <w:rFonts w:ascii="Calibri" w:hAnsi="Calibri" w:cs="Calibri"/>
      <w:color w:val="000000"/>
      <w:kern w:val="0"/>
      <w:sz w:val="24"/>
      <w:szCs w:val="24"/>
      <w14:ligatures w14:val="none"/>
    </w:rPr>
  </w:style>
  <w:style w:type="character" w:styleId="SubtleEmphasis">
    <w:name w:val="Subtle Emphasis"/>
    <w:basedOn w:val="DefaultParagraphFont"/>
    <w:uiPriority w:val="19"/>
    <w:qFormat/>
    <w:rsid w:val="008544AA"/>
    <w:rPr>
      <w:i/>
      <w:iCs/>
      <w:color w:val="404040" w:themeColor="text1" w:themeTint="BF"/>
    </w:rPr>
  </w:style>
  <w:style w:type="table" w:customStyle="1" w:styleId="TableGrid1">
    <w:name w:val="Table Grid1"/>
    <w:basedOn w:val="TableNormal"/>
    <w:next w:val="TableGrid"/>
    <w:uiPriority w:val="39"/>
    <w:rsid w:val="008544AA"/>
    <w:pPr>
      <w:spacing w:after="0" w:line="240" w:lineRule="auto"/>
    </w:pPr>
    <w:rPr>
      <w:rFonts w:ascii="Arial" w:eastAsia="Arial" w:hAnsi="Arial" w:cs="Arial"/>
      <w:kern w:val="0"/>
      <w:lang w:val="e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544AA"/>
    <w:pPr>
      <w:spacing w:after="0" w:line="240" w:lineRule="auto"/>
    </w:pPr>
    <w:rPr>
      <w:rFonts w:ascii="Calibri" w:eastAsia="Calibri" w:hAnsi="Calibri" w:cs="Times New Roman"/>
      <w:kern w:val="0"/>
      <w:lang w:val="e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544AA"/>
    <w:pPr>
      <w:spacing w:after="0" w:line="240" w:lineRule="auto"/>
    </w:pPr>
    <w:rPr>
      <w:rFonts w:ascii="Arial" w:eastAsia="Arial" w:hAnsi="Arial" w:cs="Arial"/>
      <w:kern w:val="0"/>
      <w:sz w:val="20"/>
      <w:szCs w:val="20"/>
      <w:lang w:val="en"/>
      <w14:ligatures w14:val="none"/>
    </w:rPr>
  </w:style>
  <w:style w:type="character" w:customStyle="1" w:styleId="EndnoteTextChar">
    <w:name w:val="Endnote Text Char"/>
    <w:basedOn w:val="DefaultParagraphFont"/>
    <w:link w:val="EndnoteText"/>
    <w:uiPriority w:val="99"/>
    <w:semiHidden/>
    <w:rsid w:val="008544AA"/>
    <w:rPr>
      <w:rFonts w:ascii="Arial" w:eastAsia="Arial" w:hAnsi="Arial" w:cs="Arial"/>
      <w:kern w:val="0"/>
      <w:sz w:val="20"/>
      <w:szCs w:val="20"/>
      <w:lang w:val="en"/>
      <w14:ligatures w14:val="none"/>
    </w:rPr>
  </w:style>
  <w:style w:type="character" w:styleId="EndnoteReference">
    <w:name w:val="endnote reference"/>
    <w:basedOn w:val="DefaultParagraphFont"/>
    <w:uiPriority w:val="99"/>
    <w:semiHidden/>
    <w:unhideWhenUsed/>
    <w:rsid w:val="008544AA"/>
    <w:rPr>
      <w:vertAlign w:val="superscript"/>
    </w:rPr>
  </w:style>
  <w:style w:type="table" w:customStyle="1" w:styleId="TableGrid3">
    <w:name w:val="Table Grid3"/>
    <w:basedOn w:val="TableNormal"/>
    <w:next w:val="TableGrid"/>
    <w:uiPriority w:val="39"/>
    <w:rsid w:val="008544A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tyle">
    <w:name w:val="Answer Style"/>
    <w:basedOn w:val="BodyText"/>
    <w:next w:val="QASpace"/>
    <w:rsid w:val="008544AA"/>
    <w:pPr>
      <w:spacing w:after="0"/>
      <w:ind w:firstLine="360"/>
    </w:pPr>
    <w:rPr>
      <w:b/>
      <w:noProof/>
    </w:rPr>
  </w:style>
  <w:style w:type="paragraph" w:customStyle="1" w:styleId="QASpace">
    <w:name w:val="QA Space"/>
    <w:basedOn w:val="Normal"/>
    <w:next w:val="AnswerStyle"/>
    <w:rsid w:val="008544AA"/>
    <w:pPr>
      <w:spacing w:after="0" w:line="240" w:lineRule="auto"/>
    </w:pPr>
    <w:rPr>
      <w:rFonts w:ascii="Arial" w:eastAsia="Arial" w:hAnsi="Arial" w:cs="Arial"/>
      <w:lang w:val="en"/>
    </w:rPr>
  </w:style>
  <w:style w:type="paragraph" w:styleId="NoSpacing">
    <w:name w:val="No Spacing"/>
    <w:uiPriority w:val="1"/>
    <w:qFormat/>
    <w:rsid w:val="008544AA"/>
    <w:pPr>
      <w:spacing w:after="0" w:line="240" w:lineRule="auto"/>
    </w:pPr>
    <w:rPr>
      <w:rFonts w:ascii="Arial" w:eastAsia="Arial" w:hAnsi="Arial" w:cs="Arial"/>
      <w:kern w:val="0"/>
      <w:lang w:val="en"/>
      <w14:ligatures w14:val="none"/>
    </w:rPr>
  </w:style>
  <w:style w:type="paragraph" w:styleId="TOC4">
    <w:name w:val="toc 4"/>
    <w:basedOn w:val="Normal"/>
    <w:next w:val="Normal"/>
    <w:autoRedefine/>
    <w:uiPriority w:val="39"/>
    <w:unhideWhenUsed/>
    <w:rsid w:val="00DB462D"/>
    <w:pPr>
      <w:spacing w:after="0"/>
      <w:ind w:left="440"/>
    </w:pPr>
    <w:rPr>
      <w:sz w:val="20"/>
      <w:szCs w:val="20"/>
    </w:rPr>
  </w:style>
  <w:style w:type="paragraph" w:styleId="TOC5">
    <w:name w:val="toc 5"/>
    <w:basedOn w:val="Normal"/>
    <w:next w:val="Normal"/>
    <w:autoRedefine/>
    <w:uiPriority w:val="39"/>
    <w:unhideWhenUsed/>
    <w:rsid w:val="00DB462D"/>
    <w:pPr>
      <w:spacing w:after="0"/>
      <w:ind w:left="660"/>
    </w:pPr>
    <w:rPr>
      <w:sz w:val="20"/>
      <w:szCs w:val="20"/>
    </w:rPr>
  </w:style>
  <w:style w:type="paragraph" w:styleId="TOC6">
    <w:name w:val="toc 6"/>
    <w:basedOn w:val="Normal"/>
    <w:next w:val="Normal"/>
    <w:autoRedefine/>
    <w:uiPriority w:val="39"/>
    <w:unhideWhenUsed/>
    <w:rsid w:val="00DB462D"/>
    <w:pPr>
      <w:spacing w:after="0"/>
      <w:ind w:left="880"/>
    </w:pPr>
    <w:rPr>
      <w:sz w:val="20"/>
      <w:szCs w:val="20"/>
    </w:rPr>
  </w:style>
  <w:style w:type="paragraph" w:styleId="TOC7">
    <w:name w:val="toc 7"/>
    <w:basedOn w:val="Normal"/>
    <w:next w:val="Normal"/>
    <w:autoRedefine/>
    <w:uiPriority w:val="39"/>
    <w:unhideWhenUsed/>
    <w:rsid w:val="00DB462D"/>
    <w:pPr>
      <w:spacing w:after="0"/>
      <w:ind w:left="1100"/>
    </w:pPr>
    <w:rPr>
      <w:sz w:val="20"/>
      <w:szCs w:val="20"/>
    </w:rPr>
  </w:style>
  <w:style w:type="paragraph" w:styleId="TOC8">
    <w:name w:val="toc 8"/>
    <w:basedOn w:val="Normal"/>
    <w:next w:val="Normal"/>
    <w:autoRedefine/>
    <w:uiPriority w:val="39"/>
    <w:unhideWhenUsed/>
    <w:rsid w:val="00DB462D"/>
    <w:pPr>
      <w:spacing w:after="0"/>
      <w:ind w:left="1320"/>
    </w:pPr>
    <w:rPr>
      <w:sz w:val="20"/>
      <w:szCs w:val="20"/>
    </w:rPr>
  </w:style>
  <w:style w:type="paragraph" w:styleId="TOC9">
    <w:name w:val="toc 9"/>
    <w:basedOn w:val="Normal"/>
    <w:next w:val="Normal"/>
    <w:autoRedefine/>
    <w:uiPriority w:val="39"/>
    <w:unhideWhenUsed/>
    <w:rsid w:val="00DB462D"/>
    <w:pPr>
      <w:spacing w:after="0"/>
      <w:ind w:left="1540"/>
    </w:pPr>
    <w:rPr>
      <w:sz w:val="20"/>
      <w:szCs w:val="20"/>
    </w:rPr>
  </w:style>
  <w:style w:type="character" w:customStyle="1" w:styleId="Style3">
    <w:name w:val="Style3"/>
    <w:basedOn w:val="DefaultParagraphFont"/>
    <w:uiPriority w:val="1"/>
    <w:rsid w:val="00CF4BCD"/>
    <w:rPr>
      <w:rFonts w:ascii="Calibri" w:hAnsi="Calibri"/>
      <w:sz w:val="24"/>
    </w:rPr>
  </w:style>
  <w:style w:type="character" w:customStyle="1" w:styleId="Style4">
    <w:name w:val="Style4"/>
    <w:basedOn w:val="DefaultParagraphFont"/>
    <w:uiPriority w:val="1"/>
    <w:rsid w:val="00307A47"/>
    <w:rPr>
      <w:rFonts w:ascii="Calibri" w:hAnsi="Calibri"/>
      <w:sz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112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112AC"/>
  </w:style>
  <w:style w:type="character" w:customStyle="1" w:styleId="eop">
    <w:name w:val="eop"/>
    <w:basedOn w:val="DefaultParagraphFont"/>
    <w:rsid w:val="005112AC"/>
  </w:style>
  <w:style w:type="paragraph" w:customStyle="1" w:styleId="TableParagraph">
    <w:name w:val="Table Paragraph"/>
    <w:basedOn w:val="Normal"/>
    <w:uiPriority w:val="1"/>
    <w:qFormat/>
    <w:rsid w:val="00FF0731"/>
    <w:pPr>
      <w:widowControl w:val="0"/>
      <w:autoSpaceDE w:val="0"/>
      <w:autoSpaceDN w:val="0"/>
      <w:spacing w:after="0" w:line="240" w:lineRule="auto"/>
      <w:ind w:left="107"/>
    </w:pPr>
    <w:rPr>
      <w:rFonts w:ascii="Calibri" w:eastAsia="Calibri" w:hAnsi="Calibri" w:cs="Calibri"/>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34147">
      <w:bodyDiv w:val="1"/>
      <w:marLeft w:val="0"/>
      <w:marRight w:val="0"/>
      <w:marTop w:val="0"/>
      <w:marBottom w:val="0"/>
      <w:divBdr>
        <w:top w:val="none" w:sz="0" w:space="0" w:color="auto"/>
        <w:left w:val="none" w:sz="0" w:space="0" w:color="auto"/>
        <w:bottom w:val="none" w:sz="0" w:space="0" w:color="auto"/>
        <w:right w:val="none" w:sz="0" w:space="0" w:color="auto"/>
      </w:divBdr>
      <w:divsChild>
        <w:div w:id="915826556">
          <w:marLeft w:val="0"/>
          <w:marRight w:val="0"/>
          <w:marTop w:val="0"/>
          <w:marBottom w:val="0"/>
          <w:divBdr>
            <w:top w:val="none" w:sz="0" w:space="0" w:color="auto"/>
            <w:left w:val="none" w:sz="0" w:space="0" w:color="auto"/>
            <w:bottom w:val="none" w:sz="0" w:space="0" w:color="auto"/>
            <w:right w:val="none" w:sz="0" w:space="0" w:color="auto"/>
          </w:divBdr>
          <w:divsChild>
            <w:div w:id="1736007885">
              <w:marLeft w:val="0"/>
              <w:marRight w:val="0"/>
              <w:marTop w:val="0"/>
              <w:marBottom w:val="0"/>
              <w:divBdr>
                <w:top w:val="none" w:sz="0" w:space="0" w:color="auto"/>
                <w:left w:val="none" w:sz="0" w:space="0" w:color="auto"/>
                <w:bottom w:val="none" w:sz="0" w:space="0" w:color="auto"/>
                <w:right w:val="none" w:sz="0" w:space="0" w:color="auto"/>
              </w:divBdr>
            </w:div>
          </w:divsChild>
        </w:div>
        <w:div w:id="1357341157">
          <w:marLeft w:val="0"/>
          <w:marRight w:val="0"/>
          <w:marTop w:val="0"/>
          <w:marBottom w:val="0"/>
          <w:divBdr>
            <w:top w:val="none" w:sz="0" w:space="0" w:color="auto"/>
            <w:left w:val="none" w:sz="0" w:space="0" w:color="auto"/>
            <w:bottom w:val="none" w:sz="0" w:space="0" w:color="auto"/>
            <w:right w:val="none" w:sz="0" w:space="0" w:color="auto"/>
          </w:divBdr>
          <w:divsChild>
            <w:div w:id="677073621">
              <w:marLeft w:val="0"/>
              <w:marRight w:val="0"/>
              <w:marTop w:val="0"/>
              <w:marBottom w:val="0"/>
              <w:divBdr>
                <w:top w:val="none" w:sz="0" w:space="0" w:color="auto"/>
                <w:left w:val="none" w:sz="0" w:space="0" w:color="auto"/>
                <w:bottom w:val="none" w:sz="0" w:space="0" w:color="auto"/>
                <w:right w:val="none" w:sz="0" w:space="0" w:color="auto"/>
              </w:divBdr>
            </w:div>
          </w:divsChild>
        </w:div>
        <w:div w:id="1423068157">
          <w:marLeft w:val="0"/>
          <w:marRight w:val="0"/>
          <w:marTop w:val="0"/>
          <w:marBottom w:val="0"/>
          <w:divBdr>
            <w:top w:val="none" w:sz="0" w:space="0" w:color="auto"/>
            <w:left w:val="none" w:sz="0" w:space="0" w:color="auto"/>
            <w:bottom w:val="none" w:sz="0" w:space="0" w:color="auto"/>
            <w:right w:val="none" w:sz="0" w:space="0" w:color="auto"/>
          </w:divBdr>
          <w:divsChild>
            <w:div w:id="946735861">
              <w:marLeft w:val="0"/>
              <w:marRight w:val="0"/>
              <w:marTop w:val="0"/>
              <w:marBottom w:val="0"/>
              <w:divBdr>
                <w:top w:val="none" w:sz="0" w:space="0" w:color="auto"/>
                <w:left w:val="none" w:sz="0" w:space="0" w:color="auto"/>
                <w:bottom w:val="none" w:sz="0" w:space="0" w:color="auto"/>
                <w:right w:val="none" w:sz="0" w:space="0" w:color="auto"/>
              </w:divBdr>
            </w:div>
          </w:divsChild>
        </w:div>
        <w:div w:id="1215124227">
          <w:marLeft w:val="0"/>
          <w:marRight w:val="0"/>
          <w:marTop w:val="0"/>
          <w:marBottom w:val="0"/>
          <w:divBdr>
            <w:top w:val="none" w:sz="0" w:space="0" w:color="auto"/>
            <w:left w:val="none" w:sz="0" w:space="0" w:color="auto"/>
            <w:bottom w:val="none" w:sz="0" w:space="0" w:color="auto"/>
            <w:right w:val="none" w:sz="0" w:space="0" w:color="auto"/>
          </w:divBdr>
          <w:divsChild>
            <w:div w:id="1495804616">
              <w:marLeft w:val="0"/>
              <w:marRight w:val="0"/>
              <w:marTop w:val="0"/>
              <w:marBottom w:val="0"/>
              <w:divBdr>
                <w:top w:val="none" w:sz="0" w:space="0" w:color="auto"/>
                <w:left w:val="none" w:sz="0" w:space="0" w:color="auto"/>
                <w:bottom w:val="none" w:sz="0" w:space="0" w:color="auto"/>
                <w:right w:val="none" w:sz="0" w:space="0" w:color="auto"/>
              </w:divBdr>
            </w:div>
          </w:divsChild>
        </w:div>
        <w:div w:id="104662922">
          <w:marLeft w:val="0"/>
          <w:marRight w:val="0"/>
          <w:marTop w:val="0"/>
          <w:marBottom w:val="0"/>
          <w:divBdr>
            <w:top w:val="none" w:sz="0" w:space="0" w:color="auto"/>
            <w:left w:val="none" w:sz="0" w:space="0" w:color="auto"/>
            <w:bottom w:val="none" w:sz="0" w:space="0" w:color="auto"/>
            <w:right w:val="none" w:sz="0" w:space="0" w:color="auto"/>
          </w:divBdr>
          <w:divsChild>
            <w:div w:id="969476420">
              <w:marLeft w:val="0"/>
              <w:marRight w:val="0"/>
              <w:marTop w:val="0"/>
              <w:marBottom w:val="0"/>
              <w:divBdr>
                <w:top w:val="none" w:sz="0" w:space="0" w:color="auto"/>
                <w:left w:val="none" w:sz="0" w:space="0" w:color="auto"/>
                <w:bottom w:val="none" w:sz="0" w:space="0" w:color="auto"/>
                <w:right w:val="none" w:sz="0" w:space="0" w:color="auto"/>
              </w:divBdr>
            </w:div>
          </w:divsChild>
        </w:div>
        <w:div w:id="427699486">
          <w:marLeft w:val="0"/>
          <w:marRight w:val="0"/>
          <w:marTop w:val="0"/>
          <w:marBottom w:val="0"/>
          <w:divBdr>
            <w:top w:val="none" w:sz="0" w:space="0" w:color="auto"/>
            <w:left w:val="none" w:sz="0" w:space="0" w:color="auto"/>
            <w:bottom w:val="none" w:sz="0" w:space="0" w:color="auto"/>
            <w:right w:val="none" w:sz="0" w:space="0" w:color="auto"/>
          </w:divBdr>
          <w:divsChild>
            <w:div w:id="1449470209">
              <w:marLeft w:val="0"/>
              <w:marRight w:val="0"/>
              <w:marTop w:val="0"/>
              <w:marBottom w:val="0"/>
              <w:divBdr>
                <w:top w:val="none" w:sz="0" w:space="0" w:color="auto"/>
                <w:left w:val="none" w:sz="0" w:space="0" w:color="auto"/>
                <w:bottom w:val="none" w:sz="0" w:space="0" w:color="auto"/>
                <w:right w:val="none" w:sz="0" w:space="0" w:color="auto"/>
              </w:divBdr>
            </w:div>
          </w:divsChild>
        </w:div>
        <w:div w:id="299962975">
          <w:marLeft w:val="0"/>
          <w:marRight w:val="0"/>
          <w:marTop w:val="0"/>
          <w:marBottom w:val="0"/>
          <w:divBdr>
            <w:top w:val="none" w:sz="0" w:space="0" w:color="auto"/>
            <w:left w:val="none" w:sz="0" w:space="0" w:color="auto"/>
            <w:bottom w:val="none" w:sz="0" w:space="0" w:color="auto"/>
            <w:right w:val="none" w:sz="0" w:space="0" w:color="auto"/>
          </w:divBdr>
          <w:divsChild>
            <w:div w:id="1753114742">
              <w:marLeft w:val="0"/>
              <w:marRight w:val="0"/>
              <w:marTop w:val="0"/>
              <w:marBottom w:val="0"/>
              <w:divBdr>
                <w:top w:val="none" w:sz="0" w:space="0" w:color="auto"/>
                <w:left w:val="none" w:sz="0" w:space="0" w:color="auto"/>
                <w:bottom w:val="none" w:sz="0" w:space="0" w:color="auto"/>
                <w:right w:val="none" w:sz="0" w:space="0" w:color="auto"/>
              </w:divBdr>
            </w:div>
          </w:divsChild>
        </w:div>
        <w:div w:id="1990792044">
          <w:marLeft w:val="0"/>
          <w:marRight w:val="0"/>
          <w:marTop w:val="0"/>
          <w:marBottom w:val="0"/>
          <w:divBdr>
            <w:top w:val="none" w:sz="0" w:space="0" w:color="auto"/>
            <w:left w:val="none" w:sz="0" w:space="0" w:color="auto"/>
            <w:bottom w:val="none" w:sz="0" w:space="0" w:color="auto"/>
            <w:right w:val="none" w:sz="0" w:space="0" w:color="auto"/>
          </w:divBdr>
          <w:divsChild>
            <w:div w:id="1177813095">
              <w:marLeft w:val="0"/>
              <w:marRight w:val="0"/>
              <w:marTop w:val="0"/>
              <w:marBottom w:val="0"/>
              <w:divBdr>
                <w:top w:val="none" w:sz="0" w:space="0" w:color="auto"/>
                <w:left w:val="none" w:sz="0" w:space="0" w:color="auto"/>
                <w:bottom w:val="none" w:sz="0" w:space="0" w:color="auto"/>
                <w:right w:val="none" w:sz="0" w:space="0" w:color="auto"/>
              </w:divBdr>
            </w:div>
          </w:divsChild>
        </w:div>
        <w:div w:id="1193957964">
          <w:marLeft w:val="0"/>
          <w:marRight w:val="0"/>
          <w:marTop w:val="0"/>
          <w:marBottom w:val="0"/>
          <w:divBdr>
            <w:top w:val="none" w:sz="0" w:space="0" w:color="auto"/>
            <w:left w:val="none" w:sz="0" w:space="0" w:color="auto"/>
            <w:bottom w:val="none" w:sz="0" w:space="0" w:color="auto"/>
            <w:right w:val="none" w:sz="0" w:space="0" w:color="auto"/>
          </w:divBdr>
          <w:divsChild>
            <w:div w:id="628517510">
              <w:marLeft w:val="0"/>
              <w:marRight w:val="0"/>
              <w:marTop w:val="0"/>
              <w:marBottom w:val="0"/>
              <w:divBdr>
                <w:top w:val="none" w:sz="0" w:space="0" w:color="auto"/>
                <w:left w:val="none" w:sz="0" w:space="0" w:color="auto"/>
                <w:bottom w:val="none" w:sz="0" w:space="0" w:color="auto"/>
                <w:right w:val="none" w:sz="0" w:space="0" w:color="auto"/>
              </w:divBdr>
            </w:div>
          </w:divsChild>
        </w:div>
        <w:div w:id="2057653631">
          <w:marLeft w:val="0"/>
          <w:marRight w:val="0"/>
          <w:marTop w:val="0"/>
          <w:marBottom w:val="0"/>
          <w:divBdr>
            <w:top w:val="none" w:sz="0" w:space="0" w:color="auto"/>
            <w:left w:val="none" w:sz="0" w:space="0" w:color="auto"/>
            <w:bottom w:val="none" w:sz="0" w:space="0" w:color="auto"/>
            <w:right w:val="none" w:sz="0" w:space="0" w:color="auto"/>
          </w:divBdr>
          <w:divsChild>
            <w:div w:id="1126849402">
              <w:marLeft w:val="0"/>
              <w:marRight w:val="0"/>
              <w:marTop w:val="0"/>
              <w:marBottom w:val="0"/>
              <w:divBdr>
                <w:top w:val="none" w:sz="0" w:space="0" w:color="auto"/>
                <w:left w:val="none" w:sz="0" w:space="0" w:color="auto"/>
                <w:bottom w:val="none" w:sz="0" w:space="0" w:color="auto"/>
                <w:right w:val="none" w:sz="0" w:space="0" w:color="auto"/>
              </w:divBdr>
            </w:div>
          </w:divsChild>
        </w:div>
        <w:div w:id="1738212408">
          <w:marLeft w:val="0"/>
          <w:marRight w:val="0"/>
          <w:marTop w:val="0"/>
          <w:marBottom w:val="0"/>
          <w:divBdr>
            <w:top w:val="none" w:sz="0" w:space="0" w:color="auto"/>
            <w:left w:val="none" w:sz="0" w:space="0" w:color="auto"/>
            <w:bottom w:val="none" w:sz="0" w:space="0" w:color="auto"/>
            <w:right w:val="none" w:sz="0" w:space="0" w:color="auto"/>
          </w:divBdr>
          <w:divsChild>
            <w:div w:id="455179916">
              <w:marLeft w:val="0"/>
              <w:marRight w:val="0"/>
              <w:marTop w:val="0"/>
              <w:marBottom w:val="0"/>
              <w:divBdr>
                <w:top w:val="none" w:sz="0" w:space="0" w:color="auto"/>
                <w:left w:val="none" w:sz="0" w:space="0" w:color="auto"/>
                <w:bottom w:val="none" w:sz="0" w:space="0" w:color="auto"/>
                <w:right w:val="none" w:sz="0" w:space="0" w:color="auto"/>
              </w:divBdr>
            </w:div>
          </w:divsChild>
        </w:div>
        <w:div w:id="1162309540">
          <w:marLeft w:val="0"/>
          <w:marRight w:val="0"/>
          <w:marTop w:val="0"/>
          <w:marBottom w:val="0"/>
          <w:divBdr>
            <w:top w:val="none" w:sz="0" w:space="0" w:color="auto"/>
            <w:left w:val="none" w:sz="0" w:space="0" w:color="auto"/>
            <w:bottom w:val="none" w:sz="0" w:space="0" w:color="auto"/>
            <w:right w:val="none" w:sz="0" w:space="0" w:color="auto"/>
          </w:divBdr>
          <w:divsChild>
            <w:div w:id="1408377897">
              <w:marLeft w:val="0"/>
              <w:marRight w:val="0"/>
              <w:marTop w:val="0"/>
              <w:marBottom w:val="0"/>
              <w:divBdr>
                <w:top w:val="none" w:sz="0" w:space="0" w:color="auto"/>
                <w:left w:val="none" w:sz="0" w:space="0" w:color="auto"/>
                <w:bottom w:val="none" w:sz="0" w:space="0" w:color="auto"/>
                <w:right w:val="none" w:sz="0" w:space="0" w:color="auto"/>
              </w:divBdr>
            </w:div>
          </w:divsChild>
        </w:div>
        <w:div w:id="1954436245">
          <w:marLeft w:val="0"/>
          <w:marRight w:val="0"/>
          <w:marTop w:val="0"/>
          <w:marBottom w:val="0"/>
          <w:divBdr>
            <w:top w:val="none" w:sz="0" w:space="0" w:color="auto"/>
            <w:left w:val="none" w:sz="0" w:space="0" w:color="auto"/>
            <w:bottom w:val="none" w:sz="0" w:space="0" w:color="auto"/>
            <w:right w:val="none" w:sz="0" w:space="0" w:color="auto"/>
          </w:divBdr>
          <w:divsChild>
            <w:div w:id="297417782">
              <w:marLeft w:val="0"/>
              <w:marRight w:val="0"/>
              <w:marTop w:val="0"/>
              <w:marBottom w:val="0"/>
              <w:divBdr>
                <w:top w:val="none" w:sz="0" w:space="0" w:color="auto"/>
                <w:left w:val="none" w:sz="0" w:space="0" w:color="auto"/>
                <w:bottom w:val="none" w:sz="0" w:space="0" w:color="auto"/>
                <w:right w:val="none" w:sz="0" w:space="0" w:color="auto"/>
              </w:divBdr>
            </w:div>
          </w:divsChild>
        </w:div>
        <w:div w:id="959646576">
          <w:marLeft w:val="0"/>
          <w:marRight w:val="0"/>
          <w:marTop w:val="0"/>
          <w:marBottom w:val="0"/>
          <w:divBdr>
            <w:top w:val="none" w:sz="0" w:space="0" w:color="auto"/>
            <w:left w:val="none" w:sz="0" w:space="0" w:color="auto"/>
            <w:bottom w:val="none" w:sz="0" w:space="0" w:color="auto"/>
            <w:right w:val="none" w:sz="0" w:space="0" w:color="auto"/>
          </w:divBdr>
          <w:divsChild>
            <w:div w:id="2014068955">
              <w:marLeft w:val="0"/>
              <w:marRight w:val="0"/>
              <w:marTop w:val="0"/>
              <w:marBottom w:val="0"/>
              <w:divBdr>
                <w:top w:val="none" w:sz="0" w:space="0" w:color="auto"/>
                <w:left w:val="none" w:sz="0" w:space="0" w:color="auto"/>
                <w:bottom w:val="none" w:sz="0" w:space="0" w:color="auto"/>
                <w:right w:val="none" w:sz="0" w:space="0" w:color="auto"/>
              </w:divBdr>
            </w:div>
          </w:divsChild>
        </w:div>
        <w:div w:id="593590978">
          <w:marLeft w:val="0"/>
          <w:marRight w:val="0"/>
          <w:marTop w:val="0"/>
          <w:marBottom w:val="0"/>
          <w:divBdr>
            <w:top w:val="none" w:sz="0" w:space="0" w:color="auto"/>
            <w:left w:val="none" w:sz="0" w:space="0" w:color="auto"/>
            <w:bottom w:val="none" w:sz="0" w:space="0" w:color="auto"/>
            <w:right w:val="none" w:sz="0" w:space="0" w:color="auto"/>
          </w:divBdr>
          <w:divsChild>
            <w:div w:id="1464423858">
              <w:marLeft w:val="0"/>
              <w:marRight w:val="0"/>
              <w:marTop w:val="0"/>
              <w:marBottom w:val="0"/>
              <w:divBdr>
                <w:top w:val="none" w:sz="0" w:space="0" w:color="auto"/>
                <w:left w:val="none" w:sz="0" w:space="0" w:color="auto"/>
                <w:bottom w:val="none" w:sz="0" w:space="0" w:color="auto"/>
                <w:right w:val="none" w:sz="0" w:space="0" w:color="auto"/>
              </w:divBdr>
            </w:div>
          </w:divsChild>
        </w:div>
        <w:div w:id="1119881284">
          <w:marLeft w:val="0"/>
          <w:marRight w:val="0"/>
          <w:marTop w:val="0"/>
          <w:marBottom w:val="0"/>
          <w:divBdr>
            <w:top w:val="none" w:sz="0" w:space="0" w:color="auto"/>
            <w:left w:val="none" w:sz="0" w:space="0" w:color="auto"/>
            <w:bottom w:val="none" w:sz="0" w:space="0" w:color="auto"/>
            <w:right w:val="none" w:sz="0" w:space="0" w:color="auto"/>
          </w:divBdr>
          <w:divsChild>
            <w:div w:id="253782452">
              <w:marLeft w:val="0"/>
              <w:marRight w:val="0"/>
              <w:marTop w:val="0"/>
              <w:marBottom w:val="0"/>
              <w:divBdr>
                <w:top w:val="none" w:sz="0" w:space="0" w:color="auto"/>
                <w:left w:val="none" w:sz="0" w:space="0" w:color="auto"/>
                <w:bottom w:val="none" w:sz="0" w:space="0" w:color="auto"/>
                <w:right w:val="none" w:sz="0" w:space="0" w:color="auto"/>
              </w:divBdr>
            </w:div>
          </w:divsChild>
        </w:div>
        <w:div w:id="345644234">
          <w:marLeft w:val="0"/>
          <w:marRight w:val="0"/>
          <w:marTop w:val="0"/>
          <w:marBottom w:val="0"/>
          <w:divBdr>
            <w:top w:val="none" w:sz="0" w:space="0" w:color="auto"/>
            <w:left w:val="none" w:sz="0" w:space="0" w:color="auto"/>
            <w:bottom w:val="none" w:sz="0" w:space="0" w:color="auto"/>
            <w:right w:val="none" w:sz="0" w:space="0" w:color="auto"/>
          </w:divBdr>
          <w:divsChild>
            <w:div w:id="801070611">
              <w:marLeft w:val="0"/>
              <w:marRight w:val="0"/>
              <w:marTop w:val="0"/>
              <w:marBottom w:val="0"/>
              <w:divBdr>
                <w:top w:val="none" w:sz="0" w:space="0" w:color="auto"/>
                <w:left w:val="none" w:sz="0" w:space="0" w:color="auto"/>
                <w:bottom w:val="none" w:sz="0" w:space="0" w:color="auto"/>
                <w:right w:val="none" w:sz="0" w:space="0" w:color="auto"/>
              </w:divBdr>
            </w:div>
          </w:divsChild>
        </w:div>
        <w:div w:id="902250385">
          <w:marLeft w:val="0"/>
          <w:marRight w:val="0"/>
          <w:marTop w:val="0"/>
          <w:marBottom w:val="0"/>
          <w:divBdr>
            <w:top w:val="none" w:sz="0" w:space="0" w:color="auto"/>
            <w:left w:val="none" w:sz="0" w:space="0" w:color="auto"/>
            <w:bottom w:val="none" w:sz="0" w:space="0" w:color="auto"/>
            <w:right w:val="none" w:sz="0" w:space="0" w:color="auto"/>
          </w:divBdr>
          <w:divsChild>
            <w:div w:id="3508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02web.zoom.us/webinar/register/WN_loGsA4GBSmG_ujg9xQdc8Q" TargetMode="External"/><Relationship Id="rId21" Type="http://schemas.openxmlformats.org/officeDocument/2006/relationships/hyperlink" Target="https://edd.ca.gov/en/Jobs_and_Training/Active_Directives" TargetMode="External"/><Relationship Id="rId42" Type="http://schemas.openxmlformats.org/officeDocument/2006/relationships/hyperlink" Target="https://edd.ca.gov/en/Jobs_and_Training/Active_Directives" TargetMode="External"/><Relationship Id="rId47" Type="http://schemas.openxmlformats.org/officeDocument/2006/relationships/hyperlink" Target="http://cccewd.net/" TargetMode="External"/><Relationship Id="rId63" Type="http://schemas.openxmlformats.org/officeDocument/2006/relationships/hyperlink" Target="http://www.edd.ca.gov/jobs_and_training/Local_Area_Listing.htm" TargetMode="External"/><Relationship Id="rId68" Type="http://schemas.openxmlformats.org/officeDocument/2006/relationships/hyperlink" Target="https://www.uschamberfoundation.org/search/site/ICW" TargetMode="External"/><Relationship Id="rId84" Type="http://schemas.openxmlformats.org/officeDocument/2006/relationships/hyperlink" Target="https://apps.apple.com/us/app/firefox-private-safe-browser/id989804926" TargetMode="External"/><Relationship Id="rId89" Type="http://schemas.openxmlformats.org/officeDocument/2006/relationships/hyperlink" Target="http://scriptx.meadroid.com/home.aspx" TargetMode="External"/><Relationship Id="rId16" Type="http://schemas.openxmlformats.org/officeDocument/2006/relationships/hyperlink" Target="https://edd.ca.gov/siteassets/files/jobs_and_training/pubs/wssfp24-09att5.docx" TargetMode="External"/><Relationship Id="rId11" Type="http://schemas.openxmlformats.org/officeDocument/2006/relationships/image" Target="media/image1.png"/><Relationship Id="rId32" Type="http://schemas.openxmlformats.org/officeDocument/2006/relationships/hyperlink" Target="https://edd.ca.gov/Jobs_and_Training/Active_Directives.htm" TargetMode="External"/><Relationship Id="rId37" Type="http://schemas.openxmlformats.org/officeDocument/2006/relationships/hyperlink" Target="https://edd.ca.gov/Jobs_and_Training/Active_Directives.htm" TargetMode="External"/><Relationship Id="rId53" Type="http://schemas.openxmlformats.org/officeDocument/2006/relationships/hyperlink" Target="http://www.cdss.ca.gov/" TargetMode="External"/><Relationship Id="rId58" Type="http://schemas.openxmlformats.org/officeDocument/2006/relationships/hyperlink" Target="http://calworkforce.org/" TargetMode="External"/><Relationship Id="rId74" Type="http://schemas.openxmlformats.org/officeDocument/2006/relationships/image" Target="media/image3.png"/><Relationship Id="rId79" Type="http://schemas.openxmlformats.org/officeDocument/2006/relationships/hyperlink" Target="http://www.opera.com/download" TargetMode="External"/><Relationship Id="rId5" Type="http://schemas.openxmlformats.org/officeDocument/2006/relationships/numbering" Target="numbering.xml"/><Relationship Id="rId90" Type="http://schemas.openxmlformats.org/officeDocument/2006/relationships/hyperlink" Target="https://www.dynamsoft.com/" TargetMode="External"/><Relationship Id="rId22" Type="http://schemas.openxmlformats.org/officeDocument/2006/relationships/hyperlink" Target="https://www.ecfr.gov/cgi-bin/text-idx?SID=daf3e637185a2e94363243de8662115f&amp;mc=true&amp;node=se2.1.200_1306&amp;rgn=div8" TargetMode="External"/><Relationship Id="rId27" Type="http://schemas.openxmlformats.org/officeDocument/2006/relationships/hyperlink" Target="mailto:WSBSFP2@edd.ca.gov" TargetMode="External"/><Relationship Id="rId43" Type="http://schemas.openxmlformats.org/officeDocument/2006/relationships/hyperlink" Target="https://edd.ca.gov/en/Jobs_and_Training/Active_Directives" TargetMode="External"/><Relationship Id="rId48" Type="http://schemas.openxmlformats.org/officeDocument/2006/relationships/hyperlink" Target="http://www.dof.ca.gov/Forecasting/Demographics/" TargetMode="External"/><Relationship Id="rId64" Type="http://schemas.openxmlformats.org/officeDocument/2006/relationships/hyperlink" Target="https://www.whitehouse.gov/" TargetMode="External"/><Relationship Id="rId69" Type="http://schemas.openxmlformats.org/officeDocument/2006/relationships/hyperlink" Target="https://www.doleta.gov/wioa/" TargetMode="External"/><Relationship Id="rId8" Type="http://schemas.openxmlformats.org/officeDocument/2006/relationships/webSettings" Target="webSettings.xml"/><Relationship Id="rId51" Type="http://schemas.openxmlformats.org/officeDocument/2006/relationships/hyperlink" Target="https://www.dir.ca.gov/das/" TargetMode="External"/><Relationship Id="rId72" Type="http://schemas.openxmlformats.org/officeDocument/2006/relationships/image" Target="media/image2.png"/><Relationship Id="rId80" Type="http://schemas.openxmlformats.org/officeDocument/2006/relationships/image" Target="media/image6.png"/><Relationship Id="rId85" Type="http://schemas.openxmlformats.org/officeDocument/2006/relationships/hyperlink" Target="https://chrome.google.com/webstore/detail/google-play/komhbcfkdcgmcdoenjcjheifdiabikfi"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edd.ca.gov/siteassets/files/jobs_and_training/pubs/wssfp24-09att1.docx" TargetMode="External"/><Relationship Id="rId17" Type="http://schemas.openxmlformats.org/officeDocument/2006/relationships/hyperlink" Target="https://edd.ca.gov/siteassets/files/jobs_and_training/pubs/wssfp24-09att6.docx" TargetMode="External"/><Relationship Id="rId25" Type="http://schemas.openxmlformats.org/officeDocument/2006/relationships/hyperlink" Target="https://edd.ca.gov/en/jobs_and_training/wdsfp_workforce_development_solicitations_for_proposals" TargetMode="External"/><Relationship Id="rId33" Type="http://schemas.openxmlformats.org/officeDocument/2006/relationships/hyperlink" Target="mailto:WSBSpecialPopulations@edd.ca.gov" TargetMode="External"/><Relationship Id="rId38" Type="http://schemas.openxmlformats.org/officeDocument/2006/relationships/hyperlink" Target="https://edd.ca.gov/Jobs_and_Training/Active_Directives.htm" TargetMode="External"/><Relationship Id="rId46" Type="http://schemas.openxmlformats.org/officeDocument/2006/relationships/hyperlink" Target="http://www.caled.org/" TargetMode="External"/><Relationship Id="rId59" Type="http://schemas.openxmlformats.org/officeDocument/2006/relationships/hyperlink" Target="http://cwdb.ca.gov/" TargetMode="External"/><Relationship Id="rId67" Type="http://schemas.openxmlformats.org/officeDocument/2006/relationships/hyperlink" Target="https://www.sba.gov/" TargetMode="External"/><Relationship Id="rId20" Type="http://schemas.openxmlformats.org/officeDocument/2006/relationships/hyperlink" Target="https://sam.gov/content/entity-registration" TargetMode="External"/><Relationship Id="rId41" Type="http://schemas.openxmlformats.org/officeDocument/2006/relationships/hyperlink" Target="https://www.ecfr.gov/current/title-2/subtitle-A/chapter-II/part-200/subpart-E/subject-group-ECFRea20080eff2ea53?toc=1" TargetMode="External"/><Relationship Id="rId54" Type="http://schemas.openxmlformats.org/officeDocument/2006/relationships/hyperlink" Target="http://www.edd.ca.gov/" TargetMode="External"/><Relationship Id="rId62" Type="http://schemas.openxmlformats.org/officeDocument/2006/relationships/hyperlink" Target="http://www.labormarketinfo.edd.ca.gov/" TargetMode="External"/><Relationship Id="rId70" Type="http://schemas.openxmlformats.org/officeDocument/2006/relationships/hyperlink" Target="http://www.edd.ca.gov/jobs_and_training/WDSFP_Workforce_Development_Solicitations_for_Proposals.htm" TargetMode="External"/><Relationship Id="rId75" Type="http://schemas.openxmlformats.org/officeDocument/2006/relationships/hyperlink" Target="http://www.mozilla.org/firefox" TargetMode="External"/><Relationship Id="rId83" Type="http://schemas.openxmlformats.org/officeDocument/2006/relationships/hyperlink" Target="https://apps.apple.com/us/app/apple-store/id535886823" TargetMode="External"/><Relationship Id="rId88" Type="http://schemas.openxmlformats.org/officeDocument/2006/relationships/hyperlink" Target="https://get.adobe.com/flashplayer/about/"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d.ca.gov/siteassets/files/jobs_and_training/pubs/wssfp24-09att4.docx" TargetMode="External"/><Relationship Id="rId23" Type="http://schemas.openxmlformats.org/officeDocument/2006/relationships/hyperlink" Target="https://edd.ca.gov/en/Jobs_and_Training/Active_Directives" TargetMode="External"/><Relationship Id="rId28" Type="http://schemas.openxmlformats.org/officeDocument/2006/relationships/hyperlink" Target="mailto:WSBSFP2@edd.ca.gov" TargetMode="External"/><Relationship Id="rId36" Type="http://schemas.openxmlformats.org/officeDocument/2006/relationships/hyperlink" Target="mailto:WSBSFP2@edd.ca.gov" TargetMode="External"/><Relationship Id="rId49" Type="http://schemas.openxmlformats.org/officeDocument/2006/relationships/hyperlink" Target="http://www.dhcs.ca.gov/Pages/default.aspx" TargetMode="External"/><Relationship Id="rId57" Type="http://schemas.openxmlformats.org/officeDocument/2006/relationships/hyperlink" Target="http://www.labor.ca.gov/" TargetMode="External"/><Relationship Id="rId10" Type="http://schemas.openxmlformats.org/officeDocument/2006/relationships/endnotes" Target="endnotes.xml"/><Relationship Id="rId31" Type="http://schemas.openxmlformats.org/officeDocument/2006/relationships/hyperlink" Target="https://edd.ca.gov/Jobs_and_Training/Active_Directives.htm" TargetMode="External"/><Relationship Id="rId44" Type="http://schemas.openxmlformats.org/officeDocument/2006/relationships/hyperlink" Target="https://edd.ca.gov/en/Jobs_and_Training/Active_Directives" TargetMode="External"/><Relationship Id="rId52" Type="http://schemas.openxmlformats.org/officeDocument/2006/relationships/hyperlink" Target="https://www.dor.ca.gov/" TargetMode="External"/><Relationship Id="rId60" Type="http://schemas.openxmlformats.org/officeDocument/2006/relationships/hyperlink" Target="https://ca.db101.org/" TargetMode="External"/><Relationship Id="rId65" Type="http://schemas.openxmlformats.org/officeDocument/2006/relationships/hyperlink" Target="https://www.edd.ca.gov/Jobs_and_Training/Grant_Subrecipient_Resources.htm" TargetMode="External"/><Relationship Id="rId73" Type="http://schemas.openxmlformats.org/officeDocument/2006/relationships/hyperlink" Target="http://www.google.com/chrome" TargetMode="External"/><Relationship Id="rId78" Type="http://schemas.openxmlformats.org/officeDocument/2006/relationships/image" Target="media/image5.png"/><Relationship Id="rId81" Type="http://schemas.openxmlformats.org/officeDocument/2006/relationships/hyperlink" Target="http://www.microsoft.com/en-us/windows/microsoft-edge" TargetMode="External"/><Relationship Id="rId86" Type="http://schemas.openxmlformats.org/officeDocument/2006/relationships/hyperlink" Target="https://play.google.com/store/apps/details?id=org.mozilla.firefox"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d.ca.gov/siteassets/files/jobs_and_training/pubs/wssfp24-09att2.docx" TargetMode="External"/><Relationship Id="rId18" Type="http://schemas.openxmlformats.org/officeDocument/2006/relationships/footer" Target="footer1.xml"/><Relationship Id="rId39" Type="http://schemas.openxmlformats.org/officeDocument/2006/relationships/hyperlink" Target="https://edd.ca.gov/Jobs_and_Training/Active_Directives.htm" TargetMode="External"/><Relationship Id="rId34" Type="http://schemas.openxmlformats.org/officeDocument/2006/relationships/hyperlink" Target="https://edd.ca.gov/en/Jobs_and_Training/Active_Directives" TargetMode="External"/><Relationship Id="rId50" Type="http://schemas.openxmlformats.org/officeDocument/2006/relationships/hyperlink" Target="http://www.cde.ca.gov/sp/ae/fg/" TargetMode="External"/><Relationship Id="rId55" Type="http://schemas.openxmlformats.org/officeDocument/2006/relationships/hyperlink" Target="https://cwdb.ca.gov/plans_policies/2020-2023-state-plan/" TargetMode="External"/><Relationship Id="rId76" Type="http://schemas.openxmlformats.org/officeDocument/2006/relationships/image" Target="media/image4.png"/><Relationship Id="rId7" Type="http://schemas.openxmlformats.org/officeDocument/2006/relationships/settings" Target="settings.xml"/><Relationship Id="rId71" Type="http://schemas.openxmlformats.org/officeDocument/2006/relationships/hyperlink" Target="https://www.doleta.gov/wioa/"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mailto:WSBSFP2@edd.ca.gov" TargetMode="External"/><Relationship Id="rId24" Type="http://schemas.openxmlformats.org/officeDocument/2006/relationships/hyperlink" Target="mailto:WSBSFP2@edd.ca.gov" TargetMode="External"/><Relationship Id="rId40" Type="http://schemas.openxmlformats.org/officeDocument/2006/relationships/hyperlink" Target="https://edd.ca.gov/en/Jobs_and_Training/Active_Directives" TargetMode="External"/><Relationship Id="rId45" Type="http://schemas.openxmlformats.org/officeDocument/2006/relationships/hyperlink" Target="https://edd.ca.gov/Office_Locator/" TargetMode="External"/><Relationship Id="rId66" Type="http://schemas.openxmlformats.org/officeDocument/2006/relationships/hyperlink" Target="https://www.census.gov/" TargetMode="External"/><Relationship Id="rId87" Type="http://schemas.openxmlformats.org/officeDocument/2006/relationships/hyperlink" Target="http://get.adobe.com/reader/otherversions/" TargetMode="External"/><Relationship Id="rId61" Type="http://schemas.openxmlformats.org/officeDocument/2006/relationships/hyperlink" Target="https://www.dol.gov/agencies/eta/wioa/regulations" TargetMode="External"/><Relationship Id="rId82" Type="http://schemas.openxmlformats.org/officeDocument/2006/relationships/hyperlink" Target="http://support.apple.com/downloads/" TargetMode="External"/><Relationship Id="rId19" Type="http://schemas.openxmlformats.org/officeDocument/2006/relationships/footer" Target="footer2.xml"/><Relationship Id="rId14" Type="http://schemas.openxmlformats.org/officeDocument/2006/relationships/hyperlink" Target="https://edd.ca.gov/siteassets/files/jobs_and_training/pubs/wssfp24-09att3.docx" TargetMode="External"/><Relationship Id="rId30" Type="http://schemas.openxmlformats.org/officeDocument/2006/relationships/hyperlink" Target="mailto:WSBSFP2@edd.ca.gov" TargetMode="External"/><Relationship Id="rId35" Type="http://schemas.openxmlformats.org/officeDocument/2006/relationships/hyperlink" Target="https://edd.ca.gov/Jobs_and_Training/Active_Directives.htm" TargetMode="External"/><Relationship Id="rId56" Type="http://schemas.openxmlformats.org/officeDocument/2006/relationships/hyperlink" Target="https://www.caljobs.ca.gov/vosnet/Default.aspx" TargetMode="External"/><Relationship Id="rId77" Type="http://schemas.openxmlformats.org/officeDocument/2006/relationships/hyperlink" Target="http://support.apple.com/downloa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dd.ca.gov/Jobs_and_Training/Active_Directiv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0FDF7D7C3148B182B21CB1BB24BE07"/>
        <w:category>
          <w:name w:val="General"/>
          <w:gallery w:val="placeholder"/>
        </w:category>
        <w:types>
          <w:type w:val="bbPlcHdr"/>
        </w:types>
        <w:behaviors>
          <w:behavior w:val="content"/>
        </w:behaviors>
        <w:guid w:val="{5F2918DC-7AF5-4377-BDD6-A4E15D51F1D6}"/>
      </w:docPartPr>
      <w:docPartBody>
        <w:p w:rsidR="004C5FBE" w:rsidRDefault="004C5FBE" w:rsidP="004C5FBE">
          <w:pPr>
            <w:pStyle w:val="120FDF7D7C3148B182B21CB1BB24BE07"/>
          </w:pPr>
          <w:r w:rsidRPr="009927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BE"/>
    <w:rsid w:val="000156CE"/>
    <w:rsid w:val="00064B73"/>
    <w:rsid w:val="00077C15"/>
    <w:rsid w:val="000B24D3"/>
    <w:rsid w:val="000B344E"/>
    <w:rsid w:val="000B6B0E"/>
    <w:rsid w:val="000E4EF4"/>
    <w:rsid w:val="000F0B41"/>
    <w:rsid w:val="000F6158"/>
    <w:rsid w:val="001543A5"/>
    <w:rsid w:val="001647D7"/>
    <w:rsid w:val="001939D2"/>
    <w:rsid w:val="001E17E7"/>
    <w:rsid w:val="001E641C"/>
    <w:rsid w:val="00202B06"/>
    <w:rsid w:val="00235206"/>
    <w:rsid w:val="00241EF4"/>
    <w:rsid w:val="00281333"/>
    <w:rsid w:val="002A05DB"/>
    <w:rsid w:val="00345885"/>
    <w:rsid w:val="0036277B"/>
    <w:rsid w:val="00383415"/>
    <w:rsid w:val="003B197A"/>
    <w:rsid w:val="003D60FA"/>
    <w:rsid w:val="003F3E09"/>
    <w:rsid w:val="004144BA"/>
    <w:rsid w:val="00443D0B"/>
    <w:rsid w:val="00490DB2"/>
    <w:rsid w:val="004C5FBE"/>
    <w:rsid w:val="005843C6"/>
    <w:rsid w:val="0059501E"/>
    <w:rsid w:val="005A48C9"/>
    <w:rsid w:val="005C26A2"/>
    <w:rsid w:val="005C328C"/>
    <w:rsid w:val="005E7739"/>
    <w:rsid w:val="0062798D"/>
    <w:rsid w:val="00632B08"/>
    <w:rsid w:val="0066325E"/>
    <w:rsid w:val="00687EC1"/>
    <w:rsid w:val="006E78B3"/>
    <w:rsid w:val="006F2F35"/>
    <w:rsid w:val="00721E98"/>
    <w:rsid w:val="00751650"/>
    <w:rsid w:val="007B5519"/>
    <w:rsid w:val="007E5C14"/>
    <w:rsid w:val="007F50AD"/>
    <w:rsid w:val="00827BBE"/>
    <w:rsid w:val="00832384"/>
    <w:rsid w:val="008630AB"/>
    <w:rsid w:val="008A64EC"/>
    <w:rsid w:val="008D1D1F"/>
    <w:rsid w:val="008D2EB4"/>
    <w:rsid w:val="00943BE6"/>
    <w:rsid w:val="00955B17"/>
    <w:rsid w:val="009C40A0"/>
    <w:rsid w:val="009E131D"/>
    <w:rsid w:val="00A10C1E"/>
    <w:rsid w:val="00A442EF"/>
    <w:rsid w:val="00A72773"/>
    <w:rsid w:val="00AC497E"/>
    <w:rsid w:val="00AC7572"/>
    <w:rsid w:val="00B54231"/>
    <w:rsid w:val="00B84562"/>
    <w:rsid w:val="00B85B9F"/>
    <w:rsid w:val="00BD2576"/>
    <w:rsid w:val="00BE421A"/>
    <w:rsid w:val="00C1141C"/>
    <w:rsid w:val="00C17635"/>
    <w:rsid w:val="00C734FE"/>
    <w:rsid w:val="00C76A84"/>
    <w:rsid w:val="00C82AED"/>
    <w:rsid w:val="00C909BB"/>
    <w:rsid w:val="00C911A1"/>
    <w:rsid w:val="00D04604"/>
    <w:rsid w:val="00D13334"/>
    <w:rsid w:val="00D4416E"/>
    <w:rsid w:val="00D645BD"/>
    <w:rsid w:val="00D757C5"/>
    <w:rsid w:val="00DC031B"/>
    <w:rsid w:val="00DF2E71"/>
    <w:rsid w:val="00E2057B"/>
    <w:rsid w:val="00E404EB"/>
    <w:rsid w:val="00EC63CF"/>
    <w:rsid w:val="00F022D1"/>
    <w:rsid w:val="00F51CBC"/>
    <w:rsid w:val="00F80259"/>
    <w:rsid w:val="00F904F3"/>
    <w:rsid w:val="00FA4D60"/>
    <w:rsid w:val="00FC7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FBE"/>
    <w:rPr>
      <w:color w:val="808080"/>
    </w:rPr>
  </w:style>
  <w:style w:type="paragraph" w:customStyle="1" w:styleId="120FDF7D7C3148B182B21CB1BB24BE07">
    <w:name w:val="120FDF7D7C3148B182B21CB1BB24BE07"/>
    <w:rsid w:val="004C5FBE"/>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3" ma:contentTypeDescription="Create a new document." ma:contentTypeScope="" ma:versionID="7b7912407f80cb3d26b59eb5b2e84162">
  <xsd:schema xmlns:xsd="http://www.w3.org/2001/XMLSchema" xmlns:xs="http://www.w3.org/2001/XMLSchema" xmlns:p="http://schemas.microsoft.com/office/2006/metadata/properties" xmlns:ns3="87723afd-882f-4d2a-a77d-9bd4bb59c539" targetNamespace="http://schemas.microsoft.com/office/2006/metadata/properties" ma:root="true" ma:fieldsID="4f176232f9988a5798cdc78d5182796a" ns3:_="">
    <xsd:import namespace="87723afd-882f-4d2a-a77d-9bd4bb59c53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23afd-882f-4d2a-a77d-9bd4bb59c53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ABB14-65F6-4997-B71E-BBCE22BC4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23afd-882f-4d2a-a77d-9bd4bb59c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5F174-CBF5-4A2A-AD2F-E9C84C0EC666}">
  <ds:schemaRefs>
    <ds:schemaRef ds:uri="http://schemas.openxmlformats.org/officeDocument/2006/bibliography"/>
  </ds:schemaRefs>
</ds:datastoreItem>
</file>

<file path=customXml/itemProps3.xml><?xml version="1.0" encoding="utf-8"?>
<ds:datastoreItem xmlns:ds="http://schemas.openxmlformats.org/officeDocument/2006/customXml" ds:itemID="{5CBAF493-77F0-41E0-BAA5-27BD50E520C1}">
  <ds:schemaRefs>
    <ds:schemaRef ds:uri="http://schemas.microsoft.com/sharepoint/v3/contenttype/forms"/>
  </ds:schemaRefs>
</ds:datastoreItem>
</file>

<file path=customXml/itemProps4.xml><?xml version="1.0" encoding="utf-8"?>
<ds:datastoreItem xmlns:ds="http://schemas.openxmlformats.org/officeDocument/2006/customXml" ds:itemID="{30F03F4F-949E-49F3-AF61-638C5C781C48}">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87723afd-882f-4d2a-a77d-9bd4bb59c53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50</Pages>
  <Words>14076</Words>
  <Characters>87488</Characters>
  <Application>Microsoft Office Word</Application>
  <DocSecurity>0</DocSecurity>
  <Lines>729</Lines>
  <Paragraphs>202</Paragraphs>
  <ScaleCrop>false</ScaleCrop>
  <HeadingPairs>
    <vt:vector size="2" baseType="variant">
      <vt:variant>
        <vt:lpstr>Title</vt:lpstr>
      </vt:variant>
      <vt:variant>
        <vt:i4>1</vt:i4>
      </vt:variant>
    </vt:vector>
  </HeadingPairs>
  <TitlesOfParts>
    <vt:vector size="1" baseType="lpstr">
      <vt:lpstr>Deaf and Hard of Hearing SFP PY 25-26</vt:lpstr>
    </vt:vector>
  </TitlesOfParts>
  <Company/>
  <LinksUpToDate>false</LinksUpToDate>
  <CharactersWithSpaces>101362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Deaf and Hard of Hearing SFP PY 25-26</dc:title>
  <dc:subject/>
  <dc:creator>Workforce Services</dc:creator>
  <cp:keywords/>
  <dc:description/>
  <cp:lastModifiedBy>Richardson, Jeffrey@EDD</cp:lastModifiedBy>
  <cp:revision>35</cp:revision>
  <dcterms:created xsi:type="dcterms:W3CDTF">2025-04-10T15:43:00Z</dcterms:created>
  <dcterms:modified xsi:type="dcterms:W3CDTF">2025-04-23T18:32:00Z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GrammarlyDocumentId">
    <vt:lpwstr>2842c9afdf5fd066828d6102920c8bac70836a271e9140df905a12e4076ab9ac</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