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FE4E" w14:textId="77777777" w:rsidR="002E324F" w:rsidRPr="004D7BB1" w:rsidRDefault="002E324F" w:rsidP="002B331E">
      <w:pPr>
        <w:spacing w:after="0" w:line="240" w:lineRule="auto"/>
        <w:rPr>
          <w:b/>
          <w:sz w:val="24"/>
          <w:szCs w:val="24"/>
        </w:rPr>
      </w:pPr>
    </w:p>
    <w:p w14:paraId="2DEA4743" w14:textId="5480D22B" w:rsidR="00654B5C" w:rsidRPr="004D7BB1" w:rsidRDefault="00683ECF" w:rsidP="00683ECF">
      <w:pPr>
        <w:pStyle w:val="tabletext"/>
        <w:spacing w:before="0" w:after="0"/>
        <w:rPr>
          <w:rFonts w:ascii="Calibri" w:hAnsi="Calibri"/>
        </w:rPr>
      </w:pPr>
      <w:r w:rsidRPr="004D7BB1">
        <w:rPr>
          <w:rFonts w:ascii="Calibri" w:hAnsi="Calibri"/>
        </w:rPr>
        <w:t xml:space="preserve">The Workforce Services </w:t>
      </w:r>
      <w:r w:rsidRPr="004D7BB1">
        <w:rPr>
          <w:rFonts w:asciiTheme="minorHAnsi" w:hAnsiTheme="minorHAnsi"/>
        </w:rPr>
        <w:t>Solicitation for Proposals</w:t>
      </w:r>
      <w:r w:rsidRPr="004D7BB1">
        <w:rPr>
          <w:rFonts w:ascii="Calibri" w:hAnsi="Calibri"/>
        </w:rPr>
        <w:t xml:space="preserve"> for </w:t>
      </w:r>
      <w:r w:rsidRPr="004D7BB1">
        <w:rPr>
          <w:rFonts w:asciiTheme="minorHAnsi" w:hAnsiTheme="minorHAnsi"/>
          <w:i/>
        </w:rPr>
        <w:t xml:space="preserve">English Language Learner Integrated Education and Training </w:t>
      </w:r>
      <w:r w:rsidR="000E282D" w:rsidRPr="004D7BB1">
        <w:rPr>
          <w:rFonts w:asciiTheme="minorHAnsi" w:hAnsiTheme="minorHAnsi"/>
          <w:i/>
        </w:rPr>
        <w:t xml:space="preserve">Fund </w:t>
      </w:r>
      <w:r w:rsidRPr="004D7BB1">
        <w:rPr>
          <w:rFonts w:asciiTheme="minorHAnsi" w:hAnsiTheme="minorHAnsi"/>
          <w:i/>
        </w:rPr>
        <w:t>Program</w:t>
      </w:r>
      <w:r w:rsidR="000E282D" w:rsidRPr="004D7BB1">
        <w:rPr>
          <w:rFonts w:asciiTheme="minorHAnsi" w:hAnsiTheme="minorHAnsi"/>
          <w:i/>
        </w:rPr>
        <w:t xml:space="preserve"> Year 2022-23</w:t>
      </w:r>
      <w:r w:rsidRPr="004D7BB1">
        <w:rPr>
          <w:rFonts w:asciiTheme="minorHAnsi" w:hAnsiTheme="minorHAnsi"/>
          <w:i/>
        </w:rPr>
        <w:t xml:space="preserve"> </w:t>
      </w:r>
      <w:r w:rsidRPr="004D7BB1">
        <w:rPr>
          <w:rFonts w:ascii="Calibri" w:hAnsi="Calibri"/>
          <w:i/>
        </w:rPr>
        <w:t>(</w:t>
      </w:r>
      <w:r w:rsidRPr="004D7BB1">
        <w:rPr>
          <w:rFonts w:ascii="Calibri" w:hAnsi="Calibri"/>
        </w:rPr>
        <w:t>WS</w:t>
      </w:r>
      <w:r w:rsidRPr="004D7BB1">
        <w:rPr>
          <w:rFonts w:asciiTheme="minorHAnsi" w:hAnsiTheme="minorHAnsi"/>
        </w:rPr>
        <w:t>SFP22</w:t>
      </w:r>
      <w:r w:rsidRPr="004D7BB1">
        <w:rPr>
          <w:rFonts w:ascii="Calibri" w:hAnsi="Calibri"/>
        </w:rPr>
        <w:t>-</w:t>
      </w:r>
      <w:r w:rsidRPr="004D7BB1">
        <w:rPr>
          <w:rFonts w:asciiTheme="minorHAnsi" w:hAnsiTheme="minorHAnsi"/>
        </w:rPr>
        <w:t>06</w:t>
      </w:r>
      <w:r w:rsidR="000E282D" w:rsidRPr="004D7BB1">
        <w:rPr>
          <w:rFonts w:asciiTheme="minorHAnsi" w:hAnsiTheme="minorHAnsi"/>
        </w:rPr>
        <w:t>Award</w:t>
      </w:r>
      <w:r w:rsidRPr="004D7BB1">
        <w:rPr>
          <w:rFonts w:ascii="Calibri" w:hAnsi="Calibri"/>
        </w:rPr>
        <w:t xml:space="preserve">) dated </w:t>
      </w:r>
      <w:r w:rsidRPr="004D7BB1">
        <w:rPr>
          <w:rFonts w:asciiTheme="minorHAnsi" w:hAnsiTheme="minorHAnsi"/>
        </w:rPr>
        <w:t>July</w:t>
      </w:r>
      <w:r w:rsidRPr="004D7BB1">
        <w:rPr>
          <w:rFonts w:ascii="Calibri" w:hAnsi="Calibri"/>
        </w:rPr>
        <w:t xml:space="preserve"> </w:t>
      </w:r>
      <w:r w:rsidRPr="004D7BB1">
        <w:rPr>
          <w:rFonts w:asciiTheme="minorHAnsi" w:hAnsiTheme="minorHAnsi"/>
        </w:rPr>
        <w:t xml:space="preserve">2023 </w:t>
      </w:r>
      <w:r w:rsidRPr="004D7BB1">
        <w:rPr>
          <w:rFonts w:ascii="Calibri" w:hAnsi="Calibri"/>
        </w:rPr>
        <w:t>was revised with the following changes:</w:t>
      </w:r>
    </w:p>
    <w:p w14:paraId="2012FE51" w14:textId="77777777" w:rsidR="002E324F" w:rsidRPr="004D7BB1" w:rsidRDefault="002E324F" w:rsidP="00654B5C">
      <w:pPr>
        <w:spacing w:after="0" w:line="240" w:lineRule="auto"/>
        <w:rPr>
          <w:b/>
          <w:sz w:val="24"/>
          <w:szCs w:val="24"/>
        </w:rPr>
      </w:pPr>
    </w:p>
    <w:p w14:paraId="2012FE52" w14:textId="43558A13" w:rsidR="002E324F" w:rsidRPr="004D7BB1" w:rsidRDefault="00654B5C" w:rsidP="002E324F">
      <w:pPr>
        <w:spacing w:after="0" w:line="240" w:lineRule="auto"/>
        <w:rPr>
          <w:sz w:val="24"/>
          <w:szCs w:val="24"/>
        </w:rPr>
      </w:pPr>
      <w:r w:rsidRPr="004D7BB1">
        <w:rPr>
          <w:b/>
          <w:sz w:val="24"/>
          <w:szCs w:val="24"/>
        </w:rPr>
        <w:t>Errata</w:t>
      </w:r>
      <w:r w:rsidR="002E324F" w:rsidRPr="004D7BB1">
        <w:rPr>
          <w:b/>
          <w:sz w:val="24"/>
          <w:szCs w:val="24"/>
        </w:rPr>
        <w:t xml:space="preserve"> #</w:t>
      </w:r>
      <w:r w:rsidRPr="004D7BB1">
        <w:rPr>
          <w:b/>
          <w:sz w:val="24"/>
          <w:szCs w:val="24"/>
        </w:rPr>
        <w:t>1</w:t>
      </w:r>
      <w:r w:rsidR="008E009B" w:rsidRPr="004D7BB1">
        <w:rPr>
          <w:sz w:val="24"/>
          <w:szCs w:val="24"/>
        </w:rPr>
        <w:t xml:space="preserve"> –</w:t>
      </w:r>
      <w:r w:rsidR="002E324F" w:rsidRPr="004D7BB1">
        <w:rPr>
          <w:sz w:val="24"/>
          <w:szCs w:val="24"/>
        </w:rPr>
        <w:t xml:space="preserve"> </w:t>
      </w:r>
      <w:r w:rsidRPr="004D7BB1">
        <w:rPr>
          <w:sz w:val="24"/>
          <w:szCs w:val="24"/>
        </w:rPr>
        <w:t xml:space="preserve">On </w:t>
      </w:r>
      <w:r w:rsidR="000E282D" w:rsidRPr="004D7BB1">
        <w:rPr>
          <w:sz w:val="24"/>
          <w:szCs w:val="24"/>
        </w:rPr>
        <w:t>July 13, 2023</w:t>
      </w:r>
      <w:r w:rsidRPr="004D7BB1">
        <w:rPr>
          <w:sz w:val="24"/>
          <w:szCs w:val="24"/>
        </w:rPr>
        <w:t>, the following ch</w:t>
      </w:r>
      <w:r w:rsidR="00F437CE" w:rsidRPr="004D7BB1">
        <w:rPr>
          <w:sz w:val="24"/>
          <w:szCs w:val="24"/>
        </w:rPr>
        <w:t xml:space="preserve">anges were made to the </w:t>
      </w:r>
      <w:r w:rsidR="00683ECF" w:rsidRPr="004D7BB1">
        <w:rPr>
          <w:sz w:val="24"/>
          <w:szCs w:val="24"/>
        </w:rPr>
        <w:t>ELL IET Award List and Summary</w:t>
      </w:r>
      <w:r w:rsidRPr="004D7BB1">
        <w:rPr>
          <w:sz w:val="24"/>
          <w:szCs w:val="24"/>
        </w:rPr>
        <w:t xml:space="preserve">: </w:t>
      </w:r>
    </w:p>
    <w:p w14:paraId="0E40AA0A" w14:textId="61C7EAD7" w:rsidR="00965191" w:rsidRPr="004D7BB1" w:rsidRDefault="00965191" w:rsidP="002E324F">
      <w:pPr>
        <w:spacing w:after="0" w:line="240" w:lineRule="auto"/>
        <w:rPr>
          <w:rFonts w:cstheme="minorHAnsi"/>
          <w:sz w:val="24"/>
          <w:szCs w:val="24"/>
        </w:rPr>
      </w:pPr>
    </w:p>
    <w:p w14:paraId="0C44DC0C" w14:textId="5A94DB90" w:rsidR="00965191" w:rsidRPr="004D7BB1" w:rsidRDefault="00CC36E7" w:rsidP="00965191">
      <w:pPr>
        <w:pStyle w:val="tabletext"/>
        <w:numPr>
          <w:ilvl w:val="0"/>
          <w:numId w:val="9"/>
        </w:numPr>
        <w:spacing w:before="0" w:after="0"/>
        <w:jc w:val="left"/>
        <w:rPr>
          <w:rFonts w:asciiTheme="minorHAnsi" w:hAnsiTheme="minorHAnsi" w:cstheme="minorHAnsi"/>
        </w:rPr>
      </w:pPr>
      <w:r w:rsidRPr="004D7BB1">
        <w:rPr>
          <w:rFonts w:asciiTheme="minorHAnsi" w:hAnsiTheme="minorHAnsi" w:cstheme="minorHAnsi"/>
        </w:rPr>
        <w:t>Page #</w:t>
      </w:r>
      <w:r w:rsidR="00965191" w:rsidRPr="004D7BB1">
        <w:rPr>
          <w:rFonts w:asciiTheme="minorHAnsi" w:hAnsiTheme="minorHAnsi" w:cstheme="minorHAnsi"/>
        </w:rPr>
        <w:t xml:space="preserve">1 – </w:t>
      </w:r>
      <w:r w:rsidR="00683ECF" w:rsidRPr="004D7BB1">
        <w:rPr>
          <w:rFonts w:asciiTheme="minorHAnsi" w:hAnsiTheme="minorHAnsi" w:cstheme="minorHAnsi"/>
        </w:rPr>
        <w:t>Within the 'County' column, under the 'North Central Counties Consortium' row, “Colusa, Glenn, Yuba” was changed to “Colusa, Glenn, Yuba, Sutter.”</w:t>
      </w:r>
    </w:p>
    <w:p w14:paraId="04A1C50B" w14:textId="411EB587" w:rsidR="00332A3E" w:rsidRPr="004D7BB1" w:rsidRDefault="00CC36E7" w:rsidP="00683ECF">
      <w:pPr>
        <w:pStyle w:val="ListParagraph"/>
        <w:numPr>
          <w:ilvl w:val="0"/>
          <w:numId w:val="9"/>
        </w:numPr>
        <w:rPr>
          <w:rFonts w:cstheme="minorHAnsi"/>
          <w:sz w:val="24"/>
          <w:szCs w:val="24"/>
        </w:rPr>
      </w:pPr>
      <w:r w:rsidRPr="004D7BB1">
        <w:rPr>
          <w:rFonts w:cstheme="minorHAnsi"/>
          <w:sz w:val="24"/>
          <w:szCs w:val="24"/>
        </w:rPr>
        <w:t>Page #</w:t>
      </w:r>
      <w:r w:rsidR="00965191" w:rsidRPr="004D7BB1">
        <w:rPr>
          <w:rFonts w:cstheme="minorHAnsi"/>
          <w:sz w:val="24"/>
          <w:szCs w:val="24"/>
        </w:rPr>
        <w:t>1</w:t>
      </w:r>
      <w:r w:rsidR="00E844CB">
        <w:rPr>
          <w:rFonts w:cstheme="minorHAnsi"/>
          <w:sz w:val="24"/>
          <w:szCs w:val="24"/>
        </w:rPr>
        <w:t>2</w:t>
      </w:r>
      <w:r w:rsidR="00965191" w:rsidRPr="004D7BB1">
        <w:rPr>
          <w:rFonts w:cstheme="minorHAnsi"/>
          <w:sz w:val="24"/>
          <w:szCs w:val="24"/>
        </w:rPr>
        <w:t xml:space="preserve"> – </w:t>
      </w:r>
      <w:r w:rsidR="00683ECF" w:rsidRPr="004D7BB1">
        <w:rPr>
          <w:rFonts w:cstheme="minorHAnsi"/>
          <w:sz w:val="24"/>
          <w:szCs w:val="24"/>
        </w:rPr>
        <w:t>The award amount for 'Get Focused, Stay Focused' was changed from “$1,000,000” to “$2,492,857.15.”</w:t>
      </w:r>
    </w:p>
    <w:p w14:paraId="235D7B48" w14:textId="23B88A8B" w:rsidR="00D64284" w:rsidRPr="004D7BB1" w:rsidRDefault="00D64284" w:rsidP="00D64284">
      <w:pPr>
        <w:spacing w:after="0" w:line="240" w:lineRule="auto"/>
        <w:rPr>
          <w:sz w:val="24"/>
          <w:szCs w:val="24"/>
        </w:rPr>
      </w:pPr>
      <w:r w:rsidRPr="004D7BB1">
        <w:rPr>
          <w:b/>
          <w:sz w:val="24"/>
          <w:szCs w:val="24"/>
        </w:rPr>
        <w:t>Errata #2</w:t>
      </w:r>
      <w:r w:rsidRPr="004D7BB1">
        <w:rPr>
          <w:sz w:val="24"/>
          <w:szCs w:val="24"/>
        </w:rPr>
        <w:t xml:space="preserve"> – On </w:t>
      </w:r>
      <w:r w:rsidR="004B0314">
        <w:rPr>
          <w:sz w:val="24"/>
          <w:szCs w:val="24"/>
        </w:rPr>
        <w:t>August 7, 2023</w:t>
      </w:r>
      <w:r w:rsidRPr="004D7BB1">
        <w:rPr>
          <w:sz w:val="24"/>
          <w:szCs w:val="24"/>
        </w:rPr>
        <w:t xml:space="preserve">, the following changes were made to the ELL IET Award List and Summary: </w:t>
      </w:r>
      <w:r w:rsidR="003D5225" w:rsidRPr="004D7BB1">
        <w:rPr>
          <w:sz w:val="24"/>
          <w:szCs w:val="24"/>
        </w:rPr>
        <w:br/>
      </w:r>
    </w:p>
    <w:p w14:paraId="3AE15D22" w14:textId="65209AD9" w:rsidR="004D7BB1" w:rsidRPr="004D7BB1" w:rsidRDefault="004D7BB1" w:rsidP="004D7BB1">
      <w:pPr>
        <w:widowControl w:val="0"/>
        <w:numPr>
          <w:ilvl w:val="0"/>
          <w:numId w:val="11"/>
        </w:numPr>
        <w:autoSpaceDE w:val="0"/>
        <w:autoSpaceDN w:val="0"/>
        <w:adjustRightInd w:val="0"/>
        <w:contextualSpacing/>
        <w:rPr>
          <w:rFonts w:cstheme="minorHAnsi"/>
          <w:sz w:val="24"/>
          <w:szCs w:val="24"/>
        </w:rPr>
      </w:pPr>
      <w:r w:rsidRPr="004D7BB1">
        <w:rPr>
          <w:rFonts w:cstheme="minorHAnsi"/>
          <w:sz w:val="24"/>
          <w:szCs w:val="24"/>
        </w:rPr>
        <w:t xml:space="preserve">Page #9 – The list of partners for the 'Early Care &amp; Education' section has been revised. Originally, the partners included </w:t>
      </w:r>
      <w:r w:rsidR="00214EF3">
        <w:rPr>
          <w:rFonts w:cstheme="minorHAnsi"/>
          <w:sz w:val="24"/>
          <w:szCs w:val="24"/>
        </w:rPr>
        <w:t>“</w:t>
      </w:r>
      <w:r w:rsidRPr="004D7BB1">
        <w:rPr>
          <w:rFonts w:cstheme="minorHAnsi"/>
          <w:sz w:val="24"/>
          <w:szCs w:val="24"/>
        </w:rPr>
        <w:t>State of California Economic Development Department Title III Wagner-</w:t>
      </w:r>
      <w:proofErr w:type="spellStart"/>
      <w:r w:rsidRPr="004D7BB1">
        <w:rPr>
          <w:rFonts w:cstheme="minorHAnsi"/>
          <w:sz w:val="24"/>
          <w:szCs w:val="24"/>
        </w:rPr>
        <w:t>Peyser</w:t>
      </w:r>
      <w:proofErr w:type="spellEnd"/>
      <w:r w:rsidRPr="004D7BB1">
        <w:rPr>
          <w:rFonts w:cstheme="minorHAnsi"/>
          <w:sz w:val="24"/>
          <w:szCs w:val="24"/>
        </w:rPr>
        <w:t xml:space="preserve"> and the local EDD Jobs for Veterans State Grant Program; Work Innovation and Opportunity Act (WIOA) Title I Local Area - San Diego Workforce Partnership (SDWP) American Jobs Center of California (AJCC); County of San Diego Health and Human Services Agency, Office of Military &amp; Veterans Affairs; Oceanside Chamber of Commerce; San Diego North Economic Development Council; </w:t>
      </w:r>
      <w:proofErr w:type="spellStart"/>
      <w:r w:rsidRPr="004D7BB1">
        <w:rPr>
          <w:rFonts w:cstheme="minorHAnsi"/>
          <w:sz w:val="24"/>
          <w:szCs w:val="24"/>
        </w:rPr>
        <w:t>Viasat</w:t>
      </w:r>
      <w:proofErr w:type="spellEnd"/>
      <w:r w:rsidRPr="004D7BB1">
        <w:rPr>
          <w:rFonts w:cstheme="minorHAnsi"/>
          <w:sz w:val="24"/>
          <w:szCs w:val="24"/>
        </w:rPr>
        <w:t xml:space="preserve">; </w:t>
      </w:r>
      <w:proofErr w:type="spellStart"/>
      <w:r w:rsidRPr="004D7BB1">
        <w:rPr>
          <w:rFonts w:cstheme="minorHAnsi"/>
          <w:sz w:val="24"/>
          <w:szCs w:val="24"/>
        </w:rPr>
        <w:t>MiraCosta</w:t>
      </w:r>
      <w:proofErr w:type="spellEnd"/>
      <w:r w:rsidRPr="004D7BB1">
        <w:rPr>
          <w:rFonts w:cstheme="minorHAnsi"/>
          <w:sz w:val="24"/>
          <w:szCs w:val="24"/>
        </w:rPr>
        <w:t xml:space="preserve"> College Technology Career Institute; Veteran Transition Support; North County Works (Alliance for Regional Solutions); Veteran Employment Committee of San Diego.</w:t>
      </w:r>
      <w:r w:rsidR="00214EF3">
        <w:rPr>
          <w:rFonts w:cstheme="minorHAnsi"/>
          <w:sz w:val="24"/>
          <w:szCs w:val="24"/>
        </w:rPr>
        <w:t>”</w:t>
      </w:r>
      <w:r w:rsidRPr="004D7BB1">
        <w:rPr>
          <w:rFonts w:cstheme="minorHAnsi"/>
          <w:sz w:val="24"/>
          <w:szCs w:val="24"/>
        </w:rPr>
        <w:br/>
      </w:r>
    </w:p>
    <w:p w14:paraId="4D743C0F" w14:textId="7E089159" w:rsidR="003D5225" w:rsidRPr="004D7BB1" w:rsidRDefault="004D7BB1" w:rsidP="004D7BB1">
      <w:pPr>
        <w:widowControl w:val="0"/>
        <w:autoSpaceDE w:val="0"/>
        <w:autoSpaceDN w:val="0"/>
        <w:adjustRightInd w:val="0"/>
        <w:ind w:left="720"/>
        <w:contextualSpacing/>
        <w:rPr>
          <w:rFonts w:eastAsiaTheme="minorEastAsia" w:cstheme="minorHAnsi"/>
          <w:bCs/>
          <w:sz w:val="24"/>
          <w:szCs w:val="24"/>
        </w:rPr>
      </w:pPr>
      <w:r w:rsidRPr="004D7BB1">
        <w:rPr>
          <w:rFonts w:cstheme="minorHAnsi"/>
          <w:sz w:val="24"/>
          <w:szCs w:val="24"/>
        </w:rPr>
        <w:t xml:space="preserve">As of this errata, the partners have been changed to </w:t>
      </w:r>
      <w:r w:rsidR="00214EF3">
        <w:rPr>
          <w:rFonts w:cstheme="minorHAnsi"/>
          <w:sz w:val="24"/>
          <w:szCs w:val="24"/>
        </w:rPr>
        <w:t>“</w:t>
      </w:r>
      <w:r w:rsidRPr="004D7BB1">
        <w:rPr>
          <w:rFonts w:cstheme="minorHAnsi"/>
          <w:sz w:val="24"/>
          <w:szCs w:val="24"/>
        </w:rPr>
        <w:t xml:space="preserve">Chabot College (in partnership with YMCA of the East Bay and Kidango, Inc.); College of the Canyons (in partnership with Child Care Resource Center, COC Child Development Center, Garden Patch, and Little iLeaders); Child Care Resource Center (in partnership with Pierce College and Little Acorns Grow); Community Action Marin (in partnership with College of Marin and North Bay Children’s Center); El Dorado County Office of Education (in partnership with San Joaquin Delta College, Lake Tahoe Community College, Step by Step Corporation, and Gift of Kids); First 5 Santa Clara County (in partnership with De Anza College and 10-12 community-based Family Child Care providers); Girls, Inc. (in partnership with Berkeley City College); MAAC (in partnership with Palomar College); Merritt College (in partnership with City of Oakland Head Start and YMCA of the East Bay); Mission College </w:t>
      </w:r>
      <w:r w:rsidRPr="004D7BB1">
        <w:rPr>
          <w:rFonts w:cstheme="minorHAnsi"/>
          <w:sz w:val="24"/>
          <w:szCs w:val="24"/>
        </w:rPr>
        <w:lastRenderedPageBreak/>
        <w:t>(in partnership with First 5 Santa Clara County, Santa Clara Office of Early Care and Education, Grail Family Services, SJB Child Development Center, California Young World, and Go Kids, Inc.); Oakland Unified School District (in partnership with Berkeley City College); YMCA of the East Bay (in partnership with Berkeley City College, Contra Costa College, and Los Medanos College).</w:t>
      </w:r>
      <w:r w:rsidR="00214EF3">
        <w:rPr>
          <w:rFonts w:cstheme="minorHAnsi"/>
          <w:sz w:val="24"/>
          <w:szCs w:val="24"/>
        </w:rPr>
        <w:t>”</w:t>
      </w:r>
      <w:r w:rsidR="003D5225" w:rsidRPr="004D7BB1">
        <w:rPr>
          <w:rFonts w:cstheme="minorHAnsi"/>
          <w:sz w:val="24"/>
          <w:szCs w:val="24"/>
        </w:rPr>
        <w:br/>
      </w:r>
    </w:p>
    <w:p w14:paraId="6BF524DF" w14:textId="4CE470F0" w:rsidR="003D5225" w:rsidRPr="004D7BB1" w:rsidRDefault="003D5225" w:rsidP="004D7BB1">
      <w:pPr>
        <w:pStyle w:val="ListParagraph"/>
        <w:numPr>
          <w:ilvl w:val="0"/>
          <w:numId w:val="11"/>
        </w:numPr>
        <w:rPr>
          <w:rFonts w:cstheme="minorHAnsi"/>
          <w:sz w:val="24"/>
          <w:szCs w:val="24"/>
        </w:rPr>
      </w:pPr>
      <w:r w:rsidRPr="004D7BB1">
        <w:rPr>
          <w:rFonts w:cstheme="minorHAnsi"/>
          <w:sz w:val="24"/>
          <w:szCs w:val="24"/>
        </w:rPr>
        <w:t>Page #9 – The project description</w:t>
      </w:r>
      <w:r w:rsidR="004D7BB1" w:rsidRPr="004D7BB1">
        <w:rPr>
          <w:rFonts w:cstheme="minorHAnsi"/>
          <w:sz w:val="24"/>
          <w:szCs w:val="24"/>
        </w:rPr>
        <w:t xml:space="preserve"> for the ‘Early Care &amp; Education’ section</w:t>
      </w:r>
      <w:r w:rsidRPr="004D7BB1">
        <w:rPr>
          <w:rFonts w:cstheme="minorHAnsi"/>
          <w:sz w:val="24"/>
          <w:szCs w:val="24"/>
        </w:rPr>
        <w:t xml:space="preserve"> was revised. Originally, the description read</w:t>
      </w:r>
      <w:r w:rsidR="00824303">
        <w:rPr>
          <w:rFonts w:cstheme="minorHAnsi"/>
          <w:sz w:val="24"/>
          <w:szCs w:val="24"/>
        </w:rPr>
        <w:t xml:space="preserve"> as follows</w:t>
      </w:r>
      <w:r w:rsidRPr="004D7BB1">
        <w:rPr>
          <w:rFonts w:cstheme="minorHAnsi"/>
          <w:sz w:val="24"/>
          <w:szCs w:val="24"/>
        </w:rPr>
        <w:t>:</w:t>
      </w:r>
    </w:p>
    <w:p w14:paraId="617D2D73" w14:textId="3D35BFFD" w:rsidR="003D5225" w:rsidRPr="004D7BB1" w:rsidRDefault="003D5225" w:rsidP="004D7BB1">
      <w:pPr>
        <w:ind w:left="720"/>
        <w:rPr>
          <w:rFonts w:cstheme="minorHAnsi"/>
          <w:sz w:val="24"/>
          <w:szCs w:val="24"/>
        </w:rPr>
      </w:pPr>
      <w:r w:rsidRPr="004D7BB1">
        <w:rPr>
          <w:rFonts w:cstheme="minorHAnsi"/>
          <w:sz w:val="24"/>
          <w:szCs w:val="24"/>
        </w:rPr>
        <w:t>"Interfaith Community Services (Interfaith) will serve veterans in the target region of San Diego County, focusing on the North County region. The project is designed to meet the employment-related needs of veterans by providing a client-centered case management approach and building strong regional partnerships. Interfaith will provide job readiness and skill development, targeted training, career counseling, and job placement services that can shift impacted veterans into target industries and quality jobs. Interfaith will also address the veteran and their family's holistic needs—including mental health counseling, childcare, rental assistance, housing, VA and public benefits navigation, financial education, and food and basic needs support."</w:t>
      </w:r>
    </w:p>
    <w:p w14:paraId="78E1A4D4" w14:textId="03B69951" w:rsidR="003D5225" w:rsidRPr="004D7BB1" w:rsidRDefault="003D5225" w:rsidP="004D7BB1">
      <w:pPr>
        <w:ind w:left="720"/>
        <w:rPr>
          <w:rFonts w:cstheme="minorHAnsi"/>
          <w:sz w:val="24"/>
          <w:szCs w:val="24"/>
        </w:rPr>
      </w:pPr>
      <w:r w:rsidRPr="004D7BB1">
        <w:rPr>
          <w:rFonts w:cstheme="minorHAnsi"/>
          <w:sz w:val="24"/>
          <w:szCs w:val="24"/>
        </w:rPr>
        <w:t>The updated project description reads</w:t>
      </w:r>
      <w:r w:rsidR="00824303">
        <w:rPr>
          <w:rFonts w:cstheme="minorHAnsi"/>
          <w:sz w:val="24"/>
          <w:szCs w:val="24"/>
        </w:rPr>
        <w:t xml:space="preserve"> as follows</w:t>
      </w:r>
      <w:r w:rsidRPr="004D7BB1">
        <w:rPr>
          <w:rFonts w:cstheme="minorHAnsi"/>
          <w:sz w:val="24"/>
          <w:szCs w:val="24"/>
        </w:rPr>
        <w:t>:</w:t>
      </w:r>
    </w:p>
    <w:p w14:paraId="45D83254" w14:textId="3D336F50" w:rsidR="00D64284" w:rsidRPr="004D7BB1" w:rsidRDefault="003D5225" w:rsidP="004D7BB1">
      <w:pPr>
        <w:ind w:left="720"/>
        <w:rPr>
          <w:rFonts w:cstheme="minorHAnsi"/>
          <w:sz w:val="24"/>
          <w:szCs w:val="24"/>
        </w:rPr>
      </w:pPr>
      <w:r w:rsidRPr="004D7BB1">
        <w:rPr>
          <w:rFonts w:cstheme="minorHAnsi"/>
          <w:sz w:val="24"/>
          <w:szCs w:val="24"/>
        </w:rPr>
        <w:t>"The proposed project will provide funding to 12 ECEPTS Registered Apprenticeship Programs (RAPs) to expand and strengthen ELL-focused services and training (e.g., ESL support, bilingual mentors, bilingual embedded tutors). RAPs will target new job seekers including parents of children at employer partner facilities, unemployed and unskilled newcomers to the ECE field, and other community members facing significant barriers to training and employment. During the grant period, depending upon specific community needs and resources, RAP partnerships will either implement a Registered Pre-apprenticeship, ECE Associate Teacher Apprenticeship, or ECE Teacher Apprenticeship, with additional and targeted ESL support for ELLs."</w:t>
      </w:r>
    </w:p>
    <w:p w14:paraId="794230B8" w14:textId="7B53E8D1" w:rsidR="003D5225" w:rsidRPr="004D7BB1" w:rsidRDefault="003D5225" w:rsidP="003D5225">
      <w:pPr>
        <w:ind w:left="360"/>
        <w:rPr>
          <w:rFonts w:cstheme="minorHAnsi"/>
          <w:sz w:val="24"/>
          <w:szCs w:val="24"/>
        </w:rPr>
      </w:pPr>
    </w:p>
    <w:p w14:paraId="6EBCE782" w14:textId="51706872" w:rsidR="003D5225" w:rsidRPr="004D7BB1" w:rsidRDefault="003D5225" w:rsidP="003D5225">
      <w:pPr>
        <w:pStyle w:val="ListParagraph"/>
        <w:numPr>
          <w:ilvl w:val="0"/>
          <w:numId w:val="11"/>
        </w:numPr>
        <w:rPr>
          <w:rFonts w:cstheme="minorHAnsi"/>
          <w:sz w:val="24"/>
          <w:szCs w:val="24"/>
        </w:rPr>
      </w:pPr>
      <w:r w:rsidRPr="004D7BB1">
        <w:rPr>
          <w:rFonts w:cstheme="minorHAnsi"/>
          <w:sz w:val="24"/>
          <w:szCs w:val="24"/>
        </w:rPr>
        <w:t xml:space="preserve">Page #9-10 – The </w:t>
      </w:r>
      <w:r w:rsidR="004D7BB1" w:rsidRPr="004D7BB1">
        <w:rPr>
          <w:rFonts w:cstheme="minorHAnsi"/>
          <w:sz w:val="24"/>
          <w:szCs w:val="24"/>
        </w:rPr>
        <w:t>expected outcomes for the ‘Early Care &amp; Education’ section</w:t>
      </w:r>
      <w:r w:rsidRPr="004D7BB1">
        <w:rPr>
          <w:rFonts w:cstheme="minorHAnsi"/>
          <w:sz w:val="24"/>
          <w:szCs w:val="24"/>
        </w:rPr>
        <w:t xml:space="preserve"> was revised. Originally, the description read</w:t>
      </w:r>
      <w:r w:rsidR="00824303">
        <w:rPr>
          <w:rFonts w:cstheme="minorHAnsi"/>
          <w:sz w:val="24"/>
          <w:szCs w:val="24"/>
        </w:rPr>
        <w:t xml:space="preserve"> as follows</w:t>
      </w:r>
      <w:r w:rsidRPr="004D7BB1">
        <w:rPr>
          <w:rFonts w:cstheme="minorHAnsi"/>
          <w:sz w:val="24"/>
          <w:szCs w:val="24"/>
        </w:rPr>
        <w:t>:</w:t>
      </w:r>
    </w:p>
    <w:p w14:paraId="6C31905E" w14:textId="6403FBD0" w:rsidR="004D7BB1" w:rsidRPr="004D7BB1" w:rsidRDefault="00214EF3" w:rsidP="004D7BB1">
      <w:pPr>
        <w:spacing w:line="240" w:lineRule="auto"/>
        <w:ind w:left="720"/>
        <w:contextualSpacing/>
        <w:rPr>
          <w:rFonts w:cstheme="minorHAnsi"/>
          <w:sz w:val="24"/>
          <w:szCs w:val="24"/>
        </w:rPr>
      </w:pPr>
      <w:r>
        <w:rPr>
          <w:rFonts w:cstheme="minorHAnsi"/>
          <w:sz w:val="24"/>
          <w:szCs w:val="24"/>
        </w:rPr>
        <w:t>“</w:t>
      </w:r>
      <w:r w:rsidR="004D7BB1" w:rsidRPr="004D7BB1">
        <w:rPr>
          <w:rFonts w:cstheme="minorHAnsi"/>
          <w:sz w:val="24"/>
          <w:szCs w:val="24"/>
        </w:rPr>
        <w:t>The project will serve 136 veterans. At least 85% (116 participants) will be</w:t>
      </w:r>
    </w:p>
    <w:p w14:paraId="447C4B3A" w14:textId="77777777" w:rsidR="004D7BB1" w:rsidRPr="004D7BB1" w:rsidRDefault="004D7BB1" w:rsidP="004D7BB1">
      <w:pPr>
        <w:spacing w:line="240" w:lineRule="auto"/>
        <w:ind w:left="720"/>
        <w:contextualSpacing/>
        <w:rPr>
          <w:rFonts w:cstheme="minorHAnsi"/>
          <w:sz w:val="24"/>
          <w:szCs w:val="24"/>
        </w:rPr>
      </w:pPr>
      <w:r w:rsidRPr="004D7BB1">
        <w:rPr>
          <w:rFonts w:cstheme="minorHAnsi"/>
          <w:sz w:val="24"/>
          <w:szCs w:val="24"/>
        </w:rPr>
        <w:t>enrolled in training, and 104 (76%) will be scheduled for completion.</w:t>
      </w:r>
    </w:p>
    <w:p w14:paraId="6F5ECB41" w14:textId="77777777" w:rsidR="004D7BB1" w:rsidRPr="004D7BB1" w:rsidRDefault="004D7BB1" w:rsidP="004D7BB1">
      <w:pPr>
        <w:spacing w:line="240" w:lineRule="auto"/>
        <w:ind w:left="720"/>
        <w:contextualSpacing/>
        <w:rPr>
          <w:rFonts w:cstheme="minorHAnsi"/>
          <w:sz w:val="24"/>
          <w:szCs w:val="24"/>
        </w:rPr>
      </w:pPr>
      <w:r w:rsidRPr="004D7BB1">
        <w:rPr>
          <w:rFonts w:cstheme="minorHAnsi"/>
          <w:sz w:val="24"/>
          <w:szCs w:val="24"/>
        </w:rPr>
        <w:t>Employment targets include 76% (90 veterans) employed in the 2nd quarter</w:t>
      </w:r>
    </w:p>
    <w:p w14:paraId="22A87EFE" w14:textId="77777777" w:rsidR="004D7BB1" w:rsidRPr="004D7BB1" w:rsidRDefault="004D7BB1" w:rsidP="004D7BB1">
      <w:pPr>
        <w:spacing w:line="240" w:lineRule="auto"/>
        <w:ind w:left="720"/>
        <w:contextualSpacing/>
        <w:rPr>
          <w:rFonts w:cstheme="minorHAnsi"/>
          <w:sz w:val="24"/>
          <w:szCs w:val="24"/>
        </w:rPr>
      </w:pPr>
      <w:r w:rsidRPr="004D7BB1">
        <w:rPr>
          <w:rFonts w:cstheme="minorHAnsi"/>
          <w:sz w:val="24"/>
          <w:szCs w:val="24"/>
        </w:rPr>
        <w:t>after exit and 74% (86 veterans) employed after the 4th quarter. 70% (86</w:t>
      </w:r>
    </w:p>
    <w:p w14:paraId="351C8BD9" w14:textId="77777777" w:rsidR="004D7BB1" w:rsidRPr="004D7BB1" w:rsidRDefault="004D7BB1" w:rsidP="004D7BB1">
      <w:pPr>
        <w:spacing w:line="240" w:lineRule="auto"/>
        <w:ind w:left="720"/>
        <w:contextualSpacing/>
        <w:rPr>
          <w:rFonts w:cstheme="minorHAnsi"/>
          <w:sz w:val="24"/>
          <w:szCs w:val="24"/>
        </w:rPr>
      </w:pPr>
      <w:r w:rsidRPr="004D7BB1">
        <w:rPr>
          <w:rFonts w:cstheme="minorHAnsi"/>
          <w:sz w:val="24"/>
          <w:szCs w:val="24"/>
        </w:rPr>
        <w:t>veterans) will achieve Credential Attainment within 4 Quarters After Exit. Target</w:t>
      </w:r>
    </w:p>
    <w:p w14:paraId="232DD8CE" w14:textId="77777777" w:rsidR="004D7BB1" w:rsidRPr="004D7BB1" w:rsidRDefault="004D7BB1" w:rsidP="004D7BB1">
      <w:pPr>
        <w:spacing w:line="240" w:lineRule="auto"/>
        <w:ind w:left="720"/>
        <w:contextualSpacing/>
        <w:rPr>
          <w:rFonts w:cstheme="minorHAnsi"/>
          <w:sz w:val="24"/>
          <w:szCs w:val="24"/>
        </w:rPr>
      </w:pPr>
      <w:r w:rsidRPr="004D7BB1">
        <w:rPr>
          <w:rFonts w:cstheme="minorHAnsi"/>
          <w:sz w:val="24"/>
          <w:szCs w:val="24"/>
        </w:rPr>
        <w:t>median earnings 2nd quarter after exit is $11,370, with 76% achieving a</w:t>
      </w:r>
    </w:p>
    <w:p w14:paraId="5D17A25E" w14:textId="405E8BCA" w:rsidR="003D5225" w:rsidRPr="004D7BB1" w:rsidRDefault="004D7BB1" w:rsidP="004D7BB1">
      <w:pPr>
        <w:spacing w:line="240" w:lineRule="auto"/>
        <w:ind w:left="720"/>
        <w:contextualSpacing/>
        <w:rPr>
          <w:rFonts w:cstheme="minorHAnsi"/>
          <w:sz w:val="24"/>
          <w:szCs w:val="24"/>
        </w:rPr>
      </w:pPr>
      <w:r w:rsidRPr="004D7BB1">
        <w:rPr>
          <w:rFonts w:cstheme="minorHAnsi"/>
          <w:sz w:val="24"/>
          <w:szCs w:val="24"/>
        </w:rPr>
        <w:t>measurable skill gain.</w:t>
      </w:r>
      <w:r w:rsidR="00214EF3">
        <w:rPr>
          <w:rFonts w:cstheme="minorHAnsi"/>
          <w:sz w:val="24"/>
          <w:szCs w:val="24"/>
        </w:rPr>
        <w:t>”</w:t>
      </w:r>
    </w:p>
    <w:p w14:paraId="12A8FDA2" w14:textId="7816F96E" w:rsidR="004D7BB1" w:rsidRPr="004D7BB1" w:rsidRDefault="004D7BB1" w:rsidP="004D7BB1">
      <w:pPr>
        <w:spacing w:line="240" w:lineRule="auto"/>
        <w:ind w:left="720"/>
        <w:contextualSpacing/>
        <w:rPr>
          <w:rFonts w:cstheme="minorHAnsi"/>
          <w:sz w:val="24"/>
          <w:szCs w:val="24"/>
        </w:rPr>
      </w:pPr>
    </w:p>
    <w:p w14:paraId="587213A5" w14:textId="5B32168F" w:rsidR="004D7BB1" w:rsidRPr="004D7BB1" w:rsidRDefault="004D7BB1" w:rsidP="004D7BB1">
      <w:pPr>
        <w:ind w:left="720"/>
        <w:rPr>
          <w:rFonts w:cstheme="minorHAnsi"/>
          <w:sz w:val="24"/>
          <w:szCs w:val="24"/>
        </w:rPr>
      </w:pPr>
      <w:r w:rsidRPr="004D7BB1">
        <w:rPr>
          <w:rFonts w:cstheme="minorHAnsi"/>
          <w:sz w:val="24"/>
          <w:szCs w:val="24"/>
        </w:rPr>
        <w:t xml:space="preserve">The updated expected outcomes </w:t>
      </w:r>
      <w:proofErr w:type="gramStart"/>
      <w:r w:rsidRPr="004D7BB1">
        <w:rPr>
          <w:rFonts w:cstheme="minorHAnsi"/>
          <w:sz w:val="24"/>
          <w:szCs w:val="24"/>
        </w:rPr>
        <w:t>reads</w:t>
      </w:r>
      <w:proofErr w:type="gramEnd"/>
      <w:r w:rsidR="00824303">
        <w:rPr>
          <w:rFonts w:cstheme="minorHAnsi"/>
          <w:sz w:val="24"/>
          <w:szCs w:val="24"/>
        </w:rPr>
        <w:t xml:space="preserve"> as follows</w:t>
      </w:r>
      <w:r w:rsidRPr="004D7BB1">
        <w:rPr>
          <w:rFonts w:cstheme="minorHAnsi"/>
          <w:sz w:val="24"/>
          <w:szCs w:val="24"/>
        </w:rPr>
        <w:t>:</w:t>
      </w:r>
    </w:p>
    <w:p w14:paraId="246BD90A" w14:textId="69B908DE" w:rsidR="004D7BB1" w:rsidRPr="004D7BB1" w:rsidRDefault="00214EF3" w:rsidP="004D7BB1">
      <w:pPr>
        <w:spacing w:line="240" w:lineRule="auto"/>
        <w:ind w:left="720"/>
        <w:contextualSpacing/>
        <w:rPr>
          <w:rFonts w:cstheme="minorHAnsi"/>
          <w:sz w:val="24"/>
          <w:szCs w:val="24"/>
        </w:rPr>
      </w:pPr>
      <w:r>
        <w:rPr>
          <w:rFonts w:cstheme="minorHAnsi"/>
          <w:sz w:val="24"/>
          <w:szCs w:val="24"/>
        </w:rPr>
        <w:t>“</w:t>
      </w:r>
      <w:r w:rsidR="004D7BB1" w:rsidRPr="004D7BB1">
        <w:rPr>
          <w:rFonts w:cstheme="minorHAnsi"/>
          <w:sz w:val="24"/>
          <w:szCs w:val="24"/>
        </w:rPr>
        <w:t>Across the proposed service region of nine counties, ECEPTS anticipates engaging nearly 1400 participants, of which 42% will be ELLs. Given that ECEPTS’ aggregate attrition rate has historically been at 25%, it is reasonable to expect that roughly 1000 participants will successfully complete their training, including 425 ELLs. While most participants will start with the entry level programs, the long-term goal is to enable successful transition to higher level RA programs, resulting in higher levels Child Development Permits, increased wages, and expanded career pathways and advancement opportunities.</w:t>
      </w:r>
      <w:r>
        <w:rPr>
          <w:rFonts w:cstheme="minorHAnsi"/>
          <w:sz w:val="24"/>
          <w:szCs w:val="24"/>
        </w:rPr>
        <w:t>”</w:t>
      </w:r>
    </w:p>
    <w:sectPr w:rsidR="004D7BB1" w:rsidRPr="004D7BB1" w:rsidSect="008204D5">
      <w:footerReference w:type="default" r:id="rId10"/>
      <w:headerReference w:type="first" r:id="rId11"/>
      <w:footerReference w:type="first" r:id="rId12"/>
      <w:pgSz w:w="12240" w:h="15840"/>
      <w:pgMar w:top="1440" w:right="153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AD6C" w14:textId="77777777" w:rsidR="000739BC" w:rsidRDefault="000739BC" w:rsidP="002E324F">
      <w:pPr>
        <w:spacing w:after="0" w:line="240" w:lineRule="auto"/>
      </w:pPr>
      <w:r>
        <w:separator/>
      </w:r>
    </w:p>
  </w:endnote>
  <w:endnote w:type="continuationSeparator" w:id="0">
    <w:p w14:paraId="15B27F17" w14:textId="77777777" w:rsidR="000739BC" w:rsidRDefault="000739BC" w:rsidP="002E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406816060"/>
      <w:docPartObj>
        <w:docPartGallery w:val="Page Numbers (Top of Page)"/>
        <w:docPartUnique/>
      </w:docPartObj>
    </w:sdtPr>
    <w:sdtEndPr/>
    <w:sdtContent>
      <w:p w14:paraId="2012FE76" w14:textId="77777777" w:rsidR="002E324F" w:rsidRPr="00824303" w:rsidRDefault="002E324F" w:rsidP="002E324F">
        <w:pPr>
          <w:pStyle w:val="Footer"/>
          <w:tabs>
            <w:tab w:val="center" w:pos="4320"/>
            <w:tab w:val="right" w:pos="8640"/>
          </w:tabs>
          <w:jc w:val="center"/>
          <w:rPr>
            <w:sz w:val="24"/>
            <w:szCs w:val="24"/>
          </w:rPr>
        </w:pPr>
        <w:r w:rsidRPr="00824303">
          <w:rPr>
            <w:sz w:val="24"/>
            <w:szCs w:val="24"/>
          </w:rPr>
          <w:t xml:space="preserve">Page </w:t>
        </w:r>
        <w:r w:rsidRPr="00824303">
          <w:rPr>
            <w:bCs/>
            <w:sz w:val="24"/>
            <w:szCs w:val="28"/>
          </w:rPr>
          <w:fldChar w:fldCharType="begin"/>
        </w:r>
        <w:r w:rsidRPr="00824303">
          <w:rPr>
            <w:bCs/>
            <w:sz w:val="24"/>
            <w:szCs w:val="24"/>
          </w:rPr>
          <w:instrText xml:space="preserve"> PAGE </w:instrText>
        </w:r>
        <w:r w:rsidRPr="00824303">
          <w:rPr>
            <w:bCs/>
            <w:sz w:val="24"/>
            <w:szCs w:val="28"/>
          </w:rPr>
          <w:fldChar w:fldCharType="separate"/>
        </w:r>
        <w:r w:rsidR="004107B3" w:rsidRPr="00824303">
          <w:rPr>
            <w:bCs/>
            <w:noProof/>
            <w:sz w:val="24"/>
            <w:szCs w:val="24"/>
          </w:rPr>
          <w:t>2</w:t>
        </w:r>
        <w:r w:rsidRPr="00824303">
          <w:rPr>
            <w:bCs/>
            <w:sz w:val="24"/>
            <w:szCs w:val="28"/>
          </w:rPr>
          <w:fldChar w:fldCharType="end"/>
        </w:r>
        <w:r w:rsidRPr="00824303">
          <w:rPr>
            <w:sz w:val="24"/>
            <w:szCs w:val="24"/>
          </w:rPr>
          <w:t xml:space="preserve"> of </w:t>
        </w:r>
        <w:r w:rsidRPr="00824303">
          <w:rPr>
            <w:bCs/>
            <w:sz w:val="24"/>
            <w:szCs w:val="28"/>
          </w:rPr>
          <w:fldChar w:fldCharType="begin"/>
        </w:r>
        <w:r w:rsidRPr="00824303">
          <w:rPr>
            <w:bCs/>
            <w:sz w:val="24"/>
            <w:szCs w:val="24"/>
          </w:rPr>
          <w:instrText xml:space="preserve"> NUMPAGES  </w:instrText>
        </w:r>
        <w:r w:rsidRPr="00824303">
          <w:rPr>
            <w:bCs/>
            <w:sz w:val="24"/>
            <w:szCs w:val="28"/>
          </w:rPr>
          <w:fldChar w:fldCharType="separate"/>
        </w:r>
        <w:r w:rsidR="004107B3" w:rsidRPr="00824303">
          <w:rPr>
            <w:bCs/>
            <w:noProof/>
            <w:sz w:val="24"/>
            <w:szCs w:val="24"/>
          </w:rPr>
          <w:t>2</w:t>
        </w:r>
        <w:r w:rsidRPr="00824303">
          <w:rPr>
            <w:bCs/>
            <w:sz w:val="24"/>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DA5"/>
      </w:rPr>
      <w:id w:val="-655140687"/>
      <w:docPartObj>
        <w:docPartGallery w:val="Page Numbers (Bottom of Page)"/>
        <w:docPartUnique/>
      </w:docPartObj>
    </w:sdtPr>
    <w:sdtEndPr>
      <w:rPr>
        <w:color w:val="auto"/>
      </w:rPr>
    </w:sdtEndPr>
    <w:sdtContent>
      <w:sdt>
        <w:sdtPr>
          <w:id w:val="-637035803"/>
          <w:docPartObj>
            <w:docPartGallery w:val="Page Numbers (Top of Page)"/>
            <w:docPartUnique/>
          </w:docPartObj>
        </w:sdtPr>
        <w:sdtEndPr/>
        <w:sdtContent>
          <w:sdt>
            <w:sdtPr>
              <w:id w:val="-1797984085"/>
              <w:docPartObj>
                <w:docPartGallery w:val="Page Numbers (Bottom of Page)"/>
                <w:docPartUnique/>
              </w:docPartObj>
            </w:sdtPr>
            <w:sdtEndPr/>
            <w:sdtContent>
              <w:sdt>
                <w:sdtPr>
                  <w:id w:val="1041015764"/>
                  <w:docPartObj>
                    <w:docPartGallery w:val="Page Numbers (Top of Page)"/>
                    <w:docPartUnique/>
                  </w:docPartObj>
                </w:sdtPr>
                <w:sdtEndPr/>
                <w:sdtContent>
                  <w:p w14:paraId="2012FE7C" w14:textId="77777777" w:rsidR="00967059" w:rsidRDefault="00967059" w:rsidP="00967059">
                    <w:pPr>
                      <w:pBdr>
                        <w:bottom w:val="single" w:sz="4" w:space="1" w:color="auto"/>
                      </w:pBdr>
                      <w:tabs>
                        <w:tab w:val="center" w:pos="8550"/>
                        <w:tab w:val="right" w:pos="9360"/>
                      </w:tabs>
                    </w:pPr>
                  </w:p>
                  <w:p w14:paraId="2012FE7D" w14:textId="77777777" w:rsidR="00967059" w:rsidRDefault="00967059" w:rsidP="00967059">
                    <w:pPr>
                      <w:tabs>
                        <w:tab w:val="center" w:pos="8550"/>
                        <w:tab w:val="right" w:pos="9360"/>
                      </w:tabs>
                      <w:ind w:left="3960"/>
                    </w:pPr>
                    <w:r w:rsidRPr="00883976">
                      <w:rPr>
                        <w:sz w:val="24"/>
                        <w:szCs w:val="24"/>
                      </w:rPr>
                      <w:t xml:space="preserve">Page </w:t>
                    </w:r>
                    <w:r w:rsidRPr="00883976">
                      <w:rPr>
                        <w:bCs/>
                        <w:sz w:val="24"/>
                        <w:szCs w:val="28"/>
                      </w:rPr>
                      <w:fldChar w:fldCharType="begin"/>
                    </w:r>
                    <w:r w:rsidRPr="00883976">
                      <w:rPr>
                        <w:bCs/>
                        <w:sz w:val="24"/>
                        <w:szCs w:val="24"/>
                      </w:rPr>
                      <w:instrText xml:space="preserve"> PAGE </w:instrText>
                    </w:r>
                    <w:r w:rsidRPr="00883976">
                      <w:rPr>
                        <w:bCs/>
                        <w:sz w:val="24"/>
                        <w:szCs w:val="28"/>
                      </w:rPr>
                      <w:fldChar w:fldCharType="separate"/>
                    </w:r>
                    <w:r w:rsidR="00955D93" w:rsidRPr="00883976">
                      <w:rPr>
                        <w:bCs/>
                        <w:noProof/>
                        <w:sz w:val="24"/>
                        <w:szCs w:val="24"/>
                      </w:rPr>
                      <w:t>1</w:t>
                    </w:r>
                    <w:r w:rsidRPr="00883976">
                      <w:rPr>
                        <w:bCs/>
                        <w:sz w:val="24"/>
                        <w:szCs w:val="28"/>
                      </w:rPr>
                      <w:fldChar w:fldCharType="end"/>
                    </w:r>
                    <w:r w:rsidRPr="00883976">
                      <w:rPr>
                        <w:sz w:val="24"/>
                        <w:szCs w:val="24"/>
                      </w:rPr>
                      <w:t xml:space="preserve"> of </w:t>
                    </w:r>
                    <w:r w:rsidRPr="00883976">
                      <w:rPr>
                        <w:bCs/>
                        <w:sz w:val="24"/>
                        <w:szCs w:val="28"/>
                      </w:rPr>
                      <w:fldChar w:fldCharType="begin"/>
                    </w:r>
                    <w:r w:rsidRPr="00883976">
                      <w:rPr>
                        <w:bCs/>
                        <w:sz w:val="24"/>
                        <w:szCs w:val="24"/>
                      </w:rPr>
                      <w:instrText xml:space="preserve"> NUMPAGES  </w:instrText>
                    </w:r>
                    <w:r w:rsidRPr="00883976">
                      <w:rPr>
                        <w:bCs/>
                        <w:sz w:val="24"/>
                        <w:szCs w:val="28"/>
                      </w:rPr>
                      <w:fldChar w:fldCharType="separate"/>
                    </w:r>
                    <w:r w:rsidR="00955D93" w:rsidRPr="00883976">
                      <w:rPr>
                        <w:bCs/>
                        <w:noProof/>
                        <w:sz w:val="24"/>
                        <w:szCs w:val="24"/>
                      </w:rPr>
                      <w:t>1</w:t>
                    </w:r>
                    <w:r w:rsidRPr="00883976">
                      <w:rPr>
                        <w:bCs/>
                        <w:sz w:val="24"/>
                        <w:szCs w:val="28"/>
                      </w:rPr>
                      <w:fldChar w:fldCharType="end"/>
                    </w:r>
                    <w:r>
                      <w:rPr>
                        <w:bCs/>
                        <w:szCs w:val="24"/>
                      </w:rPr>
                      <w:tab/>
                    </w:r>
                  </w:p>
                </w:sdtContent>
              </w:sdt>
            </w:sdtContent>
          </w:sdt>
          <w:p w14:paraId="2012FE7E" w14:textId="77777777" w:rsidR="002E324F" w:rsidRDefault="004B0314" w:rsidP="00967059">
            <w:pPr>
              <w:pStyle w:val="Footer"/>
              <w:tabs>
                <w:tab w:val="center" w:pos="4320"/>
                <w:tab w:val="right" w:pos="8640"/>
              </w:tabs>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F8DA" w14:textId="77777777" w:rsidR="000739BC" w:rsidRDefault="000739BC" w:rsidP="002E324F">
      <w:pPr>
        <w:spacing w:after="0" w:line="240" w:lineRule="auto"/>
      </w:pPr>
      <w:r>
        <w:separator/>
      </w:r>
    </w:p>
  </w:footnote>
  <w:footnote w:type="continuationSeparator" w:id="0">
    <w:p w14:paraId="7169F18E" w14:textId="77777777" w:rsidR="000739BC" w:rsidRDefault="000739BC" w:rsidP="002E3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FE77" w14:textId="086B789C" w:rsidR="00954FF8" w:rsidRPr="007502A2" w:rsidRDefault="00954FF8" w:rsidP="00967059">
    <w:pPr>
      <w:pStyle w:val="Header"/>
      <w:jc w:val="center"/>
      <w:rPr>
        <w:b/>
        <w:bCs/>
        <w:color w:val="007DA5"/>
        <w:sz w:val="24"/>
        <w:szCs w:val="24"/>
      </w:rPr>
    </w:pPr>
    <w:r>
      <w:rPr>
        <w:bCs/>
      </w:rPr>
      <w:tab/>
    </w:r>
    <w:r>
      <w:rPr>
        <w:bCs/>
      </w:rPr>
      <w:tab/>
    </w:r>
  </w:p>
  <w:p w14:paraId="2012FE78" w14:textId="77777777" w:rsidR="00967059" w:rsidRPr="00967059" w:rsidRDefault="00967059" w:rsidP="007502A2">
    <w:pPr>
      <w:pStyle w:val="Header"/>
      <w:rPr>
        <w:b/>
        <w:bCs/>
        <w:color w:val="007DA5"/>
        <w:sz w:val="16"/>
        <w:szCs w:val="16"/>
      </w:rPr>
    </w:pPr>
  </w:p>
  <w:p w14:paraId="2012FE79" w14:textId="70D6B15B" w:rsidR="002B331E" w:rsidRDefault="00654B5C" w:rsidP="00967059">
    <w:pPr>
      <w:pStyle w:val="Header"/>
      <w:jc w:val="center"/>
      <w:rPr>
        <w:b/>
        <w:sz w:val="24"/>
        <w:szCs w:val="24"/>
      </w:rPr>
    </w:pPr>
    <w:proofErr w:type="gramStart"/>
    <w:r>
      <w:rPr>
        <w:b/>
        <w:bCs/>
        <w:color w:val="007DA5"/>
        <w:sz w:val="44"/>
        <w:szCs w:val="44"/>
      </w:rPr>
      <w:t>ERRATA</w:t>
    </w:r>
    <w:r w:rsidR="002B331E">
      <w:rPr>
        <w:b/>
        <w:bCs/>
        <w:color w:val="007DA5"/>
        <w:sz w:val="44"/>
        <w:szCs w:val="44"/>
      </w:rPr>
      <w:t xml:space="preserve">  </w:t>
    </w:r>
    <w:r>
      <w:rPr>
        <w:b/>
        <w:bCs/>
        <w:color w:val="007DA5"/>
        <w:sz w:val="44"/>
        <w:szCs w:val="44"/>
      </w:rPr>
      <w:t>CHRONOLOGY</w:t>
    </w:r>
    <w:proofErr w:type="gramEnd"/>
  </w:p>
  <w:p w14:paraId="2012FE7B" w14:textId="77777777" w:rsidR="002B331E" w:rsidRDefault="002B3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4B1"/>
    <w:multiLevelType w:val="hybridMultilevel"/>
    <w:tmpl w:val="2A6C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51D7"/>
    <w:multiLevelType w:val="hybridMultilevel"/>
    <w:tmpl w:val="7FCAC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26CDA"/>
    <w:multiLevelType w:val="hybridMultilevel"/>
    <w:tmpl w:val="3B48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1082E"/>
    <w:multiLevelType w:val="hybridMultilevel"/>
    <w:tmpl w:val="5AE80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FE08CF"/>
    <w:multiLevelType w:val="hybridMultilevel"/>
    <w:tmpl w:val="5B3C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B2212"/>
    <w:multiLevelType w:val="hybridMultilevel"/>
    <w:tmpl w:val="F96EB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7F3EF8"/>
    <w:multiLevelType w:val="hybridMultilevel"/>
    <w:tmpl w:val="F286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D25B74"/>
    <w:multiLevelType w:val="hybridMultilevel"/>
    <w:tmpl w:val="7394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152A8"/>
    <w:multiLevelType w:val="hybridMultilevel"/>
    <w:tmpl w:val="7CD20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6"/>
  </w:num>
  <w:num w:numId="4">
    <w:abstractNumId w:val="1"/>
  </w:num>
  <w:num w:numId="5">
    <w:abstractNumId w:val="0"/>
  </w:num>
  <w:num w:numId="6">
    <w:abstractNumId w:val="7"/>
  </w:num>
  <w:num w:numId="7">
    <w:abstractNumId w:val="5"/>
  </w:num>
  <w:num w:numId="8">
    <w:abstractNumId w:val="8"/>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4F"/>
    <w:rsid w:val="00001665"/>
    <w:rsid w:val="00011B98"/>
    <w:rsid w:val="00013F3C"/>
    <w:rsid w:val="000739BC"/>
    <w:rsid w:val="000E282D"/>
    <w:rsid w:val="00167DDD"/>
    <w:rsid w:val="001F1980"/>
    <w:rsid w:val="00214EF3"/>
    <w:rsid w:val="0024371B"/>
    <w:rsid w:val="00274348"/>
    <w:rsid w:val="002B331E"/>
    <w:rsid w:val="002C33A7"/>
    <w:rsid w:val="002E324F"/>
    <w:rsid w:val="002F3611"/>
    <w:rsid w:val="003278A4"/>
    <w:rsid w:val="00332A3E"/>
    <w:rsid w:val="003924E7"/>
    <w:rsid w:val="003D1C23"/>
    <w:rsid w:val="003D5225"/>
    <w:rsid w:val="004107B3"/>
    <w:rsid w:val="00436687"/>
    <w:rsid w:val="00482E5F"/>
    <w:rsid w:val="0049526E"/>
    <w:rsid w:val="004B0314"/>
    <w:rsid w:val="004D7BB1"/>
    <w:rsid w:val="004E2BE9"/>
    <w:rsid w:val="00501908"/>
    <w:rsid w:val="00504C70"/>
    <w:rsid w:val="00505D76"/>
    <w:rsid w:val="005A0E33"/>
    <w:rsid w:val="00654B5C"/>
    <w:rsid w:val="00683ECF"/>
    <w:rsid w:val="00735D51"/>
    <w:rsid w:val="007502A2"/>
    <w:rsid w:val="008204D5"/>
    <w:rsid w:val="00824303"/>
    <w:rsid w:val="008420B8"/>
    <w:rsid w:val="008601BC"/>
    <w:rsid w:val="00860C92"/>
    <w:rsid w:val="00883976"/>
    <w:rsid w:val="008A7175"/>
    <w:rsid w:val="008E009B"/>
    <w:rsid w:val="00954FF8"/>
    <w:rsid w:val="00955D93"/>
    <w:rsid w:val="00965191"/>
    <w:rsid w:val="00967059"/>
    <w:rsid w:val="00A27436"/>
    <w:rsid w:val="00A6038E"/>
    <w:rsid w:val="00B1765F"/>
    <w:rsid w:val="00C217B3"/>
    <w:rsid w:val="00C25A7E"/>
    <w:rsid w:val="00C7149A"/>
    <w:rsid w:val="00CC36E7"/>
    <w:rsid w:val="00D513C7"/>
    <w:rsid w:val="00D64284"/>
    <w:rsid w:val="00DB5A9B"/>
    <w:rsid w:val="00DD398A"/>
    <w:rsid w:val="00E5787F"/>
    <w:rsid w:val="00E7700C"/>
    <w:rsid w:val="00E844CB"/>
    <w:rsid w:val="00ED238A"/>
    <w:rsid w:val="00F437CE"/>
    <w:rsid w:val="00F7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2FE4E"/>
  <w15:chartTrackingRefBased/>
  <w15:docId w15:val="{260F1A1F-9360-4148-9290-48119AE8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24F"/>
  </w:style>
  <w:style w:type="paragraph" w:styleId="Footer">
    <w:name w:val="footer"/>
    <w:basedOn w:val="Normal"/>
    <w:link w:val="FooterChar"/>
    <w:unhideWhenUsed/>
    <w:rsid w:val="002E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24F"/>
  </w:style>
  <w:style w:type="paragraph" w:styleId="BalloonText">
    <w:name w:val="Balloon Text"/>
    <w:basedOn w:val="Normal"/>
    <w:link w:val="BalloonTextChar"/>
    <w:uiPriority w:val="99"/>
    <w:semiHidden/>
    <w:unhideWhenUsed/>
    <w:rsid w:val="003D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23"/>
    <w:rPr>
      <w:rFonts w:ascii="Segoe UI" w:hAnsi="Segoe UI" w:cs="Segoe UI"/>
      <w:sz w:val="18"/>
      <w:szCs w:val="18"/>
    </w:rPr>
  </w:style>
  <w:style w:type="paragraph" w:customStyle="1" w:styleId="tabletext">
    <w:name w:val="table text"/>
    <w:basedOn w:val="Normal"/>
    <w:rsid w:val="00654B5C"/>
    <w:pPr>
      <w:spacing w:before="100" w:after="60" w:line="240" w:lineRule="auto"/>
      <w:jc w:val="both"/>
    </w:pPr>
    <w:rPr>
      <w:rFonts w:ascii="Arial" w:hAnsi="Arial" w:cs="Arial"/>
      <w:sz w:val="24"/>
      <w:szCs w:val="24"/>
    </w:rPr>
  </w:style>
  <w:style w:type="paragraph" w:styleId="ListParagraph">
    <w:name w:val="List Paragraph"/>
    <w:basedOn w:val="Normal"/>
    <w:uiPriority w:val="34"/>
    <w:qFormat/>
    <w:rsid w:val="0049526E"/>
    <w:pPr>
      <w:ind w:left="720"/>
      <w:contextualSpacing/>
    </w:pPr>
  </w:style>
  <w:style w:type="character" w:styleId="Hyperlink">
    <w:name w:val="Hyperlink"/>
    <w:basedOn w:val="DefaultParagraphFont"/>
    <w:uiPriority w:val="99"/>
    <w:unhideWhenUsed/>
    <w:rsid w:val="00505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1434">
      <w:bodyDiv w:val="1"/>
      <w:marLeft w:val="0"/>
      <w:marRight w:val="0"/>
      <w:marTop w:val="0"/>
      <w:marBottom w:val="0"/>
      <w:divBdr>
        <w:top w:val="none" w:sz="0" w:space="0" w:color="auto"/>
        <w:left w:val="none" w:sz="0" w:space="0" w:color="auto"/>
        <w:bottom w:val="none" w:sz="0" w:space="0" w:color="auto"/>
        <w:right w:val="none" w:sz="0" w:space="0" w:color="auto"/>
      </w:divBdr>
    </w:div>
    <w:div w:id="20232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3" ma:contentTypeDescription="Create a new document." ma:contentTypeScope="" ma:versionID="069a1b77206900f473d41a7f81b3e57a">
  <xsd:schema xmlns:xsd="http://www.w3.org/2001/XMLSchema" xmlns:xs="http://www.w3.org/2001/XMLSchema" xmlns:p="http://schemas.microsoft.com/office/2006/metadata/properties" xmlns:ns3="87723afd-882f-4d2a-a77d-9bd4bb59c539" targetNamespace="http://schemas.microsoft.com/office/2006/metadata/properties" ma:root="true" ma:fieldsID="60914711d1cedda0de1762b85ec8b676" ns3:_="">
    <xsd:import namespace="87723afd-882f-4d2a-a77d-9bd4bb59c53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3afd-882f-4d2a-a77d-9bd4bb59c53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6035E-1B38-4861-AB9C-18634D530ADC}">
  <ds:schemaRefs>
    <ds:schemaRef ds:uri="http://schemas.openxmlformats.org/package/2006/metadata/core-properties"/>
    <ds:schemaRef ds:uri="87723afd-882f-4d2a-a77d-9bd4bb59c539"/>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58885DC-6726-4212-BFA5-D3DFF3BFB09A}">
  <ds:schemaRefs>
    <ds:schemaRef ds:uri="http://schemas.microsoft.com/sharepoint/v3/contenttype/forms"/>
  </ds:schemaRefs>
</ds:datastoreItem>
</file>

<file path=customXml/itemProps3.xml><?xml version="1.0" encoding="utf-8"?>
<ds:datastoreItem xmlns:ds="http://schemas.openxmlformats.org/officeDocument/2006/customXml" ds:itemID="{331B6D77-2AFE-4E86-823E-01283A2AB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3afd-882f-4d2a-a77d-9bd4bb59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Gouvaia, Jennifer</dc:creator>
  <cp:keywords/>
  <dc:description/>
  <cp:lastModifiedBy>Richardson, Jeffrey@EDD</cp:lastModifiedBy>
  <cp:revision>7</cp:revision>
  <cp:lastPrinted>2017-02-09T18:28:00Z</cp:lastPrinted>
  <dcterms:created xsi:type="dcterms:W3CDTF">2023-07-19T21:48:00Z</dcterms:created>
  <dcterms:modified xsi:type="dcterms:W3CDTF">2023-08-07T19:57:00Z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